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316094"/>
          <w:sz w:val="56"/>
          <w:szCs w:val="56"/>
        </w:rPr>
        <w:t xml:space="preserve">SOURCE ANALYSIS</w:t>
      </w:r>
    </w:p>
    <w:p>
      <w:pPr>
        <w:spacing w:before="200"/>
        <w:jc w:val="center"/>
      </w:pPr>
      <w:r>
        <w:rPr>
          <w:color w:val="316094"/>
          <w:sz w:val="36"/>
          <w:szCs w:val="36"/>
        </w:rPr>
        <w:t xml:space="preserve">—</w:t>
      </w:r>
    </w:p>
    <w:p>
      <w:pPr>
        <w:spacing w:before="400"/>
        <w:jc w:val="center"/>
      </w:pPr>
      <w:r>
        <w:rPr>
          <w:rFonts w:ascii="Georgia" w:cs="Georgia" w:eastAsia="Georgia" w:hAnsi="Georgia"/>
          <w:i/>
          <w:iCs/>
          <w:color w:val="4a4a4a"/>
          <w:sz w:val="28"/>
          <w:szCs w:val="28"/>
        </w:rPr>
        <w:t xml:space="preserve">AI-Assisted Source Analysis Report</w:t>
      </w:r>
    </w:p>
    <w:p>
      <w:pPr>
        <w:spacing w:before="200"/>
        <w:jc w:val="center"/>
      </w:pPr>
      <w:r>
        <w:rPr>
          <w:rFonts w:ascii="Arial" w:cs="Arial" w:eastAsia="Arial" w:hAnsi="Arial"/>
          <w:color w:val="4a4a4a"/>
          <w:sz w:val="20"/>
          <w:szCs w:val="20"/>
        </w:rPr>
        <w:t xml:space="preserve">2 Sources  |  Writing Focus: AI &amp; Organizational Trust</w:t>
      </w:r>
    </w:p>
    <w:p>
      <w:pPr>
        <w:spacing w:before="600"/>
        <w:jc w:val="center"/>
      </w:pPr>
      <w:r>
        <w:rPr>
          <w:rFonts w:ascii="Arial" w:cs="Arial" w:eastAsia="Arial" w:hAnsi="Arial"/>
          <w:color w:val="316094"/>
          <w:sz w:val="18"/>
          <w:szCs w:val="18"/>
        </w:rPr>
        <w:t xml:space="preserve">Generated by DraftEngine  |  April 2026</w:t>
      </w:r>
    </w:p>
    <w:p>
      <w:r>
        <w:br w:type="page"/>
      </w:r>
    </w:p>
    <w:p>
      <w:pPr>
        <w:pStyle w:val="Heading1"/>
        <w:pBdr>
          <w:bottom w:val="single" w:color="316094" w:sz="12" w:space="1"/>
        </w:pBdr>
        <w:spacing w:after="240"/>
      </w:pPr>
      <w:r>
        <w:rPr>
          <w:rFonts w:ascii="Georgia" w:cs="Georgia" w:eastAsia="Georgia" w:hAnsi="Georgia"/>
          <w:b/>
          <w:bCs/>
          <w:color w:val="316094"/>
          <w:sz w:val="32"/>
          <w:szCs w:val="32"/>
        </w:rPr>
        <w:t xml:space="preserve">ENTRY 1</w:t>
      </w:r>
    </w:p>
    <w:p>
      <w:pPr>
        <w:spacing w:after="240"/>
        <w:jc w:val="both"/>
      </w:pPr>
      <w:r>
        <w:rPr>
          <w:rFonts w:ascii="Times New Roman" w:cs="Times New Roman" w:eastAsia="Times New Roman" w:hAnsi="Times New Roman"/>
          <w:b/>
          <w:bCs/>
          <w:color w:val="1a1a1a"/>
          <w:sz w:val="24"/>
          <w:szCs w:val="24"/>
        </w:rPr>
        <w:t xml:space="preserve">Kadioğlu, S. (2024). Modular AI architectures for institutional trust: A case study at Fidelity Investments. Journal of Applied AI in Finance, 12(3), 45-67.</w:t>
      </w:r>
    </w:p>
    <w:p>
      <w:pPr>
        <w:pStyle w:val="Heading2"/>
        <w:spacing w:before="360" w:after="240"/>
      </w:pPr>
      <w:r>
        <w:rPr>
          <w:rFonts w:ascii="Georgia" w:cs="Georgia" w:eastAsia="Georgia" w:hAnsi="Georgia"/>
          <w:b/>
          <w:bCs/>
          <w:color w:val="316094"/>
          <w:sz w:val="28"/>
          <w:szCs w:val="28"/>
        </w:rPr>
        <w:t xml:space="preserve">Key Arguments &amp; Ideas</w:t>
      </w:r>
    </w:p>
    <w:p>
      <w:pPr>
        <w:spacing w:after="240"/>
        <w:jc w:val="both"/>
      </w:pPr>
      <w:r>
        <w:rPr>
          <w:rFonts w:ascii="Times New Roman" w:cs="Times New Roman" w:eastAsia="Times New Roman" w:hAnsi="Times New Roman"/>
          <w:color w:val="1a1a1a"/>
          <w:sz w:val="24"/>
          <w:szCs w:val="24"/>
        </w:rPr>
        <w:t xml:space="preserve">Kadioğlu argues that modular AI architectures generate institutional trust not through improved accuracy metrics but through architectural transparency. The Fidelity Investments case study demonstrates that when recommendation engines are decomposed into individually inspectable components, stakeholders engage with outputs rather than ignoring them. The research challenges the dominant assumption that trust follows performance, suggesting instead that trust follows legibility. Portfolio managers who had rejected the same recommendations from a monolithic system began adjusting, debating, and occasionally overriding outputs from the modular version, indicating genuine professional engagement rather than passive acceptance or blanket rejection.</w:t>
      </w:r>
    </w:p>
    <w:p>
      <w:pPr>
        <w:pStyle w:val="Heading2"/>
        <w:spacing w:before="360" w:after="240"/>
      </w:pPr>
      <w:r>
        <w:rPr>
          <w:rFonts w:ascii="Georgia" w:cs="Georgia" w:eastAsia="Georgia" w:hAnsi="Georgia"/>
          <w:b/>
          <w:bCs/>
          <w:color w:val="316094"/>
          <w:sz w:val="28"/>
          <w:szCs w:val="28"/>
        </w:rPr>
        <w:t xml:space="preserve">Interesting Angles</w:t>
      </w:r>
    </w:p>
    <w:p>
      <w:pPr>
        <w:spacing w:after="240"/>
        <w:jc w:val="both"/>
      </w:pPr>
      <w:r>
        <w:rPr>
          <w:rFonts w:ascii="Times New Roman" w:cs="Times New Roman" w:eastAsia="Times New Roman" w:hAnsi="Times New Roman"/>
          <w:color w:val="1a1a1a"/>
          <w:sz w:val="24"/>
          <w:szCs w:val="24"/>
        </w:rPr>
        <w:t xml:space="preserve">The most counterintuitive finding is that the modular system performed no better on standard benchmarks than the monolithic version it replaced. The improvement was entirely in adoption, not accuracy. This raises an uncomfortable question for teams measuring AI success through precision and recall: the metrics that dominate internal reporting may have almost nothing to do with whether anyone actually uses the tool. The study also reveals that engineering teams spent significantly more time documenting interfaces in the modular system, a cost that traditional ROI models would flag as waste but that turned out to be the primary driver of trust.</w:t>
      </w:r>
    </w:p>
    <w:p>
      <w:pPr>
        <w:pStyle w:val="Heading2"/>
        <w:spacing w:before="360" w:after="240"/>
      </w:pPr>
      <w:r>
        <w:rPr>
          <w:rFonts w:ascii="Georgia" w:cs="Georgia" w:eastAsia="Georgia" w:hAnsi="Georgia"/>
          <w:b/>
          <w:bCs/>
          <w:color w:val="316094"/>
          <w:sz w:val="28"/>
          <w:szCs w:val="28"/>
        </w:rPr>
        <w:t xml:space="preserve">Perspective &amp; Value</w:t>
      </w:r>
    </w:p>
    <w:p>
      <w:pPr>
        <w:spacing w:after="240"/>
        <w:jc w:val="both"/>
      </w:pPr>
      <w:r>
        <w:rPr>
          <w:rFonts w:ascii="Times New Roman" w:cs="Times New Roman" w:eastAsia="Times New Roman" w:hAnsi="Times New Roman"/>
          <w:color w:val="1a1a1a"/>
          <w:sz w:val="24"/>
          <w:szCs w:val="24"/>
        </w:rPr>
        <w:t xml:space="preserve">Kadioğlu brings the rare combination of systems engineering expertise and organizational psychology awareness. Most AI architecture papers treat human interaction as a deployment problem to solve after the technical work is done. This paper treats it as an engineering constraint that should shape the architecture from the start. The Fidelity context provides credibility that academic-only studies lack: this is a framework tested against real portfolio decisions with real financial consequences.</w:t>
      </w:r>
    </w:p>
    <w:p>
      <w:pPr>
        <w:pStyle w:val="Heading2"/>
        <w:spacing w:before="360" w:after="240"/>
      </w:pPr>
      <w:r>
        <w:rPr>
          <w:rFonts w:ascii="Georgia" w:cs="Georgia" w:eastAsia="Georgia" w:hAnsi="Georgia"/>
          <w:b/>
          <w:bCs/>
          <w:color w:val="316094"/>
          <w:sz w:val="28"/>
          <w:szCs w:val="28"/>
        </w:rPr>
        <w:t xml:space="preserve">Notable Passages</w:t>
      </w:r>
    </w:p>
    <w:p>
      <w:pPr>
        <w:spacing w:after="180"/>
        <w:ind w:left="360"/>
      </w:pPr>
      <w:r>
        <w:rPr>
          <w:rFonts w:ascii="Times New Roman" w:cs="Times New Roman" w:eastAsia="Times New Roman" w:hAnsi="Times New Roman"/>
          <w:i/>
          <w:iCs/>
          <w:color w:val="1a1a1a"/>
          <w:sz w:val="24"/>
          <w:szCs w:val="24"/>
        </w:rPr>
        <w:t xml:space="preserve">1. "The architecture makes every handoff between components visible, inspectable, debatable. That legibility, it turns out, is what trust actually requires." (p. 12)</w:t>
      </w:r>
    </w:p>
    <w:p>
      <w:pPr>
        <w:spacing w:after="180"/>
        <w:ind w:left="360"/>
      </w:pPr>
      <w:r>
        <w:rPr>
          <w:rFonts w:ascii="Times New Roman" w:cs="Times New Roman" w:eastAsia="Times New Roman" w:hAnsi="Times New Roman"/>
          <w:i/>
          <w:iCs/>
          <w:color w:val="1a1a1a"/>
          <w:sz w:val="24"/>
          <w:szCs w:val="24"/>
        </w:rPr>
        <w:t xml:space="preserve">2. "Portfolio managers who once rejected AI-generated recommendations out of institutional suspicion now adjust them, argue with them, occasionally override them." (p. 28)</w:t>
      </w:r>
    </w:p>
    <w:p>
      <w:pPr>
        <w:spacing w:after="180"/>
        <w:ind w:left="360"/>
      </w:pPr>
      <w:r>
        <w:rPr>
          <w:rFonts w:ascii="Times New Roman" w:cs="Times New Roman" w:eastAsia="Times New Roman" w:hAnsi="Times New Roman"/>
          <w:i/>
          <w:iCs/>
          <w:color w:val="1a1a1a"/>
          <w:sz w:val="24"/>
          <w:szCs w:val="24"/>
        </w:rPr>
        <w:t xml:space="preserve">3. "The cost of transparency is real: the system runs slower, the documentation burden is higher, and none of it improves accuracy. But accuracy was never the bottleneck." (p. 34)</w:t>
      </w:r>
    </w:p>
    <w:p>
      <w:r>
        <w:br w:type="page"/>
      </w:r>
    </w:p>
    <w:p>
      <w:pPr>
        <w:pStyle w:val="Heading1"/>
        <w:pBdr>
          <w:bottom w:val="single" w:color="316094" w:sz="12" w:space="1"/>
        </w:pBdr>
        <w:spacing w:after="240"/>
      </w:pPr>
      <w:r>
        <w:rPr>
          <w:rFonts w:ascii="Georgia" w:cs="Georgia" w:eastAsia="Georgia" w:hAnsi="Georgia"/>
          <w:b/>
          <w:bCs/>
          <w:color w:val="316094"/>
          <w:sz w:val="32"/>
          <w:szCs w:val="32"/>
        </w:rPr>
        <w:t xml:space="preserve">ENTRY 2</w:t>
      </w:r>
    </w:p>
    <w:p>
      <w:pPr>
        <w:spacing w:after="240"/>
        <w:jc w:val="both"/>
      </w:pPr>
      <w:r>
        <w:rPr>
          <w:rFonts w:ascii="Times New Roman" w:cs="Times New Roman" w:eastAsia="Times New Roman" w:hAnsi="Times New Roman"/>
          <w:b/>
          <w:bCs/>
          <w:color w:val="1a1a1a"/>
          <w:sz w:val="24"/>
          <w:szCs w:val="24"/>
        </w:rPr>
        <w:t xml:space="preserve">Zaidi, M. (2023). Technopreneurs and trust: AI adoption patterns in Pakistan’s informal economy. International Journal of Technology and Development, 8(1), 112-134.</w:t>
      </w:r>
    </w:p>
    <w:p>
      <w:pPr>
        <w:pStyle w:val="Heading2"/>
        <w:spacing w:before="360" w:after="240"/>
      </w:pPr>
      <w:r>
        <w:rPr>
          <w:rFonts w:ascii="Georgia" w:cs="Georgia" w:eastAsia="Georgia" w:hAnsi="Georgia"/>
          <w:b/>
          <w:bCs/>
          <w:color w:val="316094"/>
          <w:sz w:val="28"/>
          <w:szCs w:val="28"/>
        </w:rPr>
        <w:t xml:space="preserve">Key Arguments &amp; Ideas</w:t>
      </w:r>
    </w:p>
    <w:p>
      <w:pPr>
        <w:spacing w:after="240"/>
        <w:jc w:val="both"/>
      </w:pPr>
      <w:r>
        <w:rPr>
          <w:rFonts w:ascii="Times New Roman" w:cs="Times New Roman" w:eastAsia="Times New Roman" w:hAnsi="Times New Roman"/>
          <w:color w:val="1a1a1a"/>
          <w:sz w:val="24"/>
          <w:szCs w:val="24"/>
        </w:rPr>
        <w:t xml:space="preserve">Zaidi’s two-year ethnographic study of Pakistani technology entrepreneurs reveals that AI adoption in emerging economies fails for fundamentally different reasons than in Western contexts. Founders building credit-scoring models for street vendors, inventory predictors for pharmaceutical distributors, and recommendation systems for textile wholesalers discovered that their products failed not when models were inaccurate but when models were accurate and clients did not believe them. This reframes the central challenge of AI deployment from a technical problem (build better models) to an epistemological one (build models that produce beliefs, not just predictions). The research demonstrates that what Western AI discourse calls "strategy" is actually a set of assumptions about infrastructure, capital availability, and institutional trust that most of the world’s businesses do not share.</w:t>
      </w:r>
    </w:p>
    <w:p>
      <w:pPr>
        <w:pStyle w:val="Heading2"/>
        <w:spacing w:before="360" w:after="240"/>
      </w:pPr>
      <w:r>
        <w:rPr>
          <w:rFonts w:ascii="Georgia" w:cs="Georgia" w:eastAsia="Georgia" w:hAnsi="Georgia"/>
          <w:b/>
          <w:bCs/>
          <w:color w:val="316094"/>
          <w:sz w:val="28"/>
          <w:szCs w:val="28"/>
        </w:rPr>
        <w:t xml:space="preserve">Interesting Angles</w:t>
      </w:r>
    </w:p>
    <w:p>
      <w:pPr>
        <w:spacing w:after="240"/>
        <w:jc w:val="both"/>
      </w:pPr>
      <w:r>
        <w:rPr>
          <w:rFonts w:ascii="Times New Roman" w:cs="Times New Roman" w:eastAsia="Times New Roman" w:hAnsi="Times New Roman"/>
          <w:color w:val="1a1a1a"/>
          <w:sz w:val="24"/>
          <w:szCs w:val="24"/>
        </w:rPr>
        <w:t xml:space="preserve">The most striking finding is that the founders who succeeded did not improve their models’ accuracy. Instead, they added an explanatory layer that let users trace every recommendation back to the specific data points that produced it. This additional layer contributed nothing to predictive power and added significant processing overhead, but it was the single factor that determined whether the product survived its first year. The parallel with Kadioğlu’s findings at Fidelity is remarkable: completely different economic contexts, completely different scales, identical discovery that legibility trumps accuracy for adoption.</w:t>
      </w:r>
    </w:p>
    <w:p>
      <w:pPr>
        <w:pStyle w:val="Heading2"/>
        <w:spacing w:before="360" w:after="240"/>
      </w:pPr>
      <w:r>
        <w:rPr>
          <w:rFonts w:ascii="Georgia" w:cs="Georgia" w:eastAsia="Georgia" w:hAnsi="Georgia"/>
          <w:b/>
          <w:bCs/>
          <w:color w:val="316094"/>
          <w:sz w:val="28"/>
          <w:szCs w:val="28"/>
        </w:rPr>
        <w:t xml:space="preserve">Perspective &amp; Value</w:t>
      </w:r>
    </w:p>
    <w:p>
      <w:pPr>
        <w:spacing w:after="240"/>
        <w:jc w:val="both"/>
      </w:pPr>
      <w:r>
        <w:rPr>
          <w:rFonts w:ascii="Times New Roman" w:cs="Times New Roman" w:eastAsia="Times New Roman" w:hAnsi="Times New Roman"/>
          <w:color w:val="1a1a1a"/>
          <w:sz w:val="24"/>
          <w:szCs w:val="24"/>
        </w:rPr>
        <w:t xml:space="preserve">Zaidi’s fieldwork in Lahore and Karachi provides a corrective to the Silicon Valley-centric framing that dominates AI strategy literature. The entrepreneurs profiled are solving problems that have almost nothing in common with the problems driving Western AI research, yet they independently arrived at the same architectural insight about transparency and trust. This makes the finding more robust: if it holds across Fidelity’s institutional finance and Pakistan’s informal street economy, it likely reflects something fundamental about how humans interact with automated decision-making.</w:t>
      </w:r>
    </w:p>
    <w:p>
      <w:pPr>
        <w:pStyle w:val="Heading2"/>
        <w:spacing w:before="360" w:after="240"/>
      </w:pPr>
      <w:r>
        <w:rPr>
          <w:rFonts w:ascii="Georgia" w:cs="Georgia" w:eastAsia="Georgia" w:hAnsi="Georgia"/>
          <w:b/>
          <w:bCs/>
          <w:color w:val="316094"/>
          <w:sz w:val="28"/>
          <w:szCs w:val="28"/>
        </w:rPr>
        <w:t xml:space="preserve">Notable Passages</w:t>
      </w:r>
    </w:p>
    <w:p>
      <w:pPr>
        <w:spacing w:after="180"/>
        <w:ind w:left="360"/>
      </w:pPr>
      <w:r>
        <w:rPr>
          <w:rFonts w:ascii="Times New Roman" w:cs="Times New Roman" w:eastAsia="Times New Roman" w:hAnsi="Times New Roman"/>
          <w:i/>
          <w:iCs/>
          <w:color w:val="1a1a1a"/>
          <w:sz w:val="24"/>
          <w:szCs w:val="24"/>
        </w:rPr>
        <w:t xml:space="preserve">1. "The founders didn’t fail when their models were inaccurate. They failed when their models were accurate but their clients didn’t believe them, which turns out to be a fundamentally different engineering problem." (p. 8)</w:t>
      </w:r>
    </w:p>
    <w:p>
      <w:pPr>
        <w:spacing w:after="180"/>
        <w:ind w:left="360"/>
      </w:pPr>
      <w:r>
        <w:rPr>
          <w:rFonts w:ascii="Times New Roman" w:cs="Times New Roman" w:eastAsia="Times New Roman" w:hAnsi="Times New Roman"/>
          <w:i/>
          <w:iCs/>
          <w:color w:val="1a1a1a"/>
          <w:sz w:val="24"/>
          <w:szCs w:val="24"/>
        </w:rPr>
        <w:t xml:space="preserve">2. "What we call AI strategy is actually a set of assumptions about infrastructure, capital availability, and institutional trust that most of the world’s businesses don’t share." (p. 23)</w:t>
      </w:r>
    </w:p>
    <w:p>
      <w:pPr>
        <w:spacing w:after="180"/>
        <w:ind w:left="360"/>
      </w:pPr>
      <w:r>
        <w:rPr>
          <w:rFonts w:ascii="Times New Roman" w:cs="Times New Roman" w:eastAsia="Times New Roman" w:hAnsi="Times New Roman"/>
          <w:i/>
          <w:iCs/>
          <w:color w:val="1a1a1a"/>
          <w:sz w:val="24"/>
          <w:szCs w:val="24"/>
        </w:rPr>
        <w:t xml:space="preserve">3. "The explanatory layer contributed nothing to predictive power. It was the single factor that determined whether the product survived." (p. 41)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2026-04-15T18:30:50.208Z</dcterms:created>
  <dcterms:modified xsi:type="dcterms:W3CDTF">2026-04-15T18:30:50.222Z</dcterms:modified>
</cp:coreProperties>
</file>

<file path=docProps/custom.xml><?xml version="1.0" encoding="utf-8"?>
<Properties xmlns="http://schemas.openxmlformats.org/officeDocument/2006/custom-properties" xmlns:vt="http://schemas.openxmlformats.org/officeDocument/2006/docPropsVTypes"/>
</file>