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E9AFF" w14:textId="38FE562D" w:rsidR="00AB3F2E" w:rsidRDefault="008F6F3B" w:rsidP="008F6F3B">
      <w:pPr>
        <w:pStyle w:val="Heading1"/>
      </w:pPr>
      <w:r>
        <w:t xml:space="preserve">Predicting Winners &amp; Losers </w:t>
      </w:r>
      <w:proofErr w:type="gramStart"/>
      <w:r>
        <w:t>With</w:t>
      </w:r>
      <w:proofErr w:type="gramEnd"/>
      <w:r>
        <w:t xml:space="preserve"> CPI &amp; GDP</w:t>
      </w:r>
    </w:p>
    <w:p w14:paraId="25DF2BEA" w14:textId="524B6076" w:rsidR="0084529F" w:rsidRDefault="0084529F" w:rsidP="001E057A">
      <w:r>
        <w:t xml:space="preserve">Can a combination of Inflation (CPI), and </w:t>
      </w:r>
      <w:r w:rsidR="001E057A">
        <w:t xml:space="preserve">2 </w:t>
      </w:r>
      <w:r>
        <w:t>proxies for GDP</w:t>
      </w:r>
      <w:r w:rsidR="001E057A">
        <w:t xml:space="preserve">. The proxies are ISM PMI and ISM NMI, which correspond to ISM Purchasing Manager’s Index and ISM Non-Manufacturing Index respectively. In addition to the released values, we look at forecasts of each of the above series to see if accurate forecasts can assist in forward-looking asset allocation decisions. </w:t>
      </w:r>
    </w:p>
    <w:p w14:paraId="612D1189" w14:textId="5BEBA450" w:rsidR="001E057A" w:rsidRDefault="001E057A" w:rsidP="001E057A">
      <w:pPr>
        <w:pStyle w:val="Heading2"/>
        <w:rPr>
          <w:b/>
          <w:bCs/>
        </w:rPr>
      </w:pPr>
      <w:r w:rsidRPr="001E057A">
        <w:rPr>
          <w:b/>
          <w:bCs/>
        </w:rPr>
        <w:t>Methodology</w:t>
      </w:r>
    </w:p>
    <w:p w14:paraId="72E84AFB" w14:textId="1E23520C" w:rsidR="00783F73" w:rsidRDefault="00783F73" w:rsidP="00783F73">
      <w:r>
        <w:t xml:space="preserve">Total return indices are created for each ETF used in the study, along with two representative portfolios of traditional asset allocation strategies. One is a 60/40 Stocks/Bonds portfolio, and another is a naïve volatility-weighted multi-asset portfolio, which includes debt, equity and commodities exposure. </w:t>
      </w:r>
    </w:p>
    <w:p w14:paraId="1E30443F" w14:textId="40E82333" w:rsidR="003F3486" w:rsidRDefault="00783F73" w:rsidP="00783F73">
      <w:r>
        <w:t xml:space="preserve">These total return indices are then used </w:t>
      </w:r>
      <w:r w:rsidR="003F3486">
        <w:t xml:space="preserve">along with </w:t>
      </w:r>
      <w:proofErr w:type="spellStart"/>
      <w:r w:rsidR="003F3486">
        <w:t>Turnleaf</w:t>
      </w:r>
      <w:proofErr w:type="spellEnd"/>
      <w:r w:rsidR="003F3486">
        <w:t xml:space="preserve"> Analytics’ CPI &amp; ISM forecasts to construct </w:t>
      </w:r>
      <w:r>
        <w:t>trading rules</w:t>
      </w:r>
      <w:r w:rsidR="003F3486">
        <w:t xml:space="preserve"> using </w:t>
      </w:r>
      <w:r w:rsidR="00402E2C">
        <w:t xml:space="preserve">a model-driven trading rule. </w:t>
      </w:r>
    </w:p>
    <w:p w14:paraId="04A6E4DA" w14:textId="529AF831" w:rsidR="00783F73" w:rsidRPr="00783F73" w:rsidRDefault="003F3486" w:rsidP="00783F73">
      <w:r>
        <w:t xml:space="preserve">The trading strategies examined include a long/short trading method and a long-only trading method. The long-short strategy allows entering short positions and assumes 0 financing cost; the long-only trading method does not allow entering short positions, and the decisions possible are to be long an asset, or to be flat. </w:t>
      </w:r>
    </w:p>
    <w:p w14:paraId="5755407C" w14:textId="06112474" w:rsidR="001E057A" w:rsidRDefault="001E057A" w:rsidP="001E057A">
      <w:pPr>
        <w:pStyle w:val="Heading3"/>
        <w:rPr>
          <w:b/>
          <w:bCs/>
        </w:rPr>
      </w:pPr>
      <w:r w:rsidRPr="001E057A">
        <w:rPr>
          <w:b/>
          <w:bCs/>
        </w:rPr>
        <w:t>Data</w:t>
      </w:r>
    </w:p>
    <w:p w14:paraId="1ADE16AE" w14:textId="020A014F" w:rsidR="003C04C0" w:rsidRPr="003C04C0" w:rsidRDefault="003C04C0" w:rsidP="003C04C0">
      <w:r>
        <w:t xml:space="preserve">All data used cover a period from 2013 – 2023. </w:t>
      </w:r>
    </w:p>
    <w:p w14:paraId="53029F9C" w14:textId="288D7F31" w:rsidR="008F6F3B" w:rsidRPr="001E057A" w:rsidRDefault="001E057A" w:rsidP="001E057A">
      <w:pPr>
        <w:pStyle w:val="Heading4"/>
        <w:rPr>
          <w:b/>
          <w:bCs/>
        </w:rPr>
      </w:pPr>
      <w:r w:rsidRPr="001E057A">
        <w:rPr>
          <w:b/>
          <w:bCs/>
        </w:rPr>
        <w:t>CPI, PMI &amp; NMI</w:t>
      </w:r>
    </w:p>
    <w:p w14:paraId="51905691" w14:textId="670E0184" w:rsidR="008F6F3B" w:rsidRDefault="008F6F3B" w:rsidP="008F6F3B">
      <w:r w:rsidRPr="008F6F3B">
        <w:t xml:space="preserve">Several data sets from </w:t>
      </w:r>
      <w:proofErr w:type="spellStart"/>
      <w:r w:rsidRPr="008F6F3B">
        <w:t>Turnleaf</w:t>
      </w:r>
      <w:proofErr w:type="spellEnd"/>
      <w:r w:rsidRPr="008F6F3B">
        <w:t xml:space="preserve"> Analytics were used to carry out this project. The first is a multi-variate series of data containing US YoY Change in CPI forecasts, non-seasonally adjusted, for forward looking periods ranging from 1 month — 12 months, with a periodicity of 1 month. Additional data sets include 1</w:t>
      </w:r>
      <w:r w:rsidR="00FC24A6">
        <w:t>-</w:t>
      </w:r>
      <w:r w:rsidRPr="008F6F3B">
        <w:t>month</w:t>
      </w:r>
      <w:r w:rsidR="00FC24A6" w:rsidRPr="008F6F3B">
        <w:t>—</w:t>
      </w:r>
      <w:r w:rsidR="00FC24A6" w:rsidRPr="008F6F3B">
        <w:t>12-month</w:t>
      </w:r>
      <w:r w:rsidRPr="008F6F3B">
        <w:t xml:space="preserve"> predictions of ISM PMI (Purchasing Manufacturer’s Index) and ISM NMI (Non-Manufacturing Index). The latter two data series are meant to serve as a proxy for future GDP.</w:t>
      </w:r>
    </w:p>
    <w:p w14:paraId="24D9FD07" w14:textId="120D39BC" w:rsidR="001E057A" w:rsidRPr="001E057A" w:rsidRDefault="001E057A" w:rsidP="001E057A">
      <w:pPr>
        <w:pStyle w:val="Heading4"/>
        <w:rPr>
          <w:b/>
          <w:bCs/>
        </w:rPr>
      </w:pPr>
      <w:r w:rsidRPr="001E057A">
        <w:rPr>
          <w:b/>
          <w:bCs/>
        </w:rPr>
        <w:t>ETFs</w:t>
      </w:r>
      <w:r w:rsidR="00783F73">
        <w:rPr>
          <w:b/>
          <w:bCs/>
        </w:rPr>
        <w:t xml:space="preserve"> &amp; Total Return Estimation</w:t>
      </w:r>
    </w:p>
    <w:p w14:paraId="1C7C54DB" w14:textId="46244BD6" w:rsidR="00D73EEE" w:rsidRDefault="00D73EEE" w:rsidP="008F6F3B">
      <w:r w:rsidRPr="00D73EEE">
        <w:t>The ETFs chosen for this study cover Equities, Debt and Commodities markets. Each asset class has a representative ETF which tracks the broader asset class - AGG for fixed income ETFs, SPY for equities ETFs and DBC/GSG for commodities ETFs.</w:t>
      </w:r>
      <w:r w:rsidR="00783F73">
        <w:t xml:space="preserve"> A total of 64 ETFs were used for analysis; 19 of these were selected to discuss in greater detail, and are shown in the table below. </w:t>
      </w:r>
    </w:p>
    <w:p w14:paraId="383C0898" w14:textId="77777777" w:rsidR="00090682" w:rsidRDefault="00090682">
      <w:r>
        <w:br w:type="page"/>
      </w:r>
    </w:p>
    <w:tbl>
      <w:tblPr>
        <w:tblW w:w="8040" w:type="dxa"/>
        <w:tblLook w:val="04A0" w:firstRow="1" w:lastRow="0" w:firstColumn="1" w:lastColumn="0" w:noHBand="0" w:noVBand="1"/>
      </w:tblPr>
      <w:tblGrid>
        <w:gridCol w:w="1440"/>
        <w:gridCol w:w="1160"/>
        <w:gridCol w:w="5440"/>
      </w:tblGrid>
      <w:tr w:rsidR="003F3486" w:rsidRPr="003F3486" w14:paraId="7D9F08D8" w14:textId="77777777" w:rsidTr="003F3486">
        <w:trPr>
          <w:trHeight w:val="290"/>
        </w:trPr>
        <w:tc>
          <w:tcPr>
            <w:tcW w:w="1440" w:type="dxa"/>
            <w:tcBorders>
              <w:top w:val="single" w:sz="4" w:space="0" w:color="auto"/>
              <w:left w:val="single" w:sz="4" w:space="0" w:color="auto"/>
              <w:bottom w:val="single" w:sz="4" w:space="0" w:color="auto"/>
              <w:right w:val="nil"/>
            </w:tcBorders>
            <w:shd w:val="clear" w:color="auto" w:fill="auto"/>
            <w:noWrap/>
            <w:vAlign w:val="bottom"/>
            <w:hideMark/>
          </w:tcPr>
          <w:p w14:paraId="658D73C0" w14:textId="658B9E12"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lastRenderedPageBreak/>
              <w:t>Class</w:t>
            </w:r>
          </w:p>
        </w:tc>
        <w:tc>
          <w:tcPr>
            <w:tcW w:w="1160" w:type="dxa"/>
            <w:tcBorders>
              <w:top w:val="single" w:sz="4" w:space="0" w:color="auto"/>
              <w:left w:val="nil"/>
              <w:bottom w:val="single" w:sz="4" w:space="0" w:color="auto"/>
              <w:right w:val="nil"/>
            </w:tcBorders>
            <w:shd w:val="clear" w:color="auto" w:fill="auto"/>
            <w:noWrap/>
            <w:vAlign w:val="bottom"/>
            <w:hideMark/>
          </w:tcPr>
          <w:p w14:paraId="7E9E848F"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Ticker</w:t>
            </w:r>
          </w:p>
        </w:tc>
        <w:tc>
          <w:tcPr>
            <w:tcW w:w="5440" w:type="dxa"/>
            <w:tcBorders>
              <w:top w:val="single" w:sz="4" w:space="0" w:color="auto"/>
              <w:left w:val="nil"/>
              <w:bottom w:val="single" w:sz="4" w:space="0" w:color="auto"/>
              <w:right w:val="single" w:sz="4" w:space="0" w:color="auto"/>
            </w:tcBorders>
            <w:shd w:val="clear" w:color="auto" w:fill="auto"/>
            <w:noWrap/>
            <w:vAlign w:val="bottom"/>
            <w:hideMark/>
          </w:tcPr>
          <w:p w14:paraId="22504CCD"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Name</w:t>
            </w:r>
          </w:p>
        </w:tc>
      </w:tr>
      <w:tr w:rsidR="003F3486" w:rsidRPr="003F3486" w14:paraId="17537D4C" w14:textId="77777777" w:rsidTr="003F3486">
        <w:trPr>
          <w:trHeight w:val="290"/>
        </w:trPr>
        <w:tc>
          <w:tcPr>
            <w:tcW w:w="1440" w:type="dxa"/>
            <w:tcBorders>
              <w:top w:val="nil"/>
              <w:left w:val="single" w:sz="4" w:space="0" w:color="auto"/>
              <w:bottom w:val="nil"/>
              <w:right w:val="nil"/>
            </w:tcBorders>
            <w:shd w:val="clear" w:color="000000" w:fill="DDEBF7"/>
            <w:noWrap/>
            <w:vAlign w:val="bottom"/>
            <w:hideMark/>
          </w:tcPr>
          <w:p w14:paraId="59234565"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392A2881"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AGG</w:t>
            </w:r>
          </w:p>
        </w:tc>
        <w:tc>
          <w:tcPr>
            <w:tcW w:w="5440" w:type="dxa"/>
            <w:tcBorders>
              <w:top w:val="nil"/>
              <w:left w:val="nil"/>
              <w:bottom w:val="nil"/>
              <w:right w:val="single" w:sz="4" w:space="0" w:color="auto"/>
            </w:tcBorders>
            <w:shd w:val="clear" w:color="000000" w:fill="DDEBF7"/>
            <w:noWrap/>
            <w:vAlign w:val="bottom"/>
            <w:hideMark/>
          </w:tcPr>
          <w:p w14:paraId="2160BD86" w14:textId="77777777" w:rsidR="003F3486" w:rsidRPr="003F3486" w:rsidRDefault="003F3486" w:rsidP="003F3486">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iShares Core U.S. Aggregate Bond ETF</w:t>
            </w:r>
          </w:p>
        </w:tc>
      </w:tr>
      <w:tr w:rsidR="003F3486" w:rsidRPr="003F3486" w14:paraId="68C5F200" w14:textId="77777777" w:rsidTr="003F3486">
        <w:trPr>
          <w:trHeight w:val="290"/>
        </w:trPr>
        <w:tc>
          <w:tcPr>
            <w:tcW w:w="1440" w:type="dxa"/>
            <w:tcBorders>
              <w:top w:val="nil"/>
              <w:left w:val="single" w:sz="4" w:space="0" w:color="auto"/>
              <w:bottom w:val="nil"/>
              <w:right w:val="nil"/>
            </w:tcBorders>
            <w:shd w:val="clear" w:color="000000" w:fill="DDEBF7"/>
            <w:noWrap/>
            <w:vAlign w:val="bottom"/>
            <w:hideMark/>
          </w:tcPr>
          <w:p w14:paraId="78FA8840"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3E49EF91"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VCIT</w:t>
            </w:r>
          </w:p>
        </w:tc>
        <w:tc>
          <w:tcPr>
            <w:tcW w:w="5440" w:type="dxa"/>
            <w:tcBorders>
              <w:top w:val="nil"/>
              <w:left w:val="nil"/>
              <w:bottom w:val="nil"/>
              <w:right w:val="single" w:sz="4" w:space="0" w:color="auto"/>
            </w:tcBorders>
            <w:shd w:val="clear" w:color="000000" w:fill="DDEBF7"/>
            <w:noWrap/>
            <w:vAlign w:val="bottom"/>
            <w:hideMark/>
          </w:tcPr>
          <w:p w14:paraId="3578724E" w14:textId="77777777" w:rsidR="003F3486" w:rsidRPr="003F3486" w:rsidRDefault="003F3486" w:rsidP="003F3486">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Vanguard Intermediate-Term Corporate Bond ETF</w:t>
            </w:r>
          </w:p>
        </w:tc>
      </w:tr>
      <w:tr w:rsidR="003F3486" w:rsidRPr="003F3486" w14:paraId="63165CBC" w14:textId="77777777" w:rsidTr="003F3486">
        <w:trPr>
          <w:trHeight w:val="290"/>
        </w:trPr>
        <w:tc>
          <w:tcPr>
            <w:tcW w:w="1440" w:type="dxa"/>
            <w:tcBorders>
              <w:top w:val="nil"/>
              <w:left w:val="single" w:sz="4" w:space="0" w:color="auto"/>
              <w:bottom w:val="nil"/>
              <w:right w:val="nil"/>
            </w:tcBorders>
            <w:shd w:val="clear" w:color="000000" w:fill="DDEBF7"/>
            <w:noWrap/>
            <w:vAlign w:val="bottom"/>
            <w:hideMark/>
          </w:tcPr>
          <w:p w14:paraId="0CE1D7C6"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4F1F7E60"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SPIB</w:t>
            </w:r>
          </w:p>
        </w:tc>
        <w:tc>
          <w:tcPr>
            <w:tcW w:w="5440" w:type="dxa"/>
            <w:tcBorders>
              <w:top w:val="nil"/>
              <w:left w:val="nil"/>
              <w:bottom w:val="nil"/>
              <w:right w:val="single" w:sz="4" w:space="0" w:color="auto"/>
            </w:tcBorders>
            <w:shd w:val="clear" w:color="000000" w:fill="DDEBF7"/>
            <w:noWrap/>
            <w:vAlign w:val="bottom"/>
            <w:hideMark/>
          </w:tcPr>
          <w:p w14:paraId="0640129A" w14:textId="77777777" w:rsidR="003F3486" w:rsidRPr="003F3486" w:rsidRDefault="003F3486" w:rsidP="003F3486">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SPDR Portfolio Intermediate Term Corporate Bond ETF</w:t>
            </w:r>
          </w:p>
        </w:tc>
      </w:tr>
      <w:tr w:rsidR="003F3486" w:rsidRPr="003F3486" w14:paraId="6CAE4496" w14:textId="77777777" w:rsidTr="003F3486">
        <w:trPr>
          <w:trHeight w:val="290"/>
        </w:trPr>
        <w:tc>
          <w:tcPr>
            <w:tcW w:w="1440" w:type="dxa"/>
            <w:tcBorders>
              <w:top w:val="nil"/>
              <w:left w:val="single" w:sz="4" w:space="0" w:color="auto"/>
              <w:bottom w:val="nil"/>
              <w:right w:val="nil"/>
            </w:tcBorders>
            <w:shd w:val="clear" w:color="000000" w:fill="DDEBF7"/>
            <w:noWrap/>
            <w:vAlign w:val="bottom"/>
            <w:hideMark/>
          </w:tcPr>
          <w:p w14:paraId="6BF07A60"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0393AC2A"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BSV</w:t>
            </w:r>
          </w:p>
        </w:tc>
        <w:tc>
          <w:tcPr>
            <w:tcW w:w="5440" w:type="dxa"/>
            <w:tcBorders>
              <w:top w:val="nil"/>
              <w:left w:val="nil"/>
              <w:bottom w:val="nil"/>
              <w:right w:val="single" w:sz="4" w:space="0" w:color="auto"/>
            </w:tcBorders>
            <w:shd w:val="clear" w:color="000000" w:fill="DDEBF7"/>
            <w:noWrap/>
            <w:vAlign w:val="bottom"/>
            <w:hideMark/>
          </w:tcPr>
          <w:p w14:paraId="53408154" w14:textId="77777777" w:rsidR="003F3486" w:rsidRPr="003F3486" w:rsidRDefault="003F3486" w:rsidP="003F3486">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Vanguard Short-Term Bond ETF</w:t>
            </w:r>
          </w:p>
        </w:tc>
      </w:tr>
      <w:tr w:rsidR="003F3486" w:rsidRPr="003F3486" w14:paraId="4367EEA8" w14:textId="77777777" w:rsidTr="003F3486">
        <w:trPr>
          <w:trHeight w:val="290"/>
        </w:trPr>
        <w:tc>
          <w:tcPr>
            <w:tcW w:w="1440" w:type="dxa"/>
            <w:tcBorders>
              <w:top w:val="nil"/>
              <w:left w:val="single" w:sz="4" w:space="0" w:color="auto"/>
              <w:bottom w:val="nil"/>
              <w:right w:val="nil"/>
            </w:tcBorders>
            <w:shd w:val="clear" w:color="000000" w:fill="DDEBF7"/>
            <w:noWrap/>
            <w:vAlign w:val="bottom"/>
            <w:hideMark/>
          </w:tcPr>
          <w:p w14:paraId="748A1CDC"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71821330"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JNK</w:t>
            </w:r>
          </w:p>
        </w:tc>
        <w:tc>
          <w:tcPr>
            <w:tcW w:w="5440" w:type="dxa"/>
            <w:tcBorders>
              <w:top w:val="nil"/>
              <w:left w:val="nil"/>
              <w:bottom w:val="nil"/>
              <w:right w:val="single" w:sz="4" w:space="0" w:color="auto"/>
            </w:tcBorders>
            <w:shd w:val="clear" w:color="000000" w:fill="DDEBF7"/>
            <w:noWrap/>
            <w:vAlign w:val="bottom"/>
            <w:hideMark/>
          </w:tcPr>
          <w:p w14:paraId="26270E9A" w14:textId="77777777" w:rsidR="003F3486" w:rsidRPr="003F3486" w:rsidRDefault="003F3486" w:rsidP="003F3486">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SPDR Bloomberg High Yield Bond ETF</w:t>
            </w:r>
          </w:p>
        </w:tc>
      </w:tr>
      <w:tr w:rsidR="003F3486" w:rsidRPr="003F3486" w14:paraId="6A3806BD" w14:textId="77777777" w:rsidTr="003F3486">
        <w:trPr>
          <w:trHeight w:val="290"/>
        </w:trPr>
        <w:tc>
          <w:tcPr>
            <w:tcW w:w="1440" w:type="dxa"/>
            <w:tcBorders>
              <w:top w:val="nil"/>
              <w:left w:val="single" w:sz="4" w:space="0" w:color="auto"/>
              <w:bottom w:val="nil"/>
              <w:right w:val="nil"/>
            </w:tcBorders>
            <w:shd w:val="clear" w:color="000000" w:fill="DDEBF7"/>
            <w:noWrap/>
            <w:vAlign w:val="bottom"/>
            <w:hideMark/>
          </w:tcPr>
          <w:p w14:paraId="053B6C2A"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53B14586"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TBT</w:t>
            </w:r>
          </w:p>
        </w:tc>
        <w:tc>
          <w:tcPr>
            <w:tcW w:w="5440" w:type="dxa"/>
            <w:tcBorders>
              <w:top w:val="nil"/>
              <w:left w:val="nil"/>
              <w:bottom w:val="nil"/>
              <w:right w:val="single" w:sz="4" w:space="0" w:color="auto"/>
            </w:tcBorders>
            <w:shd w:val="clear" w:color="000000" w:fill="DDEBF7"/>
            <w:noWrap/>
            <w:vAlign w:val="bottom"/>
            <w:hideMark/>
          </w:tcPr>
          <w:p w14:paraId="52C4FD58" w14:textId="77777777" w:rsidR="003F3486" w:rsidRPr="003F3486" w:rsidRDefault="003F3486" w:rsidP="003F3486">
            <w:pPr>
              <w:spacing w:after="0" w:line="240" w:lineRule="auto"/>
              <w:rPr>
                <w:rFonts w:ascii="Calibri" w:eastAsia="Times New Roman" w:hAnsi="Calibri" w:cs="Calibri"/>
                <w:color w:val="000000"/>
                <w:kern w:val="0"/>
                <w14:ligatures w14:val="none"/>
              </w:rPr>
            </w:pPr>
            <w:proofErr w:type="spellStart"/>
            <w:r w:rsidRPr="003F3486">
              <w:rPr>
                <w:rFonts w:ascii="Calibri" w:eastAsia="Times New Roman" w:hAnsi="Calibri" w:cs="Calibri"/>
                <w:color w:val="000000"/>
                <w:kern w:val="0"/>
                <w14:ligatures w14:val="none"/>
              </w:rPr>
              <w:t>ProShares</w:t>
            </w:r>
            <w:proofErr w:type="spellEnd"/>
            <w:r w:rsidRPr="003F3486">
              <w:rPr>
                <w:rFonts w:ascii="Calibri" w:eastAsia="Times New Roman" w:hAnsi="Calibri" w:cs="Calibri"/>
                <w:color w:val="000000"/>
                <w:kern w:val="0"/>
                <w14:ligatures w14:val="none"/>
              </w:rPr>
              <w:t xml:space="preserve"> </w:t>
            </w:r>
            <w:proofErr w:type="spellStart"/>
            <w:r w:rsidRPr="003F3486">
              <w:rPr>
                <w:rFonts w:ascii="Calibri" w:eastAsia="Times New Roman" w:hAnsi="Calibri" w:cs="Calibri"/>
                <w:color w:val="000000"/>
                <w:kern w:val="0"/>
                <w14:ligatures w14:val="none"/>
              </w:rPr>
              <w:t>UltraShort</w:t>
            </w:r>
            <w:proofErr w:type="spellEnd"/>
            <w:r w:rsidRPr="003F3486">
              <w:rPr>
                <w:rFonts w:ascii="Calibri" w:eastAsia="Times New Roman" w:hAnsi="Calibri" w:cs="Calibri"/>
                <w:color w:val="000000"/>
                <w:kern w:val="0"/>
                <w14:ligatures w14:val="none"/>
              </w:rPr>
              <w:t xml:space="preserve"> 20+ Year Treasury </w:t>
            </w:r>
            <w:r w:rsidRPr="003F3486">
              <w:rPr>
                <w:rFonts w:ascii="Calibri" w:eastAsia="Times New Roman" w:hAnsi="Calibri" w:cs="Calibri"/>
                <w:i/>
                <w:iCs/>
                <w:color w:val="000000"/>
                <w:kern w:val="0"/>
                <w14:ligatures w14:val="none"/>
              </w:rPr>
              <w:t>(Levered)</w:t>
            </w:r>
          </w:p>
        </w:tc>
      </w:tr>
      <w:tr w:rsidR="003F3486" w:rsidRPr="003F3486" w14:paraId="6732B1D9" w14:textId="77777777" w:rsidTr="003F3486">
        <w:trPr>
          <w:trHeight w:val="300"/>
        </w:trPr>
        <w:tc>
          <w:tcPr>
            <w:tcW w:w="1440" w:type="dxa"/>
            <w:tcBorders>
              <w:top w:val="nil"/>
              <w:left w:val="single" w:sz="4" w:space="0" w:color="auto"/>
              <w:bottom w:val="nil"/>
              <w:right w:val="nil"/>
            </w:tcBorders>
            <w:shd w:val="clear" w:color="000000" w:fill="DDEBF7"/>
            <w:noWrap/>
            <w:vAlign w:val="bottom"/>
            <w:hideMark/>
          </w:tcPr>
          <w:p w14:paraId="02675E79"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52A00B51"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TMV</w:t>
            </w:r>
          </w:p>
        </w:tc>
        <w:tc>
          <w:tcPr>
            <w:tcW w:w="5440" w:type="dxa"/>
            <w:tcBorders>
              <w:top w:val="nil"/>
              <w:left w:val="nil"/>
              <w:bottom w:val="nil"/>
              <w:right w:val="single" w:sz="4" w:space="0" w:color="auto"/>
            </w:tcBorders>
            <w:shd w:val="clear" w:color="000000" w:fill="DDEBF7"/>
            <w:noWrap/>
            <w:vAlign w:val="bottom"/>
            <w:hideMark/>
          </w:tcPr>
          <w:p w14:paraId="60DF0794" w14:textId="77777777" w:rsidR="003F3486" w:rsidRPr="003F3486" w:rsidRDefault="003F3486" w:rsidP="003F3486">
            <w:pPr>
              <w:spacing w:after="0" w:line="240" w:lineRule="auto"/>
              <w:rPr>
                <w:rFonts w:ascii="Calibri" w:eastAsia="Times New Roman" w:hAnsi="Calibri" w:cs="Calibri"/>
                <w:color w:val="000000"/>
                <w:kern w:val="0"/>
                <w14:ligatures w14:val="none"/>
              </w:rPr>
            </w:pPr>
            <w:proofErr w:type="spellStart"/>
            <w:r w:rsidRPr="003F3486">
              <w:rPr>
                <w:rFonts w:ascii="Calibri" w:eastAsia="Times New Roman" w:hAnsi="Calibri" w:cs="Calibri"/>
                <w:color w:val="000000"/>
                <w:kern w:val="0"/>
                <w14:ligatures w14:val="none"/>
              </w:rPr>
              <w:t>Direxion</w:t>
            </w:r>
            <w:proofErr w:type="spellEnd"/>
            <w:r w:rsidRPr="003F3486">
              <w:rPr>
                <w:rFonts w:ascii="Calibri" w:eastAsia="Times New Roman" w:hAnsi="Calibri" w:cs="Calibri"/>
                <w:color w:val="000000"/>
                <w:kern w:val="0"/>
                <w14:ligatures w14:val="none"/>
              </w:rPr>
              <w:t xml:space="preserve"> Daily 20 Year Plus Treasury Bear 3x Levered</w:t>
            </w:r>
          </w:p>
        </w:tc>
      </w:tr>
      <w:tr w:rsidR="003F3486" w:rsidRPr="003F3486" w14:paraId="2E792D1D" w14:textId="77777777" w:rsidTr="003F3486">
        <w:trPr>
          <w:trHeight w:val="290"/>
        </w:trPr>
        <w:tc>
          <w:tcPr>
            <w:tcW w:w="1440" w:type="dxa"/>
            <w:tcBorders>
              <w:top w:val="dashed" w:sz="8" w:space="0" w:color="808080"/>
              <w:left w:val="single" w:sz="4" w:space="0" w:color="auto"/>
              <w:bottom w:val="nil"/>
              <w:right w:val="nil"/>
            </w:tcBorders>
            <w:shd w:val="clear" w:color="000000" w:fill="DDEBF7"/>
            <w:noWrap/>
            <w:vAlign w:val="bottom"/>
            <w:hideMark/>
          </w:tcPr>
          <w:p w14:paraId="1EDDC00E"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dashed" w:sz="8" w:space="0" w:color="808080"/>
              <w:left w:val="nil"/>
              <w:bottom w:val="nil"/>
              <w:right w:val="nil"/>
            </w:tcBorders>
            <w:shd w:val="clear" w:color="000000" w:fill="DDEBF7"/>
            <w:noWrap/>
            <w:vAlign w:val="bottom"/>
            <w:hideMark/>
          </w:tcPr>
          <w:p w14:paraId="3C1D93FB"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VCLT</w:t>
            </w:r>
          </w:p>
        </w:tc>
        <w:tc>
          <w:tcPr>
            <w:tcW w:w="5440" w:type="dxa"/>
            <w:tcBorders>
              <w:top w:val="dashed" w:sz="8" w:space="0" w:color="808080"/>
              <w:left w:val="nil"/>
              <w:bottom w:val="nil"/>
              <w:right w:val="single" w:sz="4" w:space="0" w:color="auto"/>
            </w:tcBorders>
            <w:shd w:val="clear" w:color="000000" w:fill="DDEBF7"/>
            <w:noWrap/>
            <w:vAlign w:val="bottom"/>
            <w:hideMark/>
          </w:tcPr>
          <w:p w14:paraId="55C2D52E" w14:textId="77777777" w:rsidR="003F3486" w:rsidRPr="003F3486" w:rsidRDefault="003F3486" w:rsidP="003F3486">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Vanguard Long-Term Corporate Bond ETF</w:t>
            </w:r>
          </w:p>
        </w:tc>
      </w:tr>
      <w:tr w:rsidR="003F3486" w:rsidRPr="003F3486" w14:paraId="6CC6D157" w14:textId="77777777" w:rsidTr="003F3486">
        <w:trPr>
          <w:trHeight w:val="290"/>
        </w:trPr>
        <w:tc>
          <w:tcPr>
            <w:tcW w:w="1440" w:type="dxa"/>
            <w:tcBorders>
              <w:top w:val="nil"/>
              <w:left w:val="single" w:sz="4" w:space="0" w:color="auto"/>
              <w:bottom w:val="nil"/>
              <w:right w:val="nil"/>
            </w:tcBorders>
            <w:shd w:val="clear" w:color="000000" w:fill="DDEBF7"/>
            <w:noWrap/>
            <w:vAlign w:val="bottom"/>
            <w:hideMark/>
          </w:tcPr>
          <w:p w14:paraId="79C47E7C"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023549CC"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LQD</w:t>
            </w:r>
          </w:p>
        </w:tc>
        <w:tc>
          <w:tcPr>
            <w:tcW w:w="5440" w:type="dxa"/>
            <w:tcBorders>
              <w:top w:val="nil"/>
              <w:left w:val="nil"/>
              <w:bottom w:val="nil"/>
              <w:right w:val="single" w:sz="4" w:space="0" w:color="auto"/>
            </w:tcBorders>
            <w:shd w:val="clear" w:color="000000" w:fill="DDEBF7"/>
            <w:noWrap/>
            <w:vAlign w:val="bottom"/>
            <w:hideMark/>
          </w:tcPr>
          <w:p w14:paraId="515CB634" w14:textId="77777777" w:rsidR="003F3486" w:rsidRPr="003F3486" w:rsidRDefault="003F3486" w:rsidP="003F3486">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 xml:space="preserve">iShares </w:t>
            </w:r>
            <w:proofErr w:type="spellStart"/>
            <w:r w:rsidRPr="003F3486">
              <w:rPr>
                <w:rFonts w:ascii="Calibri" w:eastAsia="Times New Roman" w:hAnsi="Calibri" w:cs="Calibri"/>
                <w:color w:val="000000"/>
                <w:kern w:val="0"/>
                <w14:ligatures w14:val="none"/>
              </w:rPr>
              <w:t>iBoxx</w:t>
            </w:r>
            <w:proofErr w:type="spellEnd"/>
            <w:r w:rsidRPr="003F3486">
              <w:rPr>
                <w:rFonts w:ascii="Calibri" w:eastAsia="Times New Roman" w:hAnsi="Calibri" w:cs="Calibri"/>
                <w:color w:val="000000"/>
                <w:kern w:val="0"/>
                <w14:ligatures w14:val="none"/>
              </w:rPr>
              <w:t xml:space="preserve"> $ Investment Grade Corporate Bond ETF</w:t>
            </w:r>
          </w:p>
        </w:tc>
      </w:tr>
      <w:tr w:rsidR="003F3486" w:rsidRPr="003F3486" w14:paraId="24DAC1B9" w14:textId="77777777" w:rsidTr="003F3486">
        <w:trPr>
          <w:trHeight w:val="290"/>
        </w:trPr>
        <w:tc>
          <w:tcPr>
            <w:tcW w:w="1440" w:type="dxa"/>
            <w:tcBorders>
              <w:top w:val="nil"/>
              <w:left w:val="single" w:sz="4" w:space="0" w:color="auto"/>
              <w:bottom w:val="single" w:sz="4" w:space="0" w:color="auto"/>
              <w:right w:val="nil"/>
            </w:tcBorders>
            <w:shd w:val="clear" w:color="000000" w:fill="DDEBF7"/>
            <w:noWrap/>
            <w:vAlign w:val="bottom"/>
            <w:hideMark/>
          </w:tcPr>
          <w:p w14:paraId="2259EF64"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single" w:sz="4" w:space="0" w:color="auto"/>
              <w:right w:val="nil"/>
            </w:tcBorders>
            <w:shd w:val="clear" w:color="000000" w:fill="DDEBF7"/>
            <w:noWrap/>
            <w:vAlign w:val="bottom"/>
            <w:hideMark/>
          </w:tcPr>
          <w:p w14:paraId="6F41A1AC"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TMF</w:t>
            </w:r>
          </w:p>
        </w:tc>
        <w:tc>
          <w:tcPr>
            <w:tcW w:w="5440" w:type="dxa"/>
            <w:tcBorders>
              <w:top w:val="nil"/>
              <w:left w:val="nil"/>
              <w:bottom w:val="single" w:sz="4" w:space="0" w:color="auto"/>
              <w:right w:val="single" w:sz="4" w:space="0" w:color="auto"/>
            </w:tcBorders>
            <w:shd w:val="clear" w:color="000000" w:fill="DDEBF7"/>
            <w:noWrap/>
            <w:vAlign w:val="bottom"/>
            <w:hideMark/>
          </w:tcPr>
          <w:p w14:paraId="43E4353A" w14:textId="77777777" w:rsidR="003F3486" w:rsidRPr="003F3486" w:rsidRDefault="003F3486" w:rsidP="003F3486">
            <w:pPr>
              <w:spacing w:after="0" w:line="240" w:lineRule="auto"/>
              <w:rPr>
                <w:rFonts w:ascii="Calibri" w:eastAsia="Times New Roman" w:hAnsi="Calibri" w:cs="Calibri"/>
                <w:color w:val="000000"/>
                <w:kern w:val="0"/>
                <w14:ligatures w14:val="none"/>
              </w:rPr>
            </w:pPr>
            <w:proofErr w:type="spellStart"/>
            <w:r w:rsidRPr="003F3486">
              <w:rPr>
                <w:rFonts w:ascii="Calibri" w:eastAsia="Times New Roman" w:hAnsi="Calibri" w:cs="Calibri"/>
                <w:color w:val="000000"/>
                <w:kern w:val="0"/>
                <w14:ligatures w14:val="none"/>
              </w:rPr>
              <w:t>Direxion</w:t>
            </w:r>
            <w:proofErr w:type="spellEnd"/>
            <w:r w:rsidRPr="003F3486">
              <w:rPr>
                <w:rFonts w:ascii="Calibri" w:eastAsia="Times New Roman" w:hAnsi="Calibri" w:cs="Calibri"/>
                <w:color w:val="000000"/>
                <w:kern w:val="0"/>
                <w14:ligatures w14:val="none"/>
              </w:rPr>
              <w:t xml:space="preserve"> Daily 20 Year Plus Treasury Bull 3x Levered</w:t>
            </w:r>
          </w:p>
        </w:tc>
      </w:tr>
      <w:tr w:rsidR="003F3486" w:rsidRPr="003F3486" w14:paraId="032FFC9D" w14:textId="77777777" w:rsidTr="003F3486">
        <w:trPr>
          <w:trHeight w:val="290"/>
        </w:trPr>
        <w:tc>
          <w:tcPr>
            <w:tcW w:w="1440" w:type="dxa"/>
            <w:tcBorders>
              <w:top w:val="nil"/>
              <w:left w:val="single" w:sz="4" w:space="0" w:color="auto"/>
              <w:bottom w:val="nil"/>
              <w:right w:val="nil"/>
            </w:tcBorders>
            <w:shd w:val="clear" w:color="000000" w:fill="E2EFDA"/>
            <w:noWrap/>
            <w:vAlign w:val="bottom"/>
            <w:hideMark/>
          </w:tcPr>
          <w:p w14:paraId="77468CE7"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Equity</w:t>
            </w:r>
          </w:p>
        </w:tc>
        <w:tc>
          <w:tcPr>
            <w:tcW w:w="1160" w:type="dxa"/>
            <w:tcBorders>
              <w:top w:val="nil"/>
              <w:left w:val="nil"/>
              <w:bottom w:val="nil"/>
              <w:right w:val="nil"/>
            </w:tcBorders>
            <w:shd w:val="clear" w:color="000000" w:fill="E2EFDA"/>
            <w:noWrap/>
            <w:vAlign w:val="bottom"/>
            <w:hideMark/>
          </w:tcPr>
          <w:p w14:paraId="68986AAF"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SPY</w:t>
            </w:r>
          </w:p>
        </w:tc>
        <w:tc>
          <w:tcPr>
            <w:tcW w:w="5440" w:type="dxa"/>
            <w:tcBorders>
              <w:top w:val="nil"/>
              <w:left w:val="nil"/>
              <w:bottom w:val="nil"/>
              <w:right w:val="single" w:sz="4" w:space="0" w:color="auto"/>
            </w:tcBorders>
            <w:shd w:val="clear" w:color="000000" w:fill="E2EFDA"/>
            <w:noWrap/>
            <w:vAlign w:val="bottom"/>
            <w:hideMark/>
          </w:tcPr>
          <w:p w14:paraId="3A41A3A6" w14:textId="77777777" w:rsidR="003F3486" w:rsidRPr="003F3486" w:rsidRDefault="003F3486" w:rsidP="003F3486">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SPDR S&amp;P 500 ETF Trust</w:t>
            </w:r>
          </w:p>
        </w:tc>
      </w:tr>
      <w:tr w:rsidR="003F3486" w:rsidRPr="003F3486" w14:paraId="2D3140A9" w14:textId="77777777" w:rsidTr="003F3486">
        <w:trPr>
          <w:trHeight w:val="290"/>
        </w:trPr>
        <w:tc>
          <w:tcPr>
            <w:tcW w:w="1440" w:type="dxa"/>
            <w:tcBorders>
              <w:top w:val="nil"/>
              <w:left w:val="single" w:sz="4" w:space="0" w:color="auto"/>
              <w:bottom w:val="nil"/>
              <w:right w:val="nil"/>
            </w:tcBorders>
            <w:shd w:val="clear" w:color="000000" w:fill="E2EFDA"/>
            <w:noWrap/>
            <w:vAlign w:val="bottom"/>
            <w:hideMark/>
          </w:tcPr>
          <w:p w14:paraId="62FAB653"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Equity</w:t>
            </w:r>
          </w:p>
        </w:tc>
        <w:tc>
          <w:tcPr>
            <w:tcW w:w="1160" w:type="dxa"/>
            <w:tcBorders>
              <w:top w:val="nil"/>
              <w:left w:val="nil"/>
              <w:bottom w:val="nil"/>
              <w:right w:val="nil"/>
            </w:tcBorders>
            <w:shd w:val="clear" w:color="000000" w:fill="E2EFDA"/>
            <w:noWrap/>
            <w:vAlign w:val="bottom"/>
            <w:hideMark/>
          </w:tcPr>
          <w:p w14:paraId="47317D33"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SPYG</w:t>
            </w:r>
          </w:p>
        </w:tc>
        <w:tc>
          <w:tcPr>
            <w:tcW w:w="5440" w:type="dxa"/>
            <w:tcBorders>
              <w:top w:val="nil"/>
              <w:left w:val="nil"/>
              <w:bottom w:val="nil"/>
              <w:right w:val="single" w:sz="4" w:space="0" w:color="auto"/>
            </w:tcBorders>
            <w:shd w:val="clear" w:color="000000" w:fill="E2EFDA"/>
            <w:noWrap/>
            <w:vAlign w:val="bottom"/>
            <w:hideMark/>
          </w:tcPr>
          <w:p w14:paraId="509CDF59" w14:textId="77777777" w:rsidR="003F3486" w:rsidRPr="003F3486" w:rsidRDefault="003F3486" w:rsidP="003F3486">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SPDR Portfolio S&amp;P 500 Growth ETF</w:t>
            </w:r>
          </w:p>
        </w:tc>
      </w:tr>
      <w:tr w:rsidR="003F3486" w:rsidRPr="003F3486" w14:paraId="15AD380B" w14:textId="77777777" w:rsidTr="003F3486">
        <w:trPr>
          <w:trHeight w:val="300"/>
        </w:trPr>
        <w:tc>
          <w:tcPr>
            <w:tcW w:w="1440" w:type="dxa"/>
            <w:tcBorders>
              <w:top w:val="nil"/>
              <w:left w:val="single" w:sz="4" w:space="0" w:color="auto"/>
              <w:bottom w:val="nil"/>
              <w:right w:val="nil"/>
            </w:tcBorders>
            <w:shd w:val="clear" w:color="000000" w:fill="E2EFDA"/>
            <w:noWrap/>
            <w:vAlign w:val="bottom"/>
            <w:hideMark/>
          </w:tcPr>
          <w:p w14:paraId="558A5960"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Equity</w:t>
            </w:r>
          </w:p>
        </w:tc>
        <w:tc>
          <w:tcPr>
            <w:tcW w:w="1160" w:type="dxa"/>
            <w:tcBorders>
              <w:top w:val="nil"/>
              <w:left w:val="nil"/>
              <w:bottom w:val="nil"/>
              <w:right w:val="nil"/>
            </w:tcBorders>
            <w:shd w:val="clear" w:color="000000" w:fill="E2EFDA"/>
            <w:noWrap/>
            <w:vAlign w:val="bottom"/>
            <w:hideMark/>
          </w:tcPr>
          <w:p w14:paraId="3793AABE"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SPLG</w:t>
            </w:r>
          </w:p>
        </w:tc>
        <w:tc>
          <w:tcPr>
            <w:tcW w:w="5440" w:type="dxa"/>
            <w:tcBorders>
              <w:top w:val="nil"/>
              <w:left w:val="nil"/>
              <w:bottom w:val="nil"/>
              <w:right w:val="single" w:sz="4" w:space="0" w:color="auto"/>
            </w:tcBorders>
            <w:shd w:val="clear" w:color="000000" w:fill="E2EFDA"/>
            <w:noWrap/>
            <w:vAlign w:val="bottom"/>
            <w:hideMark/>
          </w:tcPr>
          <w:p w14:paraId="3709FFF5" w14:textId="77777777" w:rsidR="003F3486" w:rsidRPr="003F3486" w:rsidRDefault="003F3486" w:rsidP="003F3486">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SPDR Portfolio S&amp;P 500 ETF</w:t>
            </w:r>
          </w:p>
        </w:tc>
      </w:tr>
      <w:tr w:rsidR="003F3486" w:rsidRPr="003F3486" w14:paraId="1CC6A6B5" w14:textId="77777777" w:rsidTr="003F3486">
        <w:trPr>
          <w:trHeight w:val="290"/>
        </w:trPr>
        <w:tc>
          <w:tcPr>
            <w:tcW w:w="1440" w:type="dxa"/>
            <w:tcBorders>
              <w:top w:val="dashed" w:sz="8" w:space="0" w:color="808080"/>
              <w:left w:val="single" w:sz="4" w:space="0" w:color="auto"/>
              <w:bottom w:val="nil"/>
              <w:right w:val="nil"/>
            </w:tcBorders>
            <w:shd w:val="clear" w:color="000000" w:fill="E2EFDA"/>
            <w:noWrap/>
            <w:vAlign w:val="bottom"/>
            <w:hideMark/>
          </w:tcPr>
          <w:p w14:paraId="314BAFE6"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Equity</w:t>
            </w:r>
          </w:p>
        </w:tc>
        <w:tc>
          <w:tcPr>
            <w:tcW w:w="1160" w:type="dxa"/>
            <w:tcBorders>
              <w:top w:val="dashed" w:sz="8" w:space="0" w:color="808080"/>
              <w:left w:val="nil"/>
              <w:bottom w:val="nil"/>
              <w:right w:val="nil"/>
            </w:tcBorders>
            <w:shd w:val="clear" w:color="000000" w:fill="E2EFDA"/>
            <w:noWrap/>
            <w:vAlign w:val="bottom"/>
            <w:hideMark/>
          </w:tcPr>
          <w:p w14:paraId="3FA7E358"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KBE</w:t>
            </w:r>
          </w:p>
        </w:tc>
        <w:tc>
          <w:tcPr>
            <w:tcW w:w="5440" w:type="dxa"/>
            <w:tcBorders>
              <w:top w:val="dashed" w:sz="8" w:space="0" w:color="808080"/>
              <w:left w:val="nil"/>
              <w:bottom w:val="nil"/>
              <w:right w:val="single" w:sz="4" w:space="0" w:color="auto"/>
            </w:tcBorders>
            <w:shd w:val="clear" w:color="000000" w:fill="E2EFDA"/>
            <w:noWrap/>
            <w:vAlign w:val="bottom"/>
            <w:hideMark/>
          </w:tcPr>
          <w:p w14:paraId="26C98A2D" w14:textId="77777777" w:rsidR="003F3486" w:rsidRPr="003F3486" w:rsidRDefault="003F3486" w:rsidP="003F3486">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SPDR S&amp;P Bank ETF</w:t>
            </w:r>
          </w:p>
        </w:tc>
      </w:tr>
      <w:tr w:rsidR="003F3486" w:rsidRPr="003F3486" w14:paraId="3620E3F3" w14:textId="77777777" w:rsidTr="003F3486">
        <w:trPr>
          <w:trHeight w:val="290"/>
        </w:trPr>
        <w:tc>
          <w:tcPr>
            <w:tcW w:w="1440" w:type="dxa"/>
            <w:tcBorders>
              <w:top w:val="nil"/>
              <w:left w:val="single" w:sz="4" w:space="0" w:color="auto"/>
              <w:bottom w:val="single" w:sz="4" w:space="0" w:color="auto"/>
              <w:right w:val="nil"/>
            </w:tcBorders>
            <w:shd w:val="clear" w:color="000000" w:fill="E2EFDA"/>
            <w:noWrap/>
            <w:vAlign w:val="bottom"/>
            <w:hideMark/>
          </w:tcPr>
          <w:p w14:paraId="0BF636BD"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Equity</w:t>
            </w:r>
          </w:p>
        </w:tc>
        <w:tc>
          <w:tcPr>
            <w:tcW w:w="1160" w:type="dxa"/>
            <w:tcBorders>
              <w:top w:val="nil"/>
              <w:left w:val="nil"/>
              <w:bottom w:val="single" w:sz="4" w:space="0" w:color="auto"/>
              <w:right w:val="nil"/>
            </w:tcBorders>
            <w:shd w:val="clear" w:color="000000" w:fill="E2EFDA"/>
            <w:noWrap/>
            <w:vAlign w:val="bottom"/>
            <w:hideMark/>
          </w:tcPr>
          <w:p w14:paraId="7F9EA0FC"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XRT</w:t>
            </w:r>
          </w:p>
        </w:tc>
        <w:tc>
          <w:tcPr>
            <w:tcW w:w="5440" w:type="dxa"/>
            <w:tcBorders>
              <w:top w:val="nil"/>
              <w:left w:val="nil"/>
              <w:bottom w:val="single" w:sz="4" w:space="0" w:color="auto"/>
              <w:right w:val="single" w:sz="4" w:space="0" w:color="auto"/>
            </w:tcBorders>
            <w:shd w:val="clear" w:color="000000" w:fill="E2EFDA"/>
            <w:noWrap/>
            <w:vAlign w:val="bottom"/>
            <w:hideMark/>
          </w:tcPr>
          <w:p w14:paraId="0392E9D3" w14:textId="77777777" w:rsidR="003F3486" w:rsidRPr="003F3486" w:rsidRDefault="003F3486" w:rsidP="003F3486">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SPDR S&amp;P Retail ETF</w:t>
            </w:r>
          </w:p>
        </w:tc>
      </w:tr>
      <w:tr w:rsidR="003F3486" w:rsidRPr="003F3486" w14:paraId="0074F92E" w14:textId="77777777" w:rsidTr="003F3486">
        <w:trPr>
          <w:trHeight w:val="290"/>
        </w:trPr>
        <w:tc>
          <w:tcPr>
            <w:tcW w:w="1440" w:type="dxa"/>
            <w:tcBorders>
              <w:top w:val="nil"/>
              <w:left w:val="single" w:sz="4" w:space="0" w:color="auto"/>
              <w:bottom w:val="nil"/>
              <w:right w:val="nil"/>
            </w:tcBorders>
            <w:shd w:val="clear" w:color="000000" w:fill="FFF2CC"/>
            <w:noWrap/>
            <w:vAlign w:val="bottom"/>
            <w:hideMark/>
          </w:tcPr>
          <w:p w14:paraId="26D59FC5"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Commodities</w:t>
            </w:r>
          </w:p>
        </w:tc>
        <w:tc>
          <w:tcPr>
            <w:tcW w:w="1160" w:type="dxa"/>
            <w:tcBorders>
              <w:top w:val="nil"/>
              <w:left w:val="nil"/>
              <w:bottom w:val="nil"/>
              <w:right w:val="nil"/>
            </w:tcBorders>
            <w:shd w:val="clear" w:color="000000" w:fill="FFF2CC"/>
            <w:noWrap/>
            <w:vAlign w:val="bottom"/>
            <w:hideMark/>
          </w:tcPr>
          <w:p w14:paraId="6C5F0EC6"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DBC</w:t>
            </w:r>
          </w:p>
        </w:tc>
        <w:tc>
          <w:tcPr>
            <w:tcW w:w="5440" w:type="dxa"/>
            <w:tcBorders>
              <w:top w:val="nil"/>
              <w:left w:val="nil"/>
              <w:bottom w:val="nil"/>
              <w:right w:val="single" w:sz="4" w:space="0" w:color="auto"/>
            </w:tcBorders>
            <w:shd w:val="clear" w:color="000000" w:fill="FFF2CC"/>
            <w:noWrap/>
            <w:vAlign w:val="bottom"/>
            <w:hideMark/>
          </w:tcPr>
          <w:p w14:paraId="15C6A357" w14:textId="77777777" w:rsidR="003F3486" w:rsidRPr="003F3486" w:rsidRDefault="003F3486" w:rsidP="003F3486">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Invesco DB Commodity Index Tracking Fund</w:t>
            </w:r>
          </w:p>
        </w:tc>
      </w:tr>
      <w:tr w:rsidR="003F3486" w:rsidRPr="003F3486" w14:paraId="5796780B" w14:textId="77777777" w:rsidTr="003F3486">
        <w:trPr>
          <w:trHeight w:val="300"/>
        </w:trPr>
        <w:tc>
          <w:tcPr>
            <w:tcW w:w="1440" w:type="dxa"/>
            <w:tcBorders>
              <w:top w:val="nil"/>
              <w:left w:val="single" w:sz="4" w:space="0" w:color="auto"/>
              <w:bottom w:val="nil"/>
              <w:right w:val="nil"/>
            </w:tcBorders>
            <w:shd w:val="clear" w:color="000000" w:fill="FFF2CC"/>
            <w:noWrap/>
            <w:vAlign w:val="bottom"/>
            <w:hideMark/>
          </w:tcPr>
          <w:p w14:paraId="22881282"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Commodities</w:t>
            </w:r>
          </w:p>
        </w:tc>
        <w:tc>
          <w:tcPr>
            <w:tcW w:w="1160" w:type="dxa"/>
            <w:tcBorders>
              <w:top w:val="nil"/>
              <w:left w:val="nil"/>
              <w:bottom w:val="nil"/>
              <w:right w:val="nil"/>
            </w:tcBorders>
            <w:shd w:val="clear" w:color="000000" w:fill="FFF2CC"/>
            <w:noWrap/>
            <w:vAlign w:val="bottom"/>
            <w:hideMark/>
          </w:tcPr>
          <w:p w14:paraId="593AD2ED"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GSG</w:t>
            </w:r>
          </w:p>
        </w:tc>
        <w:tc>
          <w:tcPr>
            <w:tcW w:w="5440" w:type="dxa"/>
            <w:tcBorders>
              <w:top w:val="nil"/>
              <w:left w:val="nil"/>
              <w:bottom w:val="nil"/>
              <w:right w:val="single" w:sz="4" w:space="0" w:color="auto"/>
            </w:tcBorders>
            <w:shd w:val="clear" w:color="000000" w:fill="FFF2CC"/>
            <w:noWrap/>
            <w:vAlign w:val="bottom"/>
            <w:hideMark/>
          </w:tcPr>
          <w:p w14:paraId="40BAC14D" w14:textId="77777777" w:rsidR="003F3486" w:rsidRPr="003F3486" w:rsidRDefault="003F3486" w:rsidP="003F3486">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iShares S&amp;P GSCI Commodity-Indexed Trust</w:t>
            </w:r>
          </w:p>
        </w:tc>
      </w:tr>
      <w:tr w:rsidR="003F3486" w:rsidRPr="003F3486" w14:paraId="2A84BA6A" w14:textId="77777777" w:rsidTr="003F3486">
        <w:trPr>
          <w:trHeight w:val="290"/>
        </w:trPr>
        <w:tc>
          <w:tcPr>
            <w:tcW w:w="1440" w:type="dxa"/>
            <w:tcBorders>
              <w:top w:val="dashed" w:sz="8" w:space="0" w:color="808080"/>
              <w:left w:val="single" w:sz="4" w:space="0" w:color="auto"/>
              <w:bottom w:val="nil"/>
              <w:right w:val="nil"/>
            </w:tcBorders>
            <w:shd w:val="clear" w:color="000000" w:fill="FFF2CC"/>
            <w:noWrap/>
            <w:vAlign w:val="bottom"/>
            <w:hideMark/>
          </w:tcPr>
          <w:p w14:paraId="42882C5E"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Commodities</w:t>
            </w:r>
          </w:p>
        </w:tc>
        <w:tc>
          <w:tcPr>
            <w:tcW w:w="1160" w:type="dxa"/>
            <w:tcBorders>
              <w:top w:val="dashed" w:sz="8" w:space="0" w:color="808080"/>
              <w:left w:val="nil"/>
              <w:bottom w:val="nil"/>
              <w:right w:val="nil"/>
            </w:tcBorders>
            <w:shd w:val="clear" w:color="000000" w:fill="FFF2CC"/>
            <w:noWrap/>
            <w:vAlign w:val="bottom"/>
            <w:hideMark/>
          </w:tcPr>
          <w:p w14:paraId="7D1ADAFA"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UNG</w:t>
            </w:r>
          </w:p>
        </w:tc>
        <w:tc>
          <w:tcPr>
            <w:tcW w:w="5440" w:type="dxa"/>
            <w:tcBorders>
              <w:top w:val="dashed" w:sz="8" w:space="0" w:color="808080"/>
              <w:left w:val="nil"/>
              <w:bottom w:val="nil"/>
              <w:right w:val="single" w:sz="4" w:space="0" w:color="auto"/>
            </w:tcBorders>
            <w:shd w:val="clear" w:color="000000" w:fill="FFF2CC"/>
            <w:noWrap/>
            <w:vAlign w:val="bottom"/>
            <w:hideMark/>
          </w:tcPr>
          <w:p w14:paraId="0A4F97F1" w14:textId="77777777" w:rsidR="003F3486" w:rsidRPr="003F3486" w:rsidRDefault="003F3486" w:rsidP="003F3486">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United States Natural Gas Fund LP</w:t>
            </w:r>
          </w:p>
        </w:tc>
      </w:tr>
      <w:tr w:rsidR="003F3486" w:rsidRPr="003F3486" w14:paraId="5CDD1842" w14:textId="77777777" w:rsidTr="003F3486">
        <w:trPr>
          <w:trHeight w:val="290"/>
        </w:trPr>
        <w:tc>
          <w:tcPr>
            <w:tcW w:w="1440" w:type="dxa"/>
            <w:tcBorders>
              <w:top w:val="nil"/>
              <w:left w:val="single" w:sz="4" w:space="0" w:color="auto"/>
              <w:bottom w:val="single" w:sz="4" w:space="0" w:color="auto"/>
              <w:right w:val="nil"/>
            </w:tcBorders>
            <w:shd w:val="clear" w:color="000000" w:fill="FFF2CC"/>
            <w:noWrap/>
            <w:vAlign w:val="bottom"/>
            <w:hideMark/>
          </w:tcPr>
          <w:p w14:paraId="40F04162"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Commodities</w:t>
            </w:r>
          </w:p>
        </w:tc>
        <w:tc>
          <w:tcPr>
            <w:tcW w:w="1160" w:type="dxa"/>
            <w:tcBorders>
              <w:top w:val="nil"/>
              <w:left w:val="nil"/>
              <w:bottom w:val="single" w:sz="4" w:space="0" w:color="auto"/>
              <w:right w:val="nil"/>
            </w:tcBorders>
            <w:shd w:val="clear" w:color="000000" w:fill="FFF2CC"/>
            <w:noWrap/>
            <w:vAlign w:val="bottom"/>
            <w:hideMark/>
          </w:tcPr>
          <w:p w14:paraId="5C093460" w14:textId="77777777" w:rsidR="003F3486" w:rsidRPr="003F3486" w:rsidRDefault="003F3486" w:rsidP="003F3486">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XOP</w:t>
            </w:r>
          </w:p>
        </w:tc>
        <w:tc>
          <w:tcPr>
            <w:tcW w:w="5440" w:type="dxa"/>
            <w:tcBorders>
              <w:top w:val="nil"/>
              <w:left w:val="nil"/>
              <w:bottom w:val="single" w:sz="4" w:space="0" w:color="auto"/>
              <w:right w:val="single" w:sz="4" w:space="0" w:color="auto"/>
            </w:tcBorders>
            <w:shd w:val="clear" w:color="000000" w:fill="FFF2CC"/>
            <w:noWrap/>
            <w:vAlign w:val="bottom"/>
            <w:hideMark/>
          </w:tcPr>
          <w:p w14:paraId="682B36AA" w14:textId="77777777" w:rsidR="003F3486" w:rsidRPr="003F3486" w:rsidRDefault="003F3486" w:rsidP="003F3486">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SPDR S&amp;P Oil &amp; Gas Exploration &amp; Production ETF</w:t>
            </w:r>
          </w:p>
        </w:tc>
      </w:tr>
    </w:tbl>
    <w:p w14:paraId="4F6D9A06" w14:textId="497DF2F0" w:rsidR="0084529F" w:rsidRDefault="0084529F" w:rsidP="00783F73">
      <w:pPr>
        <w:pStyle w:val="Heading4"/>
        <w:rPr>
          <w:b/>
          <w:bCs/>
        </w:rPr>
      </w:pPr>
    </w:p>
    <w:p w14:paraId="797F2026" w14:textId="708EFD4A" w:rsidR="003F3486" w:rsidRDefault="003F3486" w:rsidP="003F3486">
      <w:pPr>
        <w:pStyle w:val="Heading4"/>
      </w:pPr>
      <w:r>
        <w:t>Total Return Methodology</w:t>
      </w:r>
    </w:p>
    <w:p w14:paraId="1DDAC4A7" w14:textId="1C67AD11" w:rsidR="003F3486" w:rsidRDefault="003F3486" w:rsidP="003F3486">
      <w:pPr>
        <w:rPr>
          <w:rFonts w:eastAsiaTheme="minorEastAsia"/>
        </w:rPr>
      </w:pPr>
      <w:r>
        <w:t xml:space="preserve">Adjusted closing prices are used on a rolling monthly basis to construct total return indices. The 60/40 portfolio is constructed using a monthly rebalanced ratio of 60% SPY and 40% AGG. The naïve volatility weighted portfolio is using a weighted portfolio of SPY, AGG and GLD, where each weight is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oMath>
      <w:r>
        <w:rPr>
          <w:rFonts w:eastAsiaTheme="minorEastAsia"/>
        </w:rPr>
        <w:t xml:space="preserve">, with a 1-year lookback period. </w:t>
      </w:r>
    </w:p>
    <w:p w14:paraId="3208D163" w14:textId="20014472" w:rsidR="003F3486" w:rsidRDefault="003F3486" w:rsidP="003F3486">
      <w:pPr>
        <w:pStyle w:val="Heading3"/>
      </w:pPr>
      <w:r>
        <w:t>Trading Rules</w:t>
      </w:r>
    </w:p>
    <w:p w14:paraId="2C75CD6A" w14:textId="6469C098" w:rsidR="003F3486" w:rsidRDefault="00373FBE" w:rsidP="00373FBE">
      <w:pPr>
        <w:pStyle w:val="Heading4"/>
      </w:pPr>
      <w:r>
        <w:t>Intuition</w:t>
      </w:r>
      <w:r w:rsidR="00CE70D6">
        <w:t xml:space="preserve"> Behind PMI / NMI</w:t>
      </w:r>
    </w:p>
    <w:p w14:paraId="57F9002E" w14:textId="32A8829E" w:rsidR="00CE70D6" w:rsidRDefault="00CE70D6" w:rsidP="00CE70D6">
      <w:r>
        <w:t>Generally speaking, the interpretation of PMI and NMI values is straight forward. PMI and NMI both range from 0-100. If PMI is above 50, it can be viewed as an indication that the manufacturing sector is expanding. If PMI == 50, there is no change, and if PMI is below 50, the manufacturing sector is contracting.</w:t>
      </w:r>
    </w:p>
    <w:p w14:paraId="10BE268D" w14:textId="16EA1CA8" w:rsidR="00CE70D6" w:rsidRDefault="00CE70D6" w:rsidP="00CE70D6">
      <w:r>
        <w:t xml:space="preserve">Similarly for NMI – values above 50 indicate the non-manufacturing sector (services) is expanding; NMI == 50 indicates no change, and values below 50 indicate a contraction in the non-manufacturing sectors. </w:t>
      </w:r>
    </w:p>
    <w:p w14:paraId="23A0755D" w14:textId="11D32C7D" w:rsidR="00CE70D6" w:rsidRDefault="00CE70D6" w:rsidP="00CE70D6">
      <w:r>
        <w:t xml:space="preserve">If PMI and NMI are persistently above 50, our intuition suggests that an economic expansion is underway and this should be reflected in equity (risky) markets. On the contrary, if PMI and NMI are persistently below 50, we would expect that less risky assets would be outperforming. </w:t>
      </w:r>
    </w:p>
    <w:p w14:paraId="5B8D68BF" w14:textId="0970CCA4" w:rsidR="00CE70D6" w:rsidRDefault="00CE70D6" w:rsidP="00CE70D6">
      <w:pPr>
        <w:pStyle w:val="Heading4"/>
      </w:pPr>
      <w:r>
        <w:lastRenderedPageBreak/>
        <w:t>Intuition Behind CPI</w:t>
      </w:r>
    </w:p>
    <w:p w14:paraId="6ACDECB2" w14:textId="780CB6F1" w:rsidR="00CE70D6" w:rsidRDefault="00CE70D6" w:rsidP="00CE70D6">
      <w:r>
        <w:t>We would expect measures such as CPI to have the most noticeable impact when trading debt instruments. If CPI remains high, intuition suggests wanting to be less exposed to risky assets (equities), and increase exposure to inflation-protection assets (commodities). If CPI remains low, we would want to do the contrary.</w:t>
      </w:r>
    </w:p>
    <w:p w14:paraId="32E7C109" w14:textId="73634665" w:rsidR="00CE70D6" w:rsidRDefault="00CE70D6" w:rsidP="00CE70D6">
      <w:r>
        <w:t>Note that we are not discussing the relationship of the level of interest rates</w:t>
      </w:r>
      <w:r w:rsidR="003C04C0">
        <w:t xml:space="preserve">, which is an important consideration when evaluating whether a given CPI trend is good or bad for risky assets. </w:t>
      </w:r>
    </w:p>
    <w:p w14:paraId="3C75B126" w14:textId="06A53C56" w:rsidR="003C04C0" w:rsidRDefault="003C04C0" w:rsidP="00CE70D6">
      <w:r>
        <w:t xml:space="preserve">How, then, can we make use of the intuition behind these values? </w:t>
      </w:r>
    </w:p>
    <w:p w14:paraId="65954F62" w14:textId="77777777" w:rsidR="003C04C0" w:rsidRDefault="003C04C0" w:rsidP="003C04C0">
      <w:pPr>
        <w:keepNext/>
      </w:pPr>
      <w:r w:rsidRPr="003C04C0">
        <w:drawing>
          <wp:inline distT="0" distB="0" distL="0" distR="0" wp14:anchorId="6D69DAC3" wp14:editId="52352275">
            <wp:extent cx="5943600" cy="2270760"/>
            <wp:effectExtent l="0" t="0" r="0" b="0"/>
            <wp:docPr id="123955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57171" name=""/>
                    <pic:cNvPicPr/>
                  </pic:nvPicPr>
                  <pic:blipFill>
                    <a:blip r:embed="rId5"/>
                    <a:stretch>
                      <a:fillRect/>
                    </a:stretch>
                  </pic:blipFill>
                  <pic:spPr>
                    <a:xfrm>
                      <a:off x="0" y="0"/>
                      <a:ext cx="5943600" cy="2270760"/>
                    </a:xfrm>
                    <a:prstGeom prst="rect">
                      <a:avLst/>
                    </a:prstGeom>
                  </pic:spPr>
                </pic:pic>
              </a:graphicData>
            </a:graphic>
          </wp:inline>
        </w:drawing>
      </w:r>
    </w:p>
    <w:p w14:paraId="3B71DF7A" w14:textId="007E52E3" w:rsidR="003C04C0" w:rsidRDefault="003C04C0" w:rsidP="003C04C0">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SPY vs CPI YoY</w:t>
      </w:r>
    </w:p>
    <w:p w14:paraId="40BAECAF" w14:textId="77777777" w:rsidR="003C04C0" w:rsidRDefault="003C04C0" w:rsidP="003C04C0">
      <w:pPr>
        <w:keepNext/>
      </w:pPr>
      <w:r w:rsidRPr="003C04C0">
        <w:drawing>
          <wp:inline distT="0" distB="0" distL="0" distR="0" wp14:anchorId="25E82E7A" wp14:editId="09DDE813">
            <wp:extent cx="5943600" cy="2131060"/>
            <wp:effectExtent l="0" t="0" r="0" b="2540"/>
            <wp:docPr id="198818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85662" name=""/>
                    <pic:cNvPicPr/>
                  </pic:nvPicPr>
                  <pic:blipFill>
                    <a:blip r:embed="rId6"/>
                    <a:stretch>
                      <a:fillRect/>
                    </a:stretch>
                  </pic:blipFill>
                  <pic:spPr>
                    <a:xfrm>
                      <a:off x="0" y="0"/>
                      <a:ext cx="5943600" cy="2131060"/>
                    </a:xfrm>
                    <a:prstGeom prst="rect">
                      <a:avLst/>
                    </a:prstGeom>
                  </pic:spPr>
                </pic:pic>
              </a:graphicData>
            </a:graphic>
          </wp:inline>
        </w:drawing>
      </w:r>
    </w:p>
    <w:p w14:paraId="5296E247" w14:textId="494A9261" w:rsidR="003C04C0" w:rsidRPr="003C04C0" w:rsidRDefault="003C04C0" w:rsidP="003C04C0">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XME vs CPI YoY</w:t>
      </w:r>
    </w:p>
    <w:p w14:paraId="6F1CD375" w14:textId="4BFEC679" w:rsidR="003C04C0" w:rsidRDefault="003C04C0" w:rsidP="003C04C0">
      <w:r>
        <w:t xml:space="preserve">Looking at a time-series plot of SPY vs CPI YoY (figure 1), it’s clear that CPI lags the broader equities market. In figure 2, a plot of XME, a metals &amp; mining sector ETF, CPI still lags the ETF performance. </w:t>
      </w:r>
    </w:p>
    <w:p w14:paraId="32F7AFA8" w14:textId="77777777" w:rsidR="00BD296C" w:rsidRDefault="00BD296C" w:rsidP="003C04C0"/>
    <w:p w14:paraId="0D2681DA" w14:textId="77777777" w:rsidR="00BD296C" w:rsidRDefault="00BD296C">
      <w:r>
        <w:br w:type="page"/>
      </w:r>
    </w:p>
    <w:p w14:paraId="38724B9C" w14:textId="37FF20F2" w:rsidR="00BD296C" w:rsidRDefault="00FB2D24" w:rsidP="00FB2D24">
      <w:pPr>
        <w:pStyle w:val="Heading4"/>
      </w:pPr>
      <w:r>
        <w:lastRenderedPageBreak/>
        <w:t>Feature Design</w:t>
      </w:r>
    </w:p>
    <w:p w14:paraId="0A425BAB" w14:textId="19504BA2" w:rsidR="003C04C0" w:rsidRDefault="003C04C0" w:rsidP="003C04C0">
      <w:r>
        <w:t xml:space="preserve">What if we can partition the next-period returns using either CPI or PMI/NMI? </w:t>
      </w:r>
    </w:p>
    <w:p w14:paraId="76A6C0B1" w14:textId="77777777" w:rsidR="00402E2C" w:rsidRDefault="00402E2C" w:rsidP="003C04C0"/>
    <w:p w14:paraId="1B9D3EF9" w14:textId="77777777" w:rsidR="003C04C0" w:rsidRDefault="003C04C0" w:rsidP="003C04C0">
      <w:pPr>
        <w:keepNext/>
      </w:pPr>
      <w:r>
        <w:rPr>
          <w:noProof/>
        </w:rPr>
        <w:drawing>
          <wp:inline distT="0" distB="0" distL="0" distR="0" wp14:anchorId="464600A6" wp14:editId="2B6B1FE2">
            <wp:extent cx="3625887" cy="2259472"/>
            <wp:effectExtent l="0" t="0" r="0" b="7620"/>
            <wp:docPr id="81399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2157" cy="2263379"/>
                    </a:xfrm>
                    <a:prstGeom prst="rect">
                      <a:avLst/>
                    </a:prstGeom>
                    <a:noFill/>
                    <a:ln>
                      <a:noFill/>
                    </a:ln>
                  </pic:spPr>
                </pic:pic>
              </a:graphicData>
            </a:graphic>
          </wp:inline>
        </w:drawing>
      </w:r>
    </w:p>
    <w:p w14:paraId="7A85A5F4" w14:textId="7750BDC3" w:rsidR="003C04C0" w:rsidRDefault="003C04C0" w:rsidP="003C04C0">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SPY Returns vs 12-month trailing median CPI</w:t>
      </w:r>
    </w:p>
    <w:p w14:paraId="78A9DEF3" w14:textId="77777777" w:rsidR="003C04C0" w:rsidRDefault="003C04C0" w:rsidP="003C04C0">
      <w:pPr>
        <w:keepNext/>
      </w:pPr>
      <w:r>
        <w:rPr>
          <w:noProof/>
        </w:rPr>
        <w:drawing>
          <wp:inline distT="0" distB="0" distL="0" distR="0" wp14:anchorId="6288A670" wp14:editId="20885EC7">
            <wp:extent cx="3435607" cy="2101369"/>
            <wp:effectExtent l="0" t="0" r="0" b="0"/>
            <wp:docPr id="1832161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471" cy="2120859"/>
                    </a:xfrm>
                    <a:prstGeom prst="rect">
                      <a:avLst/>
                    </a:prstGeom>
                    <a:noFill/>
                    <a:ln>
                      <a:noFill/>
                    </a:ln>
                  </pic:spPr>
                </pic:pic>
              </a:graphicData>
            </a:graphic>
          </wp:inline>
        </w:drawing>
      </w:r>
    </w:p>
    <w:p w14:paraId="1E74C414" w14:textId="50B38FA6" w:rsidR="003C04C0" w:rsidRDefault="003C04C0" w:rsidP="003C04C0">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AGG returns vs 12-month trailing median CPI</w:t>
      </w:r>
    </w:p>
    <w:p w14:paraId="630AEDED" w14:textId="02A74BDC" w:rsidR="003C04C0" w:rsidRDefault="003C04C0" w:rsidP="003C04C0"/>
    <w:p w14:paraId="116AB669" w14:textId="2DBA24BE" w:rsidR="00BA6CB1" w:rsidRDefault="003C04C0">
      <w:r>
        <w:t xml:space="preserve">Examining the scatter plots in Figures 3 and 4, </w:t>
      </w:r>
      <w:r w:rsidR="00EA341C">
        <w:t>we find what looks to be a partitioning scheme emerging.</w:t>
      </w:r>
      <w:r>
        <w:t xml:space="preserve"> looks more promising. While far from a crystal ball, the expected return of an asset </w:t>
      </w:r>
      <w:r>
        <w:rPr>
          <w:i/>
          <w:iCs/>
        </w:rPr>
        <w:t>may</w:t>
      </w:r>
      <w:r>
        <w:t xml:space="preserve"> have a conditional relationship on CPI’s recent relative level. </w:t>
      </w:r>
    </w:p>
    <w:p w14:paraId="16F0362B" w14:textId="7012206A" w:rsidR="007E06F3" w:rsidRDefault="00EA341C">
      <w:r>
        <w:t>Using this approach with PMI and NMI, along with CPI, we construct a series of factors that aim to capture the intuition described earlier. Using the forecasts of CPI, NMI, PMI for the 1-month, 3-month, 6-month</w:t>
      </w:r>
      <w:r w:rsidR="00BD296C">
        <w:t>, 9-month</w:t>
      </w:r>
      <w:r>
        <w:t xml:space="preserve"> and </w:t>
      </w:r>
      <w:r w:rsidR="00BD296C">
        <w:t>12</w:t>
      </w:r>
      <w:r>
        <w:t>-month periods, a series of factors are created as follows:</w:t>
      </w:r>
    </w:p>
    <w:p w14:paraId="49F22D71" w14:textId="70A915BE" w:rsidR="00EA341C" w:rsidRDefault="00EA341C" w:rsidP="00EA341C">
      <w:pPr>
        <w:pStyle w:val="ListParagraph"/>
        <w:numPr>
          <w:ilvl w:val="0"/>
          <w:numId w:val="1"/>
        </w:numPr>
      </w:pPr>
      <w:r>
        <w:t>Above</w:t>
      </w:r>
      <w:r w:rsidR="00BD296C">
        <w:t>/below</w:t>
      </w:r>
      <w:r>
        <w:t xml:space="preserve"> </w:t>
      </w:r>
      <w:r w:rsidR="00BD296C">
        <w:t>a threshold (trailing 3-year median) for all periodicities</w:t>
      </w:r>
    </w:p>
    <w:p w14:paraId="25118D5D" w14:textId="7F528284" w:rsidR="00BD296C" w:rsidRDefault="00BD296C" w:rsidP="00EA341C">
      <w:pPr>
        <w:pStyle w:val="ListParagraph"/>
        <w:numPr>
          <w:ilvl w:val="0"/>
          <w:numId w:val="1"/>
        </w:numPr>
      </w:pPr>
      <w:r>
        <w:t>Differential between consensus estimates and CPI/PMI/NMI forecasts</w:t>
      </w:r>
    </w:p>
    <w:p w14:paraId="28B106F4" w14:textId="77777777" w:rsidR="007E06F3" w:rsidRDefault="007E06F3">
      <w:pPr>
        <w:rPr>
          <w:rFonts w:asciiTheme="majorHAnsi" w:eastAsiaTheme="majorEastAsia" w:hAnsiTheme="majorHAnsi" w:cstheme="majorBidi"/>
          <w:i/>
          <w:iCs/>
          <w:color w:val="535356" w:themeColor="accent1" w:themeShade="BF"/>
        </w:rPr>
      </w:pPr>
      <w:r>
        <w:lastRenderedPageBreak/>
        <w:br w:type="page"/>
      </w:r>
    </w:p>
    <w:p w14:paraId="32C2ACAE" w14:textId="52ABED07" w:rsidR="00090682" w:rsidRDefault="00090682" w:rsidP="00090682">
      <w:pPr>
        <w:pStyle w:val="Heading4"/>
      </w:pPr>
      <w:r>
        <w:lastRenderedPageBreak/>
        <w:t>Logistic Regression &amp; Trading Strategy Returns</w:t>
      </w:r>
    </w:p>
    <w:tbl>
      <w:tblPr>
        <w:tblW w:w="7160" w:type="dxa"/>
        <w:tblLook w:val="04A0" w:firstRow="1" w:lastRow="0" w:firstColumn="1" w:lastColumn="0" w:noHBand="0" w:noVBand="1"/>
      </w:tblPr>
      <w:tblGrid>
        <w:gridCol w:w="1440"/>
        <w:gridCol w:w="1160"/>
        <w:gridCol w:w="760"/>
        <w:gridCol w:w="760"/>
        <w:gridCol w:w="760"/>
        <w:gridCol w:w="782"/>
        <w:gridCol w:w="749"/>
        <w:gridCol w:w="749"/>
      </w:tblGrid>
      <w:tr w:rsidR="00BA6CB1" w:rsidRPr="00BA6CB1" w14:paraId="488CD1A6" w14:textId="77777777" w:rsidTr="00BA6CB1">
        <w:trPr>
          <w:trHeight w:val="290"/>
        </w:trPr>
        <w:tc>
          <w:tcPr>
            <w:tcW w:w="1440" w:type="dxa"/>
            <w:tcBorders>
              <w:top w:val="nil"/>
              <w:left w:val="nil"/>
              <w:bottom w:val="nil"/>
              <w:right w:val="nil"/>
            </w:tcBorders>
            <w:shd w:val="clear" w:color="auto" w:fill="auto"/>
            <w:noWrap/>
            <w:vAlign w:val="bottom"/>
            <w:hideMark/>
          </w:tcPr>
          <w:p w14:paraId="2CCA1465" w14:textId="77777777" w:rsidR="00BA6CB1" w:rsidRPr="00BA6CB1" w:rsidRDefault="00BA6CB1" w:rsidP="00BA6CB1">
            <w:pPr>
              <w:spacing w:after="0" w:line="240" w:lineRule="auto"/>
              <w:rPr>
                <w:rFonts w:ascii="Times New Roman" w:eastAsia="Times New Roman" w:hAnsi="Times New Roman" w:cs="Times New Roman"/>
                <w:kern w:val="0"/>
                <w:sz w:val="24"/>
                <w:szCs w:val="24"/>
                <w14:ligatures w14:val="none"/>
              </w:rPr>
            </w:pPr>
          </w:p>
        </w:tc>
        <w:tc>
          <w:tcPr>
            <w:tcW w:w="1160" w:type="dxa"/>
            <w:tcBorders>
              <w:top w:val="nil"/>
              <w:left w:val="nil"/>
              <w:bottom w:val="nil"/>
              <w:right w:val="nil"/>
            </w:tcBorders>
            <w:shd w:val="clear" w:color="auto" w:fill="auto"/>
            <w:noWrap/>
            <w:vAlign w:val="bottom"/>
            <w:hideMark/>
          </w:tcPr>
          <w:p w14:paraId="5F7D300B" w14:textId="77777777" w:rsidR="00BA6CB1" w:rsidRPr="00BA6CB1" w:rsidRDefault="00BA6CB1" w:rsidP="00BA6CB1">
            <w:pPr>
              <w:spacing w:after="0" w:line="240" w:lineRule="auto"/>
              <w:rPr>
                <w:rFonts w:ascii="Times New Roman" w:eastAsia="Times New Roman" w:hAnsi="Times New Roman" w:cs="Times New Roman"/>
                <w:kern w:val="0"/>
                <w:sz w:val="20"/>
                <w:szCs w:val="20"/>
                <w14:ligatures w14:val="none"/>
              </w:rPr>
            </w:pPr>
          </w:p>
        </w:tc>
        <w:tc>
          <w:tcPr>
            <w:tcW w:w="22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0A90F87" w14:textId="77777777" w:rsidR="00BA6CB1" w:rsidRPr="00BA6CB1" w:rsidRDefault="00BA6CB1" w:rsidP="00BA6CB1">
            <w:pPr>
              <w:spacing w:after="0" w:line="240" w:lineRule="auto"/>
              <w:jc w:val="center"/>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CAGR</w:t>
            </w:r>
          </w:p>
        </w:tc>
        <w:tc>
          <w:tcPr>
            <w:tcW w:w="22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0C59FB5" w14:textId="77777777" w:rsidR="00BA6CB1" w:rsidRPr="00BA6CB1" w:rsidRDefault="00BA6CB1" w:rsidP="00BA6CB1">
            <w:pPr>
              <w:spacing w:after="0" w:line="240" w:lineRule="auto"/>
              <w:jc w:val="center"/>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Sharpe Ratio</w:t>
            </w:r>
          </w:p>
        </w:tc>
      </w:tr>
      <w:tr w:rsidR="00BA6CB1" w:rsidRPr="00BA6CB1" w14:paraId="34025F64" w14:textId="77777777" w:rsidTr="00BA6CB1">
        <w:trPr>
          <w:trHeight w:val="290"/>
        </w:trPr>
        <w:tc>
          <w:tcPr>
            <w:tcW w:w="1440" w:type="dxa"/>
            <w:tcBorders>
              <w:top w:val="single" w:sz="4" w:space="0" w:color="auto"/>
              <w:left w:val="single" w:sz="4" w:space="0" w:color="auto"/>
              <w:bottom w:val="single" w:sz="4" w:space="0" w:color="auto"/>
              <w:right w:val="nil"/>
            </w:tcBorders>
            <w:shd w:val="clear" w:color="auto" w:fill="auto"/>
            <w:noWrap/>
            <w:vAlign w:val="bottom"/>
            <w:hideMark/>
          </w:tcPr>
          <w:p w14:paraId="5D53A08C"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Class</w:t>
            </w:r>
          </w:p>
        </w:tc>
        <w:tc>
          <w:tcPr>
            <w:tcW w:w="1160" w:type="dxa"/>
            <w:tcBorders>
              <w:top w:val="single" w:sz="4" w:space="0" w:color="auto"/>
              <w:left w:val="nil"/>
              <w:bottom w:val="single" w:sz="4" w:space="0" w:color="auto"/>
              <w:right w:val="nil"/>
            </w:tcBorders>
            <w:shd w:val="clear" w:color="auto" w:fill="auto"/>
            <w:noWrap/>
            <w:vAlign w:val="bottom"/>
            <w:hideMark/>
          </w:tcPr>
          <w:p w14:paraId="6C43137E"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Ticker</w:t>
            </w:r>
          </w:p>
        </w:tc>
        <w:tc>
          <w:tcPr>
            <w:tcW w:w="760" w:type="dxa"/>
            <w:tcBorders>
              <w:top w:val="nil"/>
              <w:left w:val="nil"/>
              <w:bottom w:val="nil"/>
              <w:right w:val="nil"/>
            </w:tcBorders>
            <w:shd w:val="clear" w:color="auto" w:fill="auto"/>
            <w:noWrap/>
            <w:vAlign w:val="bottom"/>
            <w:hideMark/>
          </w:tcPr>
          <w:p w14:paraId="644FB38B" w14:textId="77777777" w:rsidR="00BA6CB1" w:rsidRPr="00BA6CB1" w:rsidRDefault="00BA6CB1" w:rsidP="00BA6CB1">
            <w:pPr>
              <w:spacing w:after="0" w:line="240" w:lineRule="auto"/>
              <w:jc w:val="center"/>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Base</w:t>
            </w:r>
          </w:p>
        </w:tc>
        <w:tc>
          <w:tcPr>
            <w:tcW w:w="760" w:type="dxa"/>
            <w:tcBorders>
              <w:top w:val="nil"/>
              <w:left w:val="nil"/>
              <w:bottom w:val="nil"/>
              <w:right w:val="nil"/>
            </w:tcBorders>
            <w:shd w:val="clear" w:color="auto" w:fill="auto"/>
            <w:noWrap/>
            <w:vAlign w:val="bottom"/>
            <w:hideMark/>
          </w:tcPr>
          <w:p w14:paraId="60A7D58D" w14:textId="77777777" w:rsidR="00BA6CB1" w:rsidRPr="00BA6CB1" w:rsidRDefault="00BA6CB1" w:rsidP="00BA6CB1">
            <w:pPr>
              <w:spacing w:after="0" w:line="240" w:lineRule="auto"/>
              <w:jc w:val="center"/>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L/O</w:t>
            </w:r>
          </w:p>
        </w:tc>
        <w:tc>
          <w:tcPr>
            <w:tcW w:w="760" w:type="dxa"/>
            <w:tcBorders>
              <w:top w:val="nil"/>
              <w:left w:val="nil"/>
              <w:bottom w:val="nil"/>
              <w:right w:val="single" w:sz="4" w:space="0" w:color="auto"/>
            </w:tcBorders>
            <w:shd w:val="clear" w:color="auto" w:fill="auto"/>
            <w:noWrap/>
            <w:vAlign w:val="bottom"/>
            <w:hideMark/>
          </w:tcPr>
          <w:p w14:paraId="21B87E4E" w14:textId="77777777" w:rsidR="00BA6CB1" w:rsidRPr="00BA6CB1" w:rsidRDefault="00BA6CB1" w:rsidP="00BA6CB1">
            <w:pPr>
              <w:spacing w:after="0" w:line="240" w:lineRule="auto"/>
              <w:jc w:val="center"/>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L/S</w:t>
            </w:r>
          </w:p>
        </w:tc>
        <w:tc>
          <w:tcPr>
            <w:tcW w:w="782" w:type="dxa"/>
            <w:tcBorders>
              <w:top w:val="nil"/>
              <w:left w:val="nil"/>
              <w:bottom w:val="nil"/>
              <w:right w:val="nil"/>
            </w:tcBorders>
            <w:shd w:val="clear" w:color="auto" w:fill="auto"/>
            <w:noWrap/>
            <w:vAlign w:val="bottom"/>
            <w:hideMark/>
          </w:tcPr>
          <w:p w14:paraId="3DD24862" w14:textId="77777777" w:rsidR="00BA6CB1" w:rsidRPr="00BA6CB1" w:rsidRDefault="00BA6CB1" w:rsidP="00BA6CB1">
            <w:pPr>
              <w:spacing w:after="0" w:line="240" w:lineRule="auto"/>
              <w:jc w:val="center"/>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Base</w:t>
            </w:r>
          </w:p>
        </w:tc>
        <w:tc>
          <w:tcPr>
            <w:tcW w:w="749" w:type="dxa"/>
            <w:tcBorders>
              <w:top w:val="nil"/>
              <w:left w:val="nil"/>
              <w:bottom w:val="nil"/>
              <w:right w:val="nil"/>
            </w:tcBorders>
            <w:shd w:val="clear" w:color="auto" w:fill="auto"/>
            <w:noWrap/>
            <w:vAlign w:val="bottom"/>
            <w:hideMark/>
          </w:tcPr>
          <w:p w14:paraId="472FAD78" w14:textId="77777777" w:rsidR="00BA6CB1" w:rsidRPr="00BA6CB1" w:rsidRDefault="00BA6CB1" w:rsidP="00BA6CB1">
            <w:pPr>
              <w:spacing w:after="0" w:line="240" w:lineRule="auto"/>
              <w:jc w:val="center"/>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L/O</w:t>
            </w:r>
          </w:p>
        </w:tc>
        <w:tc>
          <w:tcPr>
            <w:tcW w:w="749" w:type="dxa"/>
            <w:tcBorders>
              <w:top w:val="nil"/>
              <w:left w:val="nil"/>
              <w:bottom w:val="nil"/>
              <w:right w:val="single" w:sz="4" w:space="0" w:color="auto"/>
            </w:tcBorders>
            <w:shd w:val="clear" w:color="auto" w:fill="auto"/>
            <w:noWrap/>
            <w:vAlign w:val="bottom"/>
            <w:hideMark/>
          </w:tcPr>
          <w:p w14:paraId="0B1EB495" w14:textId="77777777" w:rsidR="00BA6CB1" w:rsidRPr="00BA6CB1" w:rsidRDefault="00BA6CB1" w:rsidP="00BA6CB1">
            <w:pPr>
              <w:spacing w:after="0" w:line="240" w:lineRule="auto"/>
              <w:jc w:val="center"/>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L/S</w:t>
            </w:r>
          </w:p>
        </w:tc>
      </w:tr>
      <w:tr w:rsidR="00BA6CB1" w:rsidRPr="00BA6CB1" w14:paraId="0526B5DF" w14:textId="77777777" w:rsidTr="00BA6CB1">
        <w:trPr>
          <w:trHeight w:val="290"/>
        </w:trPr>
        <w:tc>
          <w:tcPr>
            <w:tcW w:w="1440" w:type="dxa"/>
            <w:tcBorders>
              <w:top w:val="nil"/>
              <w:left w:val="single" w:sz="4" w:space="0" w:color="auto"/>
              <w:bottom w:val="nil"/>
              <w:right w:val="nil"/>
            </w:tcBorders>
            <w:shd w:val="clear" w:color="000000" w:fill="DDEBF7"/>
            <w:noWrap/>
            <w:vAlign w:val="bottom"/>
            <w:hideMark/>
          </w:tcPr>
          <w:p w14:paraId="5A12600F"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0DFC0C66"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AGG</w:t>
            </w:r>
          </w:p>
        </w:tc>
        <w:tc>
          <w:tcPr>
            <w:tcW w:w="760" w:type="dxa"/>
            <w:tcBorders>
              <w:top w:val="single" w:sz="4" w:space="0" w:color="auto"/>
              <w:left w:val="nil"/>
              <w:bottom w:val="nil"/>
              <w:right w:val="nil"/>
            </w:tcBorders>
            <w:shd w:val="clear" w:color="000000" w:fill="DDEBF7"/>
            <w:noWrap/>
            <w:vAlign w:val="bottom"/>
            <w:hideMark/>
          </w:tcPr>
          <w:p w14:paraId="19745C94"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1.5 </w:t>
            </w:r>
          </w:p>
        </w:tc>
        <w:tc>
          <w:tcPr>
            <w:tcW w:w="760" w:type="dxa"/>
            <w:tcBorders>
              <w:top w:val="single" w:sz="4" w:space="0" w:color="auto"/>
              <w:left w:val="nil"/>
              <w:bottom w:val="nil"/>
              <w:right w:val="nil"/>
            </w:tcBorders>
            <w:shd w:val="clear" w:color="000000" w:fill="DDEBF7"/>
            <w:noWrap/>
            <w:vAlign w:val="bottom"/>
            <w:hideMark/>
          </w:tcPr>
          <w:p w14:paraId="20106419"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1.7 </w:t>
            </w:r>
          </w:p>
        </w:tc>
        <w:tc>
          <w:tcPr>
            <w:tcW w:w="760" w:type="dxa"/>
            <w:tcBorders>
              <w:top w:val="single" w:sz="4" w:space="0" w:color="auto"/>
              <w:left w:val="nil"/>
              <w:bottom w:val="nil"/>
              <w:right w:val="single" w:sz="4" w:space="0" w:color="auto"/>
            </w:tcBorders>
            <w:shd w:val="clear" w:color="000000" w:fill="DDEBF7"/>
            <w:noWrap/>
            <w:vAlign w:val="bottom"/>
            <w:hideMark/>
          </w:tcPr>
          <w:p w14:paraId="2FDCCDC1"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1.8 </w:t>
            </w:r>
          </w:p>
        </w:tc>
        <w:tc>
          <w:tcPr>
            <w:tcW w:w="782" w:type="dxa"/>
            <w:tcBorders>
              <w:top w:val="single" w:sz="4" w:space="0" w:color="auto"/>
              <w:left w:val="nil"/>
              <w:bottom w:val="nil"/>
              <w:right w:val="nil"/>
            </w:tcBorders>
            <w:shd w:val="clear" w:color="000000" w:fill="DDEBF7"/>
            <w:noWrap/>
            <w:vAlign w:val="bottom"/>
            <w:hideMark/>
          </w:tcPr>
          <w:p w14:paraId="44CE2135"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0.3 </w:t>
            </w:r>
          </w:p>
        </w:tc>
        <w:tc>
          <w:tcPr>
            <w:tcW w:w="749" w:type="dxa"/>
            <w:tcBorders>
              <w:top w:val="single" w:sz="4" w:space="0" w:color="auto"/>
              <w:left w:val="nil"/>
              <w:bottom w:val="nil"/>
              <w:right w:val="nil"/>
            </w:tcBorders>
            <w:shd w:val="clear" w:color="000000" w:fill="DDEBF7"/>
            <w:noWrap/>
            <w:vAlign w:val="bottom"/>
            <w:hideMark/>
          </w:tcPr>
          <w:p w14:paraId="32DCBBA8"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0.3 </w:t>
            </w:r>
          </w:p>
        </w:tc>
        <w:tc>
          <w:tcPr>
            <w:tcW w:w="749" w:type="dxa"/>
            <w:tcBorders>
              <w:top w:val="single" w:sz="4" w:space="0" w:color="auto"/>
              <w:left w:val="nil"/>
              <w:bottom w:val="nil"/>
              <w:right w:val="single" w:sz="4" w:space="0" w:color="auto"/>
            </w:tcBorders>
            <w:shd w:val="clear" w:color="000000" w:fill="DDEBF7"/>
            <w:noWrap/>
            <w:vAlign w:val="bottom"/>
            <w:hideMark/>
          </w:tcPr>
          <w:p w14:paraId="5917E7DC"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0.5 </w:t>
            </w:r>
          </w:p>
        </w:tc>
      </w:tr>
      <w:tr w:rsidR="00BA6CB1" w:rsidRPr="00BA6CB1" w14:paraId="68BFCC27" w14:textId="77777777" w:rsidTr="00BA6CB1">
        <w:trPr>
          <w:trHeight w:val="290"/>
        </w:trPr>
        <w:tc>
          <w:tcPr>
            <w:tcW w:w="1440" w:type="dxa"/>
            <w:tcBorders>
              <w:top w:val="nil"/>
              <w:left w:val="single" w:sz="4" w:space="0" w:color="auto"/>
              <w:bottom w:val="nil"/>
              <w:right w:val="nil"/>
            </w:tcBorders>
            <w:shd w:val="clear" w:color="000000" w:fill="DDEBF7"/>
            <w:noWrap/>
            <w:vAlign w:val="bottom"/>
            <w:hideMark/>
          </w:tcPr>
          <w:p w14:paraId="391BE269"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7DC9AB09"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VCIT</w:t>
            </w:r>
          </w:p>
        </w:tc>
        <w:tc>
          <w:tcPr>
            <w:tcW w:w="760" w:type="dxa"/>
            <w:tcBorders>
              <w:top w:val="nil"/>
              <w:left w:val="nil"/>
              <w:bottom w:val="nil"/>
              <w:right w:val="nil"/>
            </w:tcBorders>
            <w:shd w:val="clear" w:color="000000" w:fill="DDEBF7"/>
            <w:noWrap/>
            <w:vAlign w:val="bottom"/>
            <w:hideMark/>
          </w:tcPr>
          <w:p w14:paraId="3CB370C1"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3.0 </w:t>
            </w:r>
          </w:p>
        </w:tc>
        <w:tc>
          <w:tcPr>
            <w:tcW w:w="760" w:type="dxa"/>
            <w:tcBorders>
              <w:top w:val="nil"/>
              <w:left w:val="nil"/>
              <w:bottom w:val="nil"/>
              <w:right w:val="nil"/>
            </w:tcBorders>
            <w:shd w:val="clear" w:color="000000" w:fill="DDEBF7"/>
            <w:noWrap/>
            <w:vAlign w:val="bottom"/>
            <w:hideMark/>
          </w:tcPr>
          <w:p w14:paraId="4AF978F3"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4.5 </w:t>
            </w:r>
          </w:p>
        </w:tc>
        <w:tc>
          <w:tcPr>
            <w:tcW w:w="760" w:type="dxa"/>
            <w:tcBorders>
              <w:top w:val="nil"/>
              <w:left w:val="nil"/>
              <w:bottom w:val="nil"/>
              <w:right w:val="single" w:sz="4" w:space="0" w:color="auto"/>
            </w:tcBorders>
            <w:shd w:val="clear" w:color="000000" w:fill="DDEBF7"/>
            <w:noWrap/>
            <w:vAlign w:val="bottom"/>
            <w:hideMark/>
          </w:tcPr>
          <w:p w14:paraId="5FA1DE23"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5.7 </w:t>
            </w:r>
          </w:p>
        </w:tc>
        <w:tc>
          <w:tcPr>
            <w:tcW w:w="782" w:type="dxa"/>
            <w:tcBorders>
              <w:top w:val="nil"/>
              <w:left w:val="nil"/>
              <w:bottom w:val="nil"/>
              <w:right w:val="nil"/>
            </w:tcBorders>
            <w:shd w:val="clear" w:color="000000" w:fill="DDEBF7"/>
            <w:noWrap/>
            <w:vAlign w:val="bottom"/>
            <w:hideMark/>
          </w:tcPr>
          <w:p w14:paraId="5FD3D914"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0.4 </w:t>
            </w:r>
          </w:p>
        </w:tc>
        <w:tc>
          <w:tcPr>
            <w:tcW w:w="749" w:type="dxa"/>
            <w:tcBorders>
              <w:top w:val="nil"/>
              <w:left w:val="nil"/>
              <w:bottom w:val="nil"/>
              <w:right w:val="nil"/>
            </w:tcBorders>
            <w:shd w:val="clear" w:color="000000" w:fill="DDEBF7"/>
            <w:noWrap/>
            <w:vAlign w:val="bottom"/>
            <w:hideMark/>
          </w:tcPr>
          <w:p w14:paraId="5D3BB17A"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0.7 </w:t>
            </w:r>
          </w:p>
        </w:tc>
        <w:tc>
          <w:tcPr>
            <w:tcW w:w="749" w:type="dxa"/>
            <w:tcBorders>
              <w:top w:val="nil"/>
              <w:left w:val="nil"/>
              <w:bottom w:val="nil"/>
              <w:right w:val="single" w:sz="4" w:space="0" w:color="auto"/>
            </w:tcBorders>
            <w:shd w:val="clear" w:color="000000" w:fill="DDEBF7"/>
            <w:noWrap/>
            <w:vAlign w:val="bottom"/>
            <w:hideMark/>
          </w:tcPr>
          <w:p w14:paraId="56146DA9"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1.3 </w:t>
            </w:r>
          </w:p>
        </w:tc>
      </w:tr>
      <w:tr w:rsidR="00BA6CB1" w:rsidRPr="00BA6CB1" w14:paraId="39AC6A70" w14:textId="77777777" w:rsidTr="00BA6CB1">
        <w:trPr>
          <w:trHeight w:val="290"/>
        </w:trPr>
        <w:tc>
          <w:tcPr>
            <w:tcW w:w="1440" w:type="dxa"/>
            <w:tcBorders>
              <w:top w:val="nil"/>
              <w:left w:val="single" w:sz="4" w:space="0" w:color="auto"/>
              <w:bottom w:val="nil"/>
              <w:right w:val="nil"/>
            </w:tcBorders>
            <w:shd w:val="clear" w:color="000000" w:fill="DDEBF7"/>
            <w:noWrap/>
            <w:vAlign w:val="bottom"/>
            <w:hideMark/>
          </w:tcPr>
          <w:p w14:paraId="2107D341"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44402B58"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SPIB</w:t>
            </w:r>
          </w:p>
        </w:tc>
        <w:tc>
          <w:tcPr>
            <w:tcW w:w="760" w:type="dxa"/>
            <w:tcBorders>
              <w:top w:val="nil"/>
              <w:left w:val="nil"/>
              <w:bottom w:val="nil"/>
              <w:right w:val="nil"/>
            </w:tcBorders>
            <w:shd w:val="clear" w:color="000000" w:fill="DDEBF7"/>
            <w:noWrap/>
            <w:vAlign w:val="bottom"/>
            <w:hideMark/>
          </w:tcPr>
          <w:p w14:paraId="6CCBBACA"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2.7 </w:t>
            </w:r>
          </w:p>
        </w:tc>
        <w:tc>
          <w:tcPr>
            <w:tcW w:w="760" w:type="dxa"/>
            <w:tcBorders>
              <w:top w:val="nil"/>
              <w:left w:val="nil"/>
              <w:bottom w:val="nil"/>
              <w:right w:val="nil"/>
            </w:tcBorders>
            <w:shd w:val="clear" w:color="000000" w:fill="DDEBF7"/>
            <w:noWrap/>
            <w:vAlign w:val="bottom"/>
            <w:hideMark/>
          </w:tcPr>
          <w:p w14:paraId="5EC9BFD5"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3.3 </w:t>
            </w:r>
          </w:p>
        </w:tc>
        <w:tc>
          <w:tcPr>
            <w:tcW w:w="760" w:type="dxa"/>
            <w:tcBorders>
              <w:top w:val="nil"/>
              <w:left w:val="nil"/>
              <w:bottom w:val="nil"/>
              <w:right w:val="single" w:sz="4" w:space="0" w:color="auto"/>
            </w:tcBorders>
            <w:shd w:val="clear" w:color="000000" w:fill="DDEBF7"/>
            <w:noWrap/>
            <w:vAlign w:val="bottom"/>
            <w:hideMark/>
          </w:tcPr>
          <w:p w14:paraId="7CD1304F"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3.7 </w:t>
            </w:r>
          </w:p>
        </w:tc>
        <w:tc>
          <w:tcPr>
            <w:tcW w:w="782" w:type="dxa"/>
            <w:tcBorders>
              <w:top w:val="nil"/>
              <w:left w:val="nil"/>
              <w:bottom w:val="nil"/>
              <w:right w:val="nil"/>
            </w:tcBorders>
            <w:shd w:val="clear" w:color="000000" w:fill="DDEBF7"/>
            <w:noWrap/>
            <w:vAlign w:val="bottom"/>
            <w:hideMark/>
          </w:tcPr>
          <w:p w14:paraId="0037300D"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0.5 </w:t>
            </w:r>
          </w:p>
        </w:tc>
        <w:tc>
          <w:tcPr>
            <w:tcW w:w="749" w:type="dxa"/>
            <w:tcBorders>
              <w:top w:val="nil"/>
              <w:left w:val="nil"/>
              <w:bottom w:val="nil"/>
              <w:right w:val="nil"/>
            </w:tcBorders>
            <w:shd w:val="clear" w:color="000000" w:fill="DDEBF7"/>
            <w:noWrap/>
            <w:vAlign w:val="bottom"/>
            <w:hideMark/>
          </w:tcPr>
          <w:p w14:paraId="603B252F"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0.7 </w:t>
            </w:r>
          </w:p>
        </w:tc>
        <w:tc>
          <w:tcPr>
            <w:tcW w:w="749" w:type="dxa"/>
            <w:tcBorders>
              <w:top w:val="nil"/>
              <w:left w:val="nil"/>
              <w:bottom w:val="nil"/>
              <w:right w:val="single" w:sz="4" w:space="0" w:color="auto"/>
            </w:tcBorders>
            <w:shd w:val="clear" w:color="000000" w:fill="DDEBF7"/>
            <w:noWrap/>
            <w:vAlign w:val="bottom"/>
            <w:hideMark/>
          </w:tcPr>
          <w:p w14:paraId="580E5A56"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1.2 </w:t>
            </w:r>
          </w:p>
        </w:tc>
      </w:tr>
      <w:tr w:rsidR="00BA6CB1" w:rsidRPr="00BA6CB1" w14:paraId="5012EAA6" w14:textId="77777777" w:rsidTr="00BA6CB1">
        <w:trPr>
          <w:trHeight w:val="290"/>
        </w:trPr>
        <w:tc>
          <w:tcPr>
            <w:tcW w:w="1440" w:type="dxa"/>
            <w:tcBorders>
              <w:top w:val="nil"/>
              <w:left w:val="single" w:sz="4" w:space="0" w:color="auto"/>
              <w:bottom w:val="nil"/>
              <w:right w:val="nil"/>
            </w:tcBorders>
            <w:shd w:val="clear" w:color="000000" w:fill="DDEBF7"/>
            <w:noWrap/>
            <w:vAlign w:val="bottom"/>
            <w:hideMark/>
          </w:tcPr>
          <w:p w14:paraId="267C1252"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00D7A025"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BSV</w:t>
            </w:r>
          </w:p>
        </w:tc>
        <w:tc>
          <w:tcPr>
            <w:tcW w:w="760" w:type="dxa"/>
            <w:tcBorders>
              <w:top w:val="nil"/>
              <w:left w:val="nil"/>
              <w:bottom w:val="nil"/>
              <w:right w:val="nil"/>
            </w:tcBorders>
            <w:shd w:val="clear" w:color="000000" w:fill="DDEBF7"/>
            <w:noWrap/>
            <w:vAlign w:val="bottom"/>
            <w:hideMark/>
          </w:tcPr>
          <w:p w14:paraId="6B276270"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1.5 </w:t>
            </w:r>
          </w:p>
        </w:tc>
        <w:tc>
          <w:tcPr>
            <w:tcW w:w="760" w:type="dxa"/>
            <w:tcBorders>
              <w:top w:val="nil"/>
              <w:left w:val="nil"/>
              <w:bottom w:val="nil"/>
              <w:right w:val="nil"/>
            </w:tcBorders>
            <w:shd w:val="clear" w:color="000000" w:fill="DDEBF7"/>
            <w:noWrap/>
            <w:vAlign w:val="bottom"/>
            <w:hideMark/>
          </w:tcPr>
          <w:p w14:paraId="60F848F7"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1.7 </w:t>
            </w:r>
          </w:p>
        </w:tc>
        <w:tc>
          <w:tcPr>
            <w:tcW w:w="760" w:type="dxa"/>
            <w:tcBorders>
              <w:top w:val="nil"/>
              <w:left w:val="nil"/>
              <w:bottom w:val="nil"/>
              <w:right w:val="single" w:sz="4" w:space="0" w:color="auto"/>
            </w:tcBorders>
            <w:shd w:val="clear" w:color="000000" w:fill="DDEBF7"/>
            <w:noWrap/>
            <w:vAlign w:val="bottom"/>
            <w:hideMark/>
          </w:tcPr>
          <w:p w14:paraId="30140EDD"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1.8 </w:t>
            </w:r>
          </w:p>
        </w:tc>
        <w:tc>
          <w:tcPr>
            <w:tcW w:w="782" w:type="dxa"/>
            <w:tcBorders>
              <w:top w:val="nil"/>
              <w:left w:val="nil"/>
              <w:bottom w:val="nil"/>
              <w:right w:val="nil"/>
            </w:tcBorders>
            <w:shd w:val="clear" w:color="000000" w:fill="DDEBF7"/>
            <w:noWrap/>
            <w:vAlign w:val="bottom"/>
            <w:hideMark/>
          </w:tcPr>
          <w:p w14:paraId="0C8AF3AE"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0.7 </w:t>
            </w:r>
          </w:p>
        </w:tc>
        <w:tc>
          <w:tcPr>
            <w:tcW w:w="749" w:type="dxa"/>
            <w:tcBorders>
              <w:top w:val="nil"/>
              <w:left w:val="nil"/>
              <w:bottom w:val="nil"/>
              <w:right w:val="nil"/>
            </w:tcBorders>
            <w:shd w:val="clear" w:color="000000" w:fill="DDEBF7"/>
            <w:noWrap/>
            <w:vAlign w:val="bottom"/>
            <w:hideMark/>
          </w:tcPr>
          <w:p w14:paraId="49B300F3"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0.7 </w:t>
            </w:r>
          </w:p>
        </w:tc>
        <w:tc>
          <w:tcPr>
            <w:tcW w:w="749" w:type="dxa"/>
            <w:tcBorders>
              <w:top w:val="nil"/>
              <w:left w:val="nil"/>
              <w:bottom w:val="nil"/>
              <w:right w:val="single" w:sz="4" w:space="0" w:color="auto"/>
            </w:tcBorders>
            <w:shd w:val="clear" w:color="000000" w:fill="DDEBF7"/>
            <w:noWrap/>
            <w:vAlign w:val="bottom"/>
            <w:hideMark/>
          </w:tcPr>
          <w:p w14:paraId="73384098"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1.3 </w:t>
            </w:r>
          </w:p>
        </w:tc>
      </w:tr>
      <w:tr w:rsidR="00BA6CB1" w:rsidRPr="00BA6CB1" w14:paraId="30F6EDB9" w14:textId="77777777" w:rsidTr="00BA6CB1">
        <w:trPr>
          <w:trHeight w:val="290"/>
        </w:trPr>
        <w:tc>
          <w:tcPr>
            <w:tcW w:w="1440" w:type="dxa"/>
            <w:tcBorders>
              <w:top w:val="nil"/>
              <w:left w:val="single" w:sz="4" w:space="0" w:color="auto"/>
              <w:bottom w:val="nil"/>
              <w:right w:val="nil"/>
            </w:tcBorders>
            <w:shd w:val="clear" w:color="000000" w:fill="DDEBF7"/>
            <w:noWrap/>
            <w:vAlign w:val="bottom"/>
            <w:hideMark/>
          </w:tcPr>
          <w:p w14:paraId="00C0BDA5"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7D382686"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JNK</w:t>
            </w:r>
          </w:p>
        </w:tc>
        <w:tc>
          <w:tcPr>
            <w:tcW w:w="760" w:type="dxa"/>
            <w:tcBorders>
              <w:top w:val="nil"/>
              <w:left w:val="nil"/>
              <w:bottom w:val="nil"/>
              <w:right w:val="nil"/>
            </w:tcBorders>
            <w:shd w:val="clear" w:color="000000" w:fill="DDEBF7"/>
            <w:noWrap/>
            <w:vAlign w:val="bottom"/>
            <w:hideMark/>
          </w:tcPr>
          <w:p w14:paraId="6E2ADCBD"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4.6 </w:t>
            </w:r>
          </w:p>
        </w:tc>
        <w:tc>
          <w:tcPr>
            <w:tcW w:w="760" w:type="dxa"/>
            <w:tcBorders>
              <w:top w:val="nil"/>
              <w:left w:val="nil"/>
              <w:bottom w:val="nil"/>
              <w:right w:val="nil"/>
            </w:tcBorders>
            <w:shd w:val="clear" w:color="000000" w:fill="DDEBF7"/>
            <w:noWrap/>
            <w:vAlign w:val="bottom"/>
            <w:hideMark/>
          </w:tcPr>
          <w:p w14:paraId="7D631FFD"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5.3 </w:t>
            </w:r>
          </w:p>
        </w:tc>
        <w:tc>
          <w:tcPr>
            <w:tcW w:w="760" w:type="dxa"/>
            <w:tcBorders>
              <w:top w:val="nil"/>
              <w:left w:val="nil"/>
              <w:bottom w:val="nil"/>
              <w:right w:val="single" w:sz="4" w:space="0" w:color="auto"/>
            </w:tcBorders>
            <w:shd w:val="clear" w:color="000000" w:fill="DDEBF7"/>
            <w:noWrap/>
            <w:vAlign w:val="bottom"/>
            <w:hideMark/>
          </w:tcPr>
          <w:p w14:paraId="5ECF2B50"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5.3 </w:t>
            </w:r>
          </w:p>
        </w:tc>
        <w:tc>
          <w:tcPr>
            <w:tcW w:w="782" w:type="dxa"/>
            <w:tcBorders>
              <w:top w:val="nil"/>
              <w:left w:val="nil"/>
              <w:bottom w:val="nil"/>
              <w:right w:val="nil"/>
            </w:tcBorders>
            <w:shd w:val="clear" w:color="000000" w:fill="DDEBF7"/>
            <w:noWrap/>
            <w:vAlign w:val="bottom"/>
            <w:hideMark/>
          </w:tcPr>
          <w:p w14:paraId="4CBD8663"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0.5 </w:t>
            </w:r>
          </w:p>
        </w:tc>
        <w:tc>
          <w:tcPr>
            <w:tcW w:w="749" w:type="dxa"/>
            <w:tcBorders>
              <w:top w:val="nil"/>
              <w:left w:val="nil"/>
              <w:bottom w:val="nil"/>
              <w:right w:val="nil"/>
            </w:tcBorders>
            <w:shd w:val="clear" w:color="000000" w:fill="DDEBF7"/>
            <w:noWrap/>
            <w:vAlign w:val="bottom"/>
            <w:hideMark/>
          </w:tcPr>
          <w:p w14:paraId="1DD95424"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0.6 </w:t>
            </w:r>
          </w:p>
        </w:tc>
        <w:tc>
          <w:tcPr>
            <w:tcW w:w="749" w:type="dxa"/>
            <w:tcBorders>
              <w:top w:val="nil"/>
              <w:left w:val="nil"/>
              <w:bottom w:val="nil"/>
              <w:right w:val="single" w:sz="4" w:space="0" w:color="auto"/>
            </w:tcBorders>
            <w:shd w:val="clear" w:color="000000" w:fill="DDEBF7"/>
            <w:noWrap/>
            <w:vAlign w:val="bottom"/>
            <w:hideMark/>
          </w:tcPr>
          <w:p w14:paraId="357DAA31"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1.2 </w:t>
            </w:r>
          </w:p>
        </w:tc>
      </w:tr>
      <w:tr w:rsidR="00BA6CB1" w:rsidRPr="00BA6CB1" w14:paraId="3A216621" w14:textId="77777777" w:rsidTr="00BA6CB1">
        <w:trPr>
          <w:trHeight w:val="290"/>
        </w:trPr>
        <w:tc>
          <w:tcPr>
            <w:tcW w:w="1440" w:type="dxa"/>
            <w:tcBorders>
              <w:top w:val="nil"/>
              <w:left w:val="single" w:sz="4" w:space="0" w:color="auto"/>
              <w:bottom w:val="nil"/>
              <w:right w:val="nil"/>
            </w:tcBorders>
            <w:shd w:val="clear" w:color="000000" w:fill="DDEBF7"/>
            <w:noWrap/>
            <w:vAlign w:val="bottom"/>
            <w:hideMark/>
          </w:tcPr>
          <w:p w14:paraId="0C0A9678"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0D3B3F48"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TBT</w:t>
            </w:r>
          </w:p>
        </w:tc>
        <w:tc>
          <w:tcPr>
            <w:tcW w:w="760" w:type="dxa"/>
            <w:tcBorders>
              <w:top w:val="nil"/>
              <w:left w:val="nil"/>
              <w:bottom w:val="nil"/>
              <w:right w:val="nil"/>
            </w:tcBorders>
            <w:shd w:val="clear" w:color="000000" w:fill="DDEBF7"/>
            <w:noWrap/>
            <w:vAlign w:val="bottom"/>
            <w:hideMark/>
          </w:tcPr>
          <w:p w14:paraId="34F75DC9"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(5.3)</w:t>
            </w:r>
          </w:p>
        </w:tc>
        <w:tc>
          <w:tcPr>
            <w:tcW w:w="760" w:type="dxa"/>
            <w:tcBorders>
              <w:top w:val="nil"/>
              <w:left w:val="nil"/>
              <w:bottom w:val="nil"/>
              <w:right w:val="nil"/>
            </w:tcBorders>
            <w:shd w:val="clear" w:color="000000" w:fill="DDEBF7"/>
            <w:noWrap/>
            <w:vAlign w:val="bottom"/>
            <w:hideMark/>
          </w:tcPr>
          <w:p w14:paraId="10D5BD71"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1.8 </w:t>
            </w:r>
          </w:p>
        </w:tc>
        <w:tc>
          <w:tcPr>
            <w:tcW w:w="760" w:type="dxa"/>
            <w:tcBorders>
              <w:top w:val="nil"/>
              <w:left w:val="nil"/>
              <w:bottom w:val="nil"/>
              <w:right w:val="single" w:sz="4" w:space="0" w:color="auto"/>
            </w:tcBorders>
            <w:shd w:val="clear" w:color="000000" w:fill="DDEBF7"/>
            <w:noWrap/>
            <w:vAlign w:val="bottom"/>
            <w:hideMark/>
          </w:tcPr>
          <w:p w14:paraId="72D14E39"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4.6 </w:t>
            </w:r>
          </w:p>
        </w:tc>
        <w:tc>
          <w:tcPr>
            <w:tcW w:w="782" w:type="dxa"/>
            <w:tcBorders>
              <w:top w:val="nil"/>
              <w:left w:val="nil"/>
              <w:bottom w:val="nil"/>
              <w:right w:val="nil"/>
            </w:tcBorders>
            <w:shd w:val="clear" w:color="000000" w:fill="DDEBF7"/>
            <w:noWrap/>
            <w:vAlign w:val="bottom"/>
            <w:hideMark/>
          </w:tcPr>
          <w:p w14:paraId="62B2C70F"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(0.2)</w:t>
            </w:r>
          </w:p>
        </w:tc>
        <w:tc>
          <w:tcPr>
            <w:tcW w:w="749" w:type="dxa"/>
            <w:tcBorders>
              <w:top w:val="nil"/>
              <w:left w:val="nil"/>
              <w:bottom w:val="nil"/>
              <w:right w:val="nil"/>
            </w:tcBorders>
            <w:shd w:val="clear" w:color="000000" w:fill="DDEBF7"/>
            <w:noWrap/>
            <w:vAlign w:val="bottom"/>
            <w:hideMark/>
          </w:tcPr>
          <w:p w14:paraId="7F8B6915"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0.1 </w:t>
            </w:r>
          </w:p>
        </w:tc>
        <w:tc>
          <w:tcPr>
            <w:tcW w:w="749" w:type="dxa"/>
            <w:tcBorders>
              <w:top w:val="nil"/>
              <w:left w:val="nil"/>
              <w:bottom w:val="nil"/>
              <w:right w:val="single" w:sz="4" w:space="0" w:color="auto"/>
            </w:tcBorders>
            <w:shd w:val="clear" w:color="000000" w:fill="DDEBF7"/>
            <w:noWrap/>
            <w:vAlign w:val="bottom"/>
            <w:hideMark/>
          </w:tcPr>
          <w:p w14:paraId="224B3448"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0.2 </w:t>
            </w:r>
          </w:p>
        </w:tc>
      </w:tr>
      <w:tr w:rsidR="00BA6CB1" w:rsidRPr="00BA6CB1" w14:paraId="475D1D4D" w14:textId="77777777" w:rsidTr="00BA6CB1">
        <w:trPr>
          <w:trHeight w:val="300"/>
        </w:trPr>
        <w:tc>
          <w:tcPr>
            <w:tcW w:w="1440" w:type="dxa"/>
            <w:tcBorders>
              <w:top w:val="nil"/>
              <w:left w:val="single" w:sz="4" w:space="0" w:color="auto"/>
              <w:bottom w:val="nil"/>
              <w:right w:val="nil"/>
            </w:tcBorders>
            <w:shd w:val="clear" w:color="000000" w:fill="DDEBF7"/>
            <w:noWrap/>
            <w:vAlign w:val="bottom"/>
            <w:hideMark/>
          </w:tcPr>
          <w:p w14:paraId="2E57CDC4"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797DA081"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TMV</w:t>
            </w:r>
          </w:p>
        </w:tc>
        <w:tc>
          <w:tcPr>
            <w:tcW w:w="760" w:type="dxa"/>
            <w:tcBorders>
              <w:top w:val="nil"/>
              <w:left w:val="nil"/>
              <w:bottom w:val="nil"/>
              <w:right w:val="nil"/>
            </w:tcBorders>
            <w:shd w:val="clear" w:color="000000" w:fill="DDEBF7"/>
            <w:noWrap/>
            <w:vAlign w:val="bottom"/>
            <w:hideMark/>
          </w:tcPr>
          <w:p w14:paraId="63837FEE"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(9.9)</w:t>
            </w:r>
          </w:p>
        </w:tc>
        <w:tc>
          <w:tcPr>
            <w:tcW w:w="760" w:type="dxa"/>
            <w:tcBorders>
              <w:top w:val="nil"/>
              <w:left w:val="nil"/>
              <w:bottom w:val="nil"/>
              <w:right w:val="nil"/>
            </w:tcBorders>
            <w:shd w:val="clear" w:color="000000" w:fill="DDEBF7"/>
            <w:noWrap/>
            <w:vAlign w:val="bottom"/>
            <w:hideMark/>
          </w:tcPr>
          <w:p w14:paraId="46CFAC18"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(1.2)</w:t>
            </w:r>
          </w:p>
        </w:tc>
        <w:tc>
          <w:tcPr>
            <w:tcW w:w="760" w:type="dxa"/>
            <w:tcBorders>
              <w:top w:val="nil"/>
              <w:left w:val="nil"/>
              <w:bottom w:val="nil"/>
              <w:right w:val="single" w:sz="4" w:space="0" w:color="auto"/>
            </w:tcBorders>
            <w:shd w:val="clear" w:color="000000" w:fill="DDEBF7"/>
            <w:noWrap/>
            <w:vAlign w:val="bottom"/>
            <w:hideMark/>
          </w:tcPr>
          <w:p w14:paraId="2809FE5F"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(1.4)</w:t>
            </w:r>
          </w:p>
        </w:tc>
        <w:tc>
          <w:tcPr>
            <w:tcW w:w="782" w:type="dxa"/>
            <w:tcBorders>
              <w:top w:val="nil"/>
              <w:left w:val="nil"/>
              <w:bottom w:val="nil"/>
              <w:right w:val="nil"/>
            </w:tcBorders>
            <w:shd w:val="clear" w:color="000000" w:fill="DDEBF7"/>
            <w:noWrap/>
            <w:vAlign w:val="bottom"/>
            <w:hideMark/>
          </w:tcPr>
          <w:p w14:paraId="22703A56"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(0.2)</w:t>
            </w:r>
          </w:p>
        </w:tc>
        <w:tc>
          <w:tcPr>
            <w:tcW w:w="749" w:type="dxa"/>
            <w:tcBorders>
              <w:top w:val="nil"/>
              <w:left w:val="nil"/>
              <w:bottom w:val="nil"/>
              <w:right w:val="nil"/>
            </w:tcBorders>
            <w:shd w:val="clear" w:color="000000" w:fill="DDEBF7"/>
            <w:noWrap/>
            <w:vAlign w:val="bottom"/>
            <w:hideMark/>
          </w:tcPr>
          <w:p w14:paraId="467AB515"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(0.0)</w:t>
            </w:r>
          </w:p>
        </w:tc>
        <w:tc>
          <w:tcPr>
            <w:tcW w:w="749" w:type="dxa"/>
            <w:tcBorders>
              <w:top w:val="nil"/>
              <w:left w:val="nil"/>
              <w:bottom w:val="nil"/>
              <w:right w:val="single" w:sz="4" w:space="0" w:color="auto"/>
            </w:tcBorders>
            <w:shd w:val="clear" w:color="000000" w:fill="DDEBF7"/>
            <w:noWrap/>
            <w:vAlign w:val="bottom"/>
            <w:hideMark/>
          </w:tcPr>
          <w:p w14:paraId="6C81B72D"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(0.0)</w:t>
            </w:r>
          </w:p>
        </w:tc>
      </w:tr>
      <w:tr w:rsidR="00BA6CB1" w:rsidRPr="00BA6CB1" w14:paraId="130E15CD" w14:textId="77777777" w:rsidTr="00BA6CB1">
        <w:trPr>
          <w:trHeight w:val="290"/>
        </w:trPr>
        <w:tc>
          <w:tcPr>
            <w:tcW w:w="1440" w:type="dxa"/>
            <w:tcBorders>
              <w:top w:val="dashed" w:sz="8" w:space="0" w:color="808080"/>
              <w:left w:val="single" w:sz="4" w:space="0" w:color="auto"/>
              <w:bottom w:val="nil"/>
              <w:right w:val="nil"/>
            </w:tcBorders>
            <w:shd w:val="clear" w:color="000000" w:fill="DDEBF7"/>
            <w:noWrap/>
            <w:vAlign w:val="bottom"/>
            <w:hideMark/>
          </w:tcPr>
          <w:p w14:paraId="5A39F8CD"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Debt</w:t>
            </w:r>
          </w:p>
        </w:tc>
        <w:tc>
          <w:tcPr>
            <w:tcW w:w="1160" w:type="dxa"/>
            <w:tcBorders>
              <w:top w:val="dashed" w:sz="8" w:space="0" w:color="808080"/>
              <w:left w:val="nil"/>
              <w:bottom w:val="nil"/>
              <w:right w:val="nil"/>
            </w:tcBorders>
            <w:shd w:val="clear" w:color="000000" w:fill="DDEBF7"/>
            <w:noWrap/>
            <w:vAlign w:val="bottom"/>
            <w:hideMark/>
          </w:tcPr>
          <w:p w14:paraId="7D0AA48A"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VCLT</w:t>
            </w:r>
          </w:p>
        </w:tc>
        <w:tc>
          <w:tcPr>
            <w:tcW w:w="760" w:type="dxa"/>
            <w:tcBorders>
              <w:top w:val="dashed" w:sz="8" w:space="0" w:color="808080"/>
              <w:left w:val="nil"/>
              <w:bottom w:val="nil"/>
              <w:right w:val="nil"/>
            </w:tcBorders>
            <w:shd w:val="clear" w:color="000000" w:fill="DDEBF7"/>
            <w:noWrap/>
            <w:vAlign w:val="bottom"/>
            <w:hideMark/>
          </w:tcPr>
          <w:p w14:paraId="1C573AB2"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4.0 </w:t>
            </w:r>
          </w:p>
        </w:tc>
        <w:tc>
          <w:tcPr>
            <w:tcW w:w="760" w:type="dxa"/>
            <w:tcBorders>
              <w:top w:val="dashed" w:sz="8" w:space="0" w:color="808080"/>
              <w:left w:val="nil"/>
              <w:bottom w:val="nil"/>
              <w:right w:val="nil"/>
            </w:tcBorders>
            <w:shd w:val="clear" w:color="000000" w:fill="DDEBF7"/>
            <w:noWrap/>
            <w:vAlign w:val="bottom"/>
            <w:hideMark/>
          </w:tcPr>
          <w:p w14:paraId="59737C2E"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2.5 </w:t>
            </w:r>
          </w:p>
        </w:tc>
        <w:tc>
          <w:tcPr>
            <w:tcW w:w="760" w:type="dxa"/>
            <w:tcBorders>
              <w:top w:val="dashed" w:sz="8" w:space="0" w:color="808080"/>
              <w:left w:val="nil"/>
              <w:bottom w:val="nil"/>
              <w:right w:val="single" w:sz="4" w:space="0" w:color="auto"/>
            </w:tcBorders>
            <w:shd w:val="clear" w:color="000000" w:fill="DDEBF7"/>
            <w:noWrap/>
            <w:vAlign w:val="bottom"/>
            <w:hideMark/>
          </w:tcPr>
          <w:p w14:paraId="3E6FCF6C"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0.4 </w:t>
            </w:r>
          </w:p>
        </w:tc>
        <w:tc>
          <w:tcPr>
            <w:tcW w:w="782" w:type="dxa"/>
            <w:tcBorders>
              <w:top w:val="dashed" w:sz="8" w:space="0" w:color="808080"/>
              <w:left w:val="nil"/>
              <w:bottom w:val="nil"/>
              <w:right w:val="nil"/>
            </w:tcBorders>
            <w:shd w:val="clear" w:color="000000" w:fill="DDEBF7"/>
            <w:noWrap/>
            <w:vAlign w:val="bottom"/>
            <w:hideMark/>
          </w:tcPr>
          <w:p w14:paraId="62752C7D"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0.3 </w:t>
            </w:r>
          </w:p>
        </w:tc>
        <w:tc>
          <w:tcPr>
            <w:tcW w:w="749" w:type="dxa"/>
            <w:tcBorders>
              <w:top w:val="dashed" w:sz="8" w:space="0" w:color="808080"/>
              <w:left w:val="nil"/>
              <w:bottom w:val="nil"/>
              <w:right w:val="nil"/>
            </w:tcBorders>
            <w:shd w:val="clear" w:color="000000" w:fill="DDEBF7"/>
            <w:noWrap/>
            <w:vAlign w:val="bottom"/>
            <w:hideMark/>
          </w:tcPr>
          <w:p w14:paraId="44389179"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0.2 </w:t>
            </w:r>
          </w:p>
        </w:tc>
        <w:tc>
          <w:tcPr>
            <w:tcW w:w="749" w:type="dxa"/>
            <w:tcBorders>
              <w:top w:val="dashed" w:sz="8" w:space="0" w:color="808080"/>
              <w:left w:val="nil"/>
              <w:bottom w:val="nil"/>
              <w:right w:val="single" w:sz="4" w:space="0" w:color="auto"/>
            </w:tcBorders>
            <w:shd w:val="clear" w:color="000000" w:fill="DDEBF7"/>
            <w:noWrap/>
            <w:vAlign w:val="bottom"/>
            <w:hideMark/>
          </w:tcPr>
          <w:p w14:paraId="4931B589"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0.0 </w:t>
            </w:r>
          </w:p>
        </w:tc>
      </w:tr>
      <w:tr w:rsidR="00BA6CB1" w:rsidRPr="00BA6CB1" w14:paraId="62DA8888" w14:textId="77777777" w:rsidTr="00BA6CB1">
        <w:trPr>
          <w:trHeight w:val="290"/>
        </w:trPr>
        <w:tc>
          <w:tcPr>
            <w:tcW w:w="1440" w:type="dxa"/>
            <w:tcBorders>
              <w:top w:val="nil"/>
              <w:left w:val="single" w:sz="4" w:space="0" w:color="auto"/>
              <w:bottom w:val="nil"/>
              <w:right w:val="nil"/>
            </w:tcBorders>
            <w:shd w:val="clear" w:color="000000" w:fill="DDEBF7"/>
            <w:noWrap/>
            <w:vAlign w:val="bottom"/>
            <w:hideMark/>
          </w:tcPr>
          <w:p w14:paraId="1E670276"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70D62A0D"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LQD</w:t>
            </w:r>
          </w:p>
        </w:tc>
        <w:tc>
          <w:tcPr>
            <w:tcW w:w="760" w:type="dxa"/>
            <w:tcBorders>
              <w:top w:val="nil"/>
              <w:left w:val="nil"/>
              <w:bottom w:val="nil"/>
              <w:right w:val="nil"/>
            </w:tcBorders>
            <w:shd w:val="clear" w:color="000000" w:fill="DDEBF7"/>
            <w:noWrap/>
            <w:vAlign w:val="bottom"/>
            <w:hideMark/>
          </w:tcPr>
          <w:p w14:paraId="631835F9"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3.2 </w:t>
            </w:r>
          </w:p>
        </w:tc>
        <w:tc>
          <w:tcPr>
            <w:tcW w:w="760" w:type="dxa"/>
            <w:tcBorders>
              <w:top w:val="nil"/>
              <w:left w:val="nil"/>
              <w:bottom w:val="nil"/>
              <w:right w:val="nil"/>
            </w:tcBorders>
            <w:shd w:val="clear" w:color="000000" w:fill="DDEBF7"/>
            <w:noWrap/>
            <w:vAlign w:val="bottom"/>
            <w:hideMark/>
          </w:tcPr>
          <w:p w14:paraId="32DB7809"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1.2 </w:t>
            </w:r>
          </w:p>
        </w:tc>
        <w:tc>
          <w:tcPr>
            <w:tcW w:w="760" w:type="dxa"/>
            <w:tcBorders>
              <w:top w:val="nil"/>
              <w:left w:val="nil"/>
              <w:bottom w:val="nil"/>
              <w:right w:val="single" w:sz="4" w:space="0" w:color="auto"/>
            </w:tcBorders>
            <w:shd w:val="clear" w:color="000000" w:fill="DDEBF7"/>
            <w:noWrap/>
            <w:vAlign w:val="bottom"/>
            <w:hideMark/>
          </w:tcPr>
          <w:p w14:paraId="2898BE4C"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(1.1)</w:t>
            </w:r>
          </w:p>
        </w:tc>
        <w:tc>
          <w:tcPr>
            <w:tcW w:w="782" w:type="dxa"/>
            <w:tcBorders>
              <w:top w:val="nil"/>
              <w:left w:val="nil"/>
              <w:bottom w:val="nil"/>
              <w:right w:val="nil"/>
            </w:tcBorders>
            <w:shd w:val="clear" w:color="000000" w:fill="DDEBF7"/>
            <w:noWrap/>
            <w:vAlign w:val="bottom"/>
            <w:hideMark/>
          </w:tcPr>
          <w:p w14:paraId="06C938F6"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0.4 </w:t>
            </w:r>
          </w:p>
        </w:tc>
        <w:tc>
          <w:tcPr>
            <w:tcW w:w="749" w:type="dxa"/>
            <w:tcBorders>
              <w:top w:val="nil"/>
              <w:left w:val="nil"/>
              <w:bottom w:val="nil"/>
              <w:right w:val="nil"/>
            </w:tcBorders>
            <w:shd w:val="clear" w:color="000000" w:fill="DDEBF7"/>
            <w:noWrap/>
            <w:vAlign w:val="bottom"/>
            <w:hideMark/>
          </w:tcPr>
          <w:p w14:paraId="709AF68D"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0.1 </w:t>
            </w:r>
          </w:p>
        </w:tc>
        <w:tc>
          <w:tcPr>
            <w:tcW w:w="749" w:type="dxa"/>
            <w:tcBorders>
              <w:top w:val="nil"/>
              <w:left w:val="nil"/>
              <w:bottom w:val="nil"/>
              <w:right w:val="single" w:sz="4" w:space="0" w:color="auto"/>
            </w:tcBorders>
            <w:shd w:val="clear" w:color="000000" w:fill="DDEBF7"/>
            <w:noWrap/>
            <w:vAlign w:val="bottom"/>
            <w:hideMark/>
          </w:tcPr>
          <w:p w14:paraId="03F1807A"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(0.2)</w:t>
            </w:r>
          </w:p>
        </w:tc>
      </w:tr>
      <w:tr w:rsidR="00BA6CB1" w:rsidRPr="00BA6CB1" w14:paraId="0E1F5022" w14:textId="77777777" w:rsidTr="00BA6CB1">
        <w:trPr>
          <w:trHeight w:val="290"/>
        </w:trPr>
        <w:tc>
          <w:tcPr>
            <w:tcW w:w="1440" w:type="dxa"/>
            <w:tcBorders>
              <w:top w:val="nil"/>
              <w:left w:val="single" w:sz="4" w:space="0" w:color="auto"/>
              <w:bottom w:val="single" w:sz="4" w:space="0" w:color="auto"/>
              <w:right w:val="nil"/>
            </w:tcBorders>
            <w:shd w:val="clear" w:color="000000" w:fill="DDEBF7"/>
            <w:noWrap/>
            <w:vAlign w:val="bottom"/>
            <w:hideMark/>
          </w:tcPr>
          <w:p w14:paraId="74B4BCCB"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Debt</w:t>
            </w:r>
          </w:p>
        </w:tc>
        <w:tc>
          <w:tcPr>
            <w:tcW w:w="1160" w:type="dxa"/>
            <w:tcBorders>
              <w:top w:val="nil"/>
              <w:left w:val="nil"/>
              <w:bottom w:val="single" w:sz="4" w:space="0" w:color="auto"/>
              <w:right w:val="nil"/>
            </w:tcBorders>
            <w:shd w:val="clear" w:color="000000" w:fill="DDEBF7"/>
            <w:noWrap/>
            <w:vAlign w:val="bottom"/>
            <w:hideMark/>
          </w:tcPr>
          <w:p w14:paraId="54BBAD75"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TMF</w:t>
            </w:r>
          </w:p>
        </w:tc>
        <w:tc>
          <w:tcPr>
            <w:tcW w:w="760" w:type="dxa"/>
            <w:tcBorders>
              <w:top w:val="nil"/>
              <w:left w:val="nil"/>
              <w:bottom w:val="single" w:sz="4" w:space="0" w:color="auto"/>
              <w:right w:val="nil"/>
            </w:tcBorders>
            <w:shd w:val="clear" w:color="000000" w:fill="DDEBF7"/>
            <w:noWrap/>
            <w:vAlign w:val="bottom"/>
            <w:hideMark/>
          </w:tcPr>
          <w:p w14:paraId="3EFA4921"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(12.3)</w:t>
            </w:r>
          </w:p>
        </w:tc>
        <w:tc>
          <w:tcPr>
            <w:tcW w:w="760" w:type="dxa"/>
            <w:tcBorders>
              <w:top w:val="nil"/>
              <w:left w:val="nil"/>
              <w:bottom w:val="single" w:sz="4" w:space="0" w:color="auto"/>
              <w:right w:val="nil"/>
            </w:tcBorders>
            <w:shd w:val="clear" w:color="000000" w:fill="DDEBF7"/>
            <w:noWrap/>
            <w:vAlign w:val="bottom"/>
            <w:hideMark/>
          </w:tcPr>
          <w:p w14:paraId="22D458D9"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(8.9)</w:t>
            </w:r>
          </w:p>
        </w:tc>
        <w:tc>
          <w:tcPr>
            <w:tcW w:w="760" w:type="dxa"/>
            <w:tcBorders>
              <w:top w:val="nil"/>
              <w:left w:val="nil"/>
              <w:bottom w:val="single" w:sz="4" w:space="0" w:color="auto"/>
              <w:right w:val="single" w:sz="4" w:space="0" w:color="auto"/>
            </w:tcBorders>
            <w:shd w:val="clear" w:color="000000" w:fill="DDEBF7"/>
            <w:noWrap/>
            <w:vAlign w:val="bottom"/>
            <w:hideMark/>
          </w:tcPr>
          <w:p w14:paraId="476138D9"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(16.8)</w:t>
            </w:r>
          </w:p>
        </w:tc>
        <w:tc>
          <w:tcPr>
            <w:tcW w:w="782" w:type="dxa"/>
            <w:tcBorders>
              <w:top w:val="nil"/>
              <w:left w:val="nil"/>
              <w:bottom w:val="single" w:sz="4" w:space="0" w:color="auto"/>
              <w:right w:val="nil"/>
            </w:tcBorders>
            <w:shd w:val="clear" w:color="000000" w:fill="DDEBF7"/>
            <w:noWrap/>
            <w:vAlign w:val="bottom"/>
            <w:hideMark/>
          </w:tcPr>
          <w:p w14:paraId="77CEC9A0"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(0.3)</w:t>
            </w:r>
          </w:p>
        </w:tc>
        <w:tc>
          <w:tcPr>
            <w:tcW w:w="749" w:type="dxa"/>
            <w:tcBorders>
              <w:top w:val="nil"/>
              <w:left w:val="nil"/>
              <w:bottom w:val="single" w:sz="4" w:space="0" w:color="auto"/>
              <w:right w:val="nil"/>
            </w:tcBorders>
            <w:shd w:val="clear" w:color="000000" w:fill="DDEBF7"/>
            <w:noWrap/>
            <w:vAlign w:val="bottom"/>
            <w:hideMark/>
          </w:tcPr>
          <w:p w14:paraId="5319F570"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(0.2)</w:t>
            </w:r>
          </w:p>
        </w:tc>
        <w:tc>
          <w:tcPr>
            <w:tcW w:w="749" w:type="dxa"/>
            <w:tcBorders>
              <w:top w:val="nil"/>
              <w:left w:val="nil"/>
              <w:bottom w:val="single" w:sz="4" w:space="0" w:color="auto"/>
              <w:right w:val="single" w:sz="4" w:space="0" w:color="auto"/>
            </w:tcBorders>
            <w:shd w:val="clear" w:color="000000" w:fill="DDEBF7"/>
            <w:noWrap/>
            <w:vAlign w:val="bottom"/>
            <w:hideMark/>
          </w:tcPr>
          <w:p w14:paraId="25E99C56"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(0.8)</w:t>
            </w:r>
          </w:p>
        </w:tc>
      </w:tr>
      <w:tr w:rsidR="00BA6CB1" w:rsidRPr="00BA6CB1" w14:paraId="649E3BE4" w14:textId="77777777" w:rsidTr="00BA6CB1">
        <w:trPr>
          <w:trHeight w:val="290"/>
        </w:trPr>
        <w:tc>
          <w:tcPr>
            <w:tcW w:w="1440" w:type="dxa"/>
            <w:tcBorders>
              <w:top w:val="nil"/>
              <w:left w:val="single" w:sz="4" w:space="0" w:color="auto"/>
              <w:bottom w:val="nil"/>
              <w:right w:val="nil"/>
            </w:tcBorders>
            <w:shd w:val="clear" w:color="000000" w:fill="E2EFDA"/>
            <w:noWrap/>
            <w:vAlign w:val="bottom"/>
            <w:hideMark/>
          </w:tcPr>
          <w:p w14:paraId="6251E75D"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Equity</w:t>
            </w:r>
          </w:p>
        </w:tc>
        <w:tc>
          <w:tcPr>
            <w:tcW w:w="1160" w:type="dxa"/>
            <w:tcBorders>
              <w:top w:val="nil"/>
              <w:left w:val="nil"/>
              <w:bottom w:val="nil"/>
              <w:right w:val="nil"/>
            </w:tcBorders>
            <w:shd w:val="clear" w:color="000000" w:fill="E2EFDA"/>
            <w:noWrap/>
            <w:vAlign w:val="bottom"/>
            <w:hideMark/>
          </w:tcPr>
          <w:p w14:paraId="7B25D1C5"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SPY</w:t>
            </w:r>
          </w:p>
        </w:tc>
        <w:tc>
          <w:tcPr>
            <w:tcW w:w="760" w:type="dxa"/>
            <w:tcBorders>
              <w:top w:val="nil"/>
              <w:left w:val="nil"/>
              <w:bottom w:val="nil"/>
              <w:right w:val="nil"/>
            </w:tcBorders>
            <w:shd w:val="clear" w:color="000000" w:fill="E2EFDA"/>
            <w:noWrap/>
            <w:vAlign w:val="bottom"/>
            <w:hideMark/>
          </w:tcPr>
          <w:p w14:paraId="74ED5D7C"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11.9 </w:t>
            </w:r>
          </w:p>
        </w:tc>
        <w:tc>
          <w:tcPr>
            <w:tcW w:w="760" w:type="dxa"/>
            <w:tcBorders>
              <w:top w:val="nil"/>
              <w:left w:val="nil"/>
              <w:bottom w:val="nil"/>
              <w:right w:val="nil"/>
            </w:tcBorders>
            <w:shd w:val="clear" w:color="000000" w:fill="E2EFDA"/>
            <w:noWrap/>
            <w:vAlign w:val="bottom"/>
            <w:hideMark/>
          </w:tcPr>
          <w:p w14:paraId="5128660A"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7.2 </w:t>
            </w:r>
          </w:p>
        </w:tc>
        <w:tc>
          <w:tcPr>
            <w:tcW w:w="760" w:type="dxa"/>
            <w:tcBorders>
              <w:top w:val="nil"/>
              <w:left w:val="nil"/>
              <w:bottom w:val="nil"/>
              <w:right w:val="single" w:sz="4" w:space="0" w:color="auto"/>
            </w:tcBorders>
            <w:shd w:val="clear" w:color="000000" w:fill="E2EFDA"/>
            <w:noWrap/>
            <w:vAlign w:val="bottom"/>
            <w:hideMark/>
          </w:tcPr>
          <w:p w14:paraId="15DF818D"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0.4 </w:t>
            </w:r>
          </w:p>
        </w:tc>
        <w:tc>
          <w:tcPr>
            <w:tcW w:w="782" w:type="dxa"/>
            <w:tcBorders>
              <w:top w:val="nil"/>
              <w:left w:val="nil"/>
              <w:bottom w:val="nil"/>
              <w:right w:val="nil"/>
            </w:tcBorders>
            <w:shd w:val="clear" w:color="000000" w:fill="E2EFDA"/>
            <w:noWrap/>
            <w:vAlign w:val="bottom"/>
            <w:hideMark/>
          </w:tcPr>
          <w:p w14:paraId="3A79B1A0"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0.7 </w:t>
            </w:r>
          </w:p>
        </w:tc>
        <w:tc>
          <w:tcPr>
            <w:tcW w:w="749" w:type="dxa"/>
            <w:tcBorders>
              <w:top w:val="nil"/>
              <w:left w:val="nil"/>
              <w:bottom w:val="nil"/>
              <w:right w:val="nil"/>
            </w:tcBorders>
            <w:shd w:val="clear" w:color="000000" w:fill="E2EFDA"/>
            <w:noWrap/>
            <w:vAlign w:val="bottom"/>
            <w:hideMark/>
          </w:tcPr>
          <w:p w14:paraId="69A011D4"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0.4 </w:t>
            </w:r>
          </w:p>
        </w:tc>
        <w:tc>
          <w:tcPr>
            <w:tcW w:w="749" w:type="dxa"/>
            <w:tcBorders>
              <w:top w:val="nil"/>
              <w:left w:val="nil"/>
              <w:bottom w:val="nil"/>
              <w:right w:val="single" w:sz="4" w:space="0" w:color="auto"/>
            </w:tcBorders>
            <w:shd w:val="clear" w:color="000000" w:fill="E2EFDA"/>
            <w:noWrap/>
            <w:vAlign w:val="bottom"/>
            <w:hideMark/>
          </w:tcPr>
          <w:p w14:paraId="3CD8CF87"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0.0 </w:t>
            </w:r>
          </w:p>
        </w:tc>
      </w:tr>
      <w:tr w:rsidR="00BA6CB1" w:rsidRPr="00BA6CB1" w14:paraId="3984725E" w14:textId="77777777" w:rsidTr="00BA6CB1">
        <w:trPr>
          <w:trHeight w:val="290"/>
        </w:trPr>
        <w:tc>
          <w:tcPr>
            <w:tcW w:w="1440" w:type="dxa"/>
            <w:tcBorders>
              <w:top w:val="nil"/>
              <w:left w:val="single" w:sz="4" w:space="0" w:color="auto"/>
              <w:bottom w:val="nil"/>
              <w:right w:val="nil"/>
            </w:tcBorders>
            <w:shd w:val="clear" w:color="000000" w:fill="E2EFDA"/>
            <w:noWrap/>
            <w:vAlign w:val="bottom"/>
            <w:hideMark/>
          </w:tcPr>
          <w:p w14:paraId="256C8F78"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Equity</w:t>
            </w:r>
          </w:p>
        </w:tc>
        <w:tc>
          <w:tcPr>
            <w:tcW w:w="1160" w:type="dxa"/>
            <w:tcBorders>
              <w:top w:val="nil"/>
              <w:left w:val="nil"/>
              <w:bottom w:val="nil"/>
              <w:right w:val="nil"/>
            </w:tcBorders>
            <w:shd w:val="clear" w:color="000000" w:fill="E2EFDA"/>
            <w:noWrap/>
            <w:vAlign w:val="bottom"/>
            <w:hideMark/>
          </w:tcPr>
          <w:p w14:paraId="50C8A8D0"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SPYG</w:t>
            </w:r>
          </w:p>
        </w:tc>
        <w:tc>
          <w:tcPr>
            <w:tcW w:w="760" w:type="dxa"/>
            <w:tcBorders>
              <w:top w:val="nil"/>
              <w:left w:val="nil"/>
              <w:bottom w:val="nil"/>
              <w:right w:val="nil"/>
            </w:tcBorders>
            <w:shd w:val="clear" w:color="000000" w:fill="E2EFDA"/>
            <w:noWrap/>
            <w:vAlign w:val="bottom"/>
            <w:hideMark/>
          </w:tcPr>
          <w:p w14:paraId="3D011292"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13.0 </w:t>
            </w:r>
          </w:p>
        </w:tc>
        <w:tc>
          <w:tcPr>
            <w:tcW w:w="760" w:type="dxa"/>
            <w:tcBorders>
              <w:top w:val="nil"/>
              <w:left w:val="nil"/>
              <w:bottom w:val="nil"/>
              <w:right w:val="nil"/>
            </w:tcBorders>
            <w:shd w:val="clear" w:color="000000" w:fill="E2EFDA"/>
            <w:noWrap/>
            <w:vAlign w:val="bottom"/>
            <w:hideMark/>
          </w:tcPr>
          <w:p w14:paraId="6D32512A"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13.2 </w:t>
            </w:r>
          </w:p>
        </w:tc>
        <w:tc>
          <w:tcPr>
            <w:tcW w:w="760" w:type="dxa"/>
            <w:tcBorders>
              <w:top w:val="nil"/>
              <w:left w:val="nil"/>
              <w:bottom w:val="nil"/>
              <w:right w:val="single" w:sz="4" w:space="0" w:color="auto"/>
            </w:tcBorders>
            <w:shd w:val="clear" w:color="000000" w:fill="E2EFDA"/>
            <w:noWrap/>
            <w:vAlign w:val="bottom"/>
            <w:hideMark/>
          </w:tcPr>
          <w:p w14:paraId="3E60A833"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10.9 </w:t>
            </w:r>
          </w:p>
        </w:tc>
        <w:tc>
          <w:tcPr>
            <w:tcW w:w="782" w:type="dxa"/>
            <w:tcBorders>
              <w:top w:val="nil"/>
              <w:left w:val="nil"/>
              <w:bottom w:val="nil"/>
              <w:right w:val="nil"/>
            </w:tcBorders>
            <w:shd w:val="clear" w:color="000000" w:fill="E2EFDA"/>
            <w:noWrap/>
            <w:vAlign w:val="bottom"/>
            <w:hideMark/>
          </w:tcPr>
          <w:p w14:paraId="1D2194C1"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0.7 </w:t>
            </w:r>
          </w:p>
        </w:tc>
        <w:tc>
          <w:tcPr>
            <w:tcW w:w="749" w:type="dxa"/>
            <w:tcBorders>
              <w:top w:val="nil"/>
              <w:left w:val="nil"/>
              <w:bottom w:val="nil"/>
              <w:right w:val="nil"/>
            </w:tcBorders>
            <w:shd w:val="clear" w:color="000000" w:fill="E2EFDA"/>
            <w:noWrap/>
            <w:vAlign w:val="bottom"/>
            <w:hideMark/>
          </w:tcPr>
          <w:p w14:paraId="2C547CFE"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0.7 </w:t>
            </w:r>
          </w:p>
        </w:tc>
        <w:tc>
          <w:tcPr>
            <w:tcW w:w="749" w:type="dxa"/>
            <w:tcBorders>
              <w:top w:val="nil"/>
              <w:left w:val="nil"/>
              <w:bottom w:val="nil"/>
              <w:right w:val="single" w:sz="4" w:space="0" w:color="auto"/>
            </w:tcBorders>
            <w:shd w:val="clear" w:color="000000" w:fill="E2EFDA"/>
            <w:noWrap/>
            <w:vAlign w:val="bottom"/>
            <w:hideMark/>
          </w:tcPr>
          <w:p w14:paraId="404BDDB0"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0.9 </w:t>
            </w:r>
          </w:p>
        </w:tc>
      </w:tr>
      <w:tr w:rsidR="00BA6CB1" w:rsidRPr="00BA6CB1" w14:paraId="0FA3AEA3" w14:textId="77777777" w:rsidTr="00BA6CB1">
        <w:trPr>
          <w:trHeight w:val="300"/>
        </w:trPr>
        <w:tc>
          <w:tcPr>
            <w:tcW w:w="1440" w:type="dxa"/>
            <w:tcBorders>
              <w:top w:val="nil"/>
              <w:left w:val="single" w:sz="4" w:space="0" w:color="auto"/>
              <w:bottom w:val="nil"/>
              <w:right w:val="nil"/>
            </w:tcBorders>
            <w:shd w:val="clear" w:color="000000" w:fill="E2EFDA"/>
            <w:noWrap/>
            <w:vAlign w:val="bottom"/>
            <w:hideMark/>
          </w:tcPr>
          <w:p w14:paraId="29245A4A"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Equity</w:t>
            </w:r>
          </w:p>
        </w:tc>
        <w:tc>
          <w:tcPr>
            <w:tcW w:w="1160" w:type="dxa"/>
            <w:tcBorders>
              <w:top w:val="nil"/>
              <w:left w:val="nil"/>
              <w:bottom w:val="nil"/>
              <w:right w:val="nil"/>
            </w:tcBorders>
            <w:shd w:val="clear" w:color="000000" w:fill="E2EFDA"/>
            <w:noWrap/>
            <w:vAlign w:val="bottom"/>
            <w:hideMark/>
          </w:tcPr>
          <w:p w14:paraId="72A89010"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SPLG</w:t>
            </w:r>
          </w:p>
        </w:tc>
        <w:tc>
          <w:tcPr>
            <w:tcW w:w="760" w:type="dxa"/>
            <w:tcBorders>
              <w:top w:val="nil"/>
              <w:left w:val="nil"/>
              <w:bottom w:val="nil"/>
              <w:right w:val="nil"/>
            </w:tcBorders>
            <w:shd w:val="clear" w:color="000000" w:fill="E2EFDA"/>
            <w:noWrap/>
            <w:vAlign w:val="bottom"/>
            <w:hideMark/>
          </w:tcPr>
          <w:p w14:paraId="47ABA515"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12.3 </w:t>
            </w:r>
          </w:p>
        </w:tc>
        <w:tc>
          <w:tcPr>
            <w:tcW w:w="760" w:type="dxa"/>
            <w:tcBorders>
              <w:top w:val="nil"/>
              <w:left w:val="nil"/>
              <w:bottom w:val="nil"/>
              <w:right w:val="nil"/>
            </w:tcBorders>
            <w:shd w:val="clear" w:color="000000" w:fill="E2EFDA"/>
            <w:noWrap/>
            <w:vAlign w:val="bottom"/>
            <w:hideMark/>
          </w:tcPr>
          <w:p w14:paraId="1EE8E66E"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11.3 </w:t>
            </w:r>
          </w:p>
        </w:tc>
        <w:tc>
          <w:tcPr>
            <w:tcW w:w="760" w:type="dxa"/>
            <w:tcBorders>
              <w:top w:val="nil"/>
              <w:left w:val="nil"/>
              <w:bottom w:val="nil"/>
              <w:right w:val="single" w:sz="4" w:space="0" w:color="auto"/>
            </w:tcBorders>
            <w:shd w:val="clear" w:color="000000" w:fill="E2EFDA"/>
            <w:noWrap/>
            <w:vAlign w:val="bottom"/>
            <w:hideMark/>
          </w:tcPr>
          <w:p w14:paraId="67DCCE98"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8.0 </w:t>
            </w:r>
          </w:p>
        </w:tc>
        <w:tc>
          <w:tcPr>
            <w:tcW w:w="782" w:type="dxa"/>
            <w:tcBorders>
              <w:top w:val="nil"/>
              <w:left w:val="nil"/>
              <w:bottom w:val="nil"/>
              <w:right w:val="nil"/>
            </w:tcBorders>
            <w:shd w:val="clear" w:color="000000" w:fill="E2EFDA"/>
            <w:noWrap/>
            <w:vAlign w:val="bottom"/>
            <w:hideMark/>
          </w:tcPr>
          <w:p w14:paraId="1CEE85BF"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0.7 </w:t>
            </w:r>
          </w:p>
        </w:tc>
        <w:tc>
          <w:tcPr>
            <w:tcW w:w="749" w:type="dxa"/>
            <w:tcBorders>
              <w:top w:val="nil"/>
              <w:left w:val="nil"/>
              <w:bottom w:val="nil"/>
              <w:right w:val="nil"/>
            </w:tcBorders>
            <w:shd w:val="clear" w:color="000000" w:fill="E2EFDA"/>
            <w:noWrap/>
            <w:vAlign w:val="bottom"/>
            <w:hideMark/>
          </w:tcPr>
          <w:p w14:paraId="058DB2C7"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0.7 </w:t>
            </w:r>
          </w:p>
        </w:tc>
        <w:tc>
          <w:tcPr>
            <w:tcW w:w="749" w:type="dxa"/>
            <w:tcBorders>
              <w:top w:val="nil"/>
              <w:left w:val="nil"/>
              <w:bottom w:val="nil"/>
              <w:right w:val="single" w:sz="4" w:space="0" w:color="auto"/>
            </w:tcBorders>
            <w:shd w:val="clear" w:color="000000" w:fill="E2EFDA"/>
            <w:noWrap/>
            <w:vAlign w:val="bottom"/>
            <w:hideMark/>
          </w:tcPr>
          <w:p w14:paraId="28102D39"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0.8 </w:t>
            </w:r>
          </w:p>
        </w:tc>
      </w:tr>
      <w:tr w:rsidR="00BA6CB1" w:rsidRPr="00BA6CB1" w14:paraId="6C2B5255" w14:textId="77777777" w:rsidTr="00BA6CB1">
        <w:trPr>
          <w:trHeight w:val="290"/>
        </w:trPr>
        <w:tc>
          <w:tcPr>
            <w:tcW w:w="1440" w:type="dxa"/>
            <w:tcBorders>
              <w:top w:val="dashed" w:sz="8" w:space="0" w:color="808080"/>
              <w:left w:val="single" w:sz="4" w:space="0" w:color="auto"/>
              <w:bottom w:val="nil"/>
              <w:right w:val="nil"/>
            </w:tcBorders>
            <w:shd w:val="clear" w:color="000000" w:fill="E2EFDA"/>
            <w:noWrap/>
            <w:vAlign w:val="bottom"/>
            <w:hideMark/>
          </w:tcPr>
          <w:p w14:paraId="156F6F45"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Equity</w:t>
            </w:r>
          </w:p>
        </w:tc>
        <w:tc>
          <w:tcPr>
            <w:tcW w:w="1160" w:type="dxa"/>
            <w:tcBorders>
              <w:top w:val="dashed" w:sz="8" w:space="0" w:color="808080"/>
              <w:left w:val="nil"/>
              <w:bottom w:val="nil"/>
              <w:right w:val="nil"/>
            </w:tcBorders>
            <w:shd w:val="clear" w:color="000000" w:fill="E2EFDA"/>
            <w:noWrap/>
            <w:vAlign w:val="bottom"/>
            <w:hideMark/>
          </w:tcPr>
          <w:p w14:paraId="6F0C6B8D"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KBE</w:t>
            </w:r>
          </w:p>
        </w:tc>
        <w:tc>
          <w:tcPr>
            <w:tcW w:w="760" w:type="dxa"/>
            <w:tcBorders>
              <w:top w:val="dashed" w:sz="8" w:space="0" w:color="808080"/>
              <w:left w:val="nil"/>
              <w:bottom w:val="nil"/>
              <w:right w:val="nil"/>
            </w:tcBorders>
            <w:shd w:val="clear" w:color="000000" w:fill="E2EFDA"/>
            <w:noWrap/>
            <w:vAlign w:val="bottom"/>
            <w:hideMark/>
          </w:tcPr>
          <w:p w14:paraId="4A86F6FC"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3.6 </w:t>
            </w:r>
          </w:p>
        </w:tc>
        <w:tc>
          <w:tcPr>
            <w:tcW w:w="760" w:type="dxa"/>
            <w:tcBorders>
              <w:top w:val="dashed" w:sz="8" w:space="0" w:color="808080"/>
              <w:left w:val="nil"/>
              <w:bottom w:val="nil"/>
              <w:right w:val="nil"/>
            </w:tcBorders>
            <w:shd w:val="clear" w:color="000000" w:fill="E2EFDA"/>
            <w:noWrap/>
            <w:vAlign w:val="bottom"/>
            <w:hideMark/>
          </w:tcPr>
          <w:p w14:paraId="36BDF7A4"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1.1 </w:t>
            </w:r>
          </w:p>
        </w:tc>
        <w:tc>
          <w:tcPr>
            <w:tcW w:w="760" w:type="dxa"/>
            <w:tcBorders>
              <w:top w:val="dashed" w:sz="8" w:space="0" w:color="808080"/>
              <w:left w:val="nil"/>
              <w:bottom w:val="nil"/>
              <w:right w:val="single" w:sz="4" w:space="0" w:color="auto"/>
            </w:tcBorders>
            <w:shd w:val="clear" w:color="000000" w:fill="E2EFDA"/>
            <w:noWrap/>
            <w:vAlign w:val="bottom"/>
            <w:hideMark/>
          </w:tcPr>
          <w:p w14:paraId="30D21D1B"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(6.6)</w:t>
            </w:r>
          </w:p>
        </w:tc>
        <w:tc>
          <w:tcPr>
            <w:tcW w:w="782" w:type="dxa"/>
            <w:tcBorders>
              <w:top w:val="dashed" w:sz="8" w:space="0" w:color="808080"/>
              <w:left w:val="nil"/>
              <w:bottom w:val="nil"/>
              <w:right w:val="nil"/>
            </w:tcBorders>
            <w:shd w:val="clear" w:color="000000" w:fill="E2EFDA"/>
            <w:noWrap/>
            <w:vAlign w:val="bottom"/>
            <w:hideMark/>
          </w:tcPr>
          <w:p w14:paraId="07B35613"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0.1 </w:t>
            </w:r>
          </w:p>
        </w:tc>
        <w:tc>
          <w:tcPr>
            <w:tcW w:w="749" w:type="dxa"/>
            <w:tcBorders>
              <w:top w:val="dashed" w:sz="8" w:space="0" w:color="808080"/>
              <w:left w:val="nil"/>
              <w:bottom w:val="nil"/>
              <w:right w:val="nil"/>
            </w:tcBorders>
            <w:shd w:val="clear" w:color="000000" w:fill="E2EFDA"/>
            <w:noWrap/>
            <w:vAlign w:val="bottom"/>
            <w:hideMark/>
          </w:tcPr>
          <w:p w14:paraId="05F9D266"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0.0 </w:t>
            </w:r>
          </w:p>
        </w:tc>
        <w:tc>
          <w:tcPr>
            <w:tcW w:w="749" w:type="dxa"/>
            <w:tcBorders>
              <w:top w:val="dashed" w:sz="8" w:space="0" w:color="808080"/>
              <w:left w:val="nil"/>
              <w:bottom w:val="nil"/>
              <w:right w:val="single" w:sz="4" w:space="0" w:color="auto"/>
            </w:tcBorders>
            <w:shd w:val="clear" w:color="000000" w:fill="E2EFDA"/>
            <w:noWrap/>
            <w:vAlign w:val="bottom"/>
            <w:hideMark/>
          </w:tcPr>
          <w:p w14:paraId="5C094F12"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(0.4)</w:t>
            </w:r>
          </w:p>
        </w:tc>
      </w:tr>
      <w:tr w:rsidR="00BA6CB1" w:rsidRPr="00BA6CB1" w14:paraId="4311A03E" w14:textId="77777777" w:rsidTr="00BA6CB1">
        <w:trPr>
          <w:trHeight w:val="290"/>
        </w:trPr>
        <w:tc>
          <w:tcPr>
            <w:tcW w:w="1440" w:type="dxa"/>
            <w:tcBorders>
              <w:top w:val="nil"/>
              <w:left w:val="single" w:sz="4" w:space="0" w:color="auto"/>
              <w:bottom w:val="single" w:sz="4" w:space="0" w:color="auto"/>
              <w:right w:val="nil"/>
            </w:tcBorders>
            <w:shd w:val="clear" w:color="000000" w:fill="E2EFDA"/>
            <w:noWrap/>
            <w:vAlign w:val="bottom"/>
            <w:hideMark/>
          </w:tcPr>
          <w:p w14:paraId="55027D31"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Equity</w:t>
            </w:r>
          </w:p>
        </w:tc>
        <w:tc>
          <w:tcPr>
            <w:tcW w:w="1160" w:type="dxa"/>
            <w:tcBorders>
              <w:top w:val="nil"/>
              <w:left w:val="nil"/>
              <w:bottom w:val="single" w:sz="4" w:space="0" w:color="auto"/>
              <w:right w:val="nil"/>
            </w:tcBorders>
            <w:shd w:val="clear" w:color="000000" w:fill="E2EFDA"/>
            <w:noWrap/>
            <w:vAlign w:val="bottom"/>
            <w:hideMark/>
          </w:tcPr>
          <w:p w14:paraId="5B899372"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XRT</w:t>
            </w:r>
          </w:p>
        </w:tc>
        <w:tc>
          <w:tcPr>
            <w:tcW w:w="760" w:type="dxa"/>
            <w:tcBorders>
              <w:top w:val="nil"/>
              <w:left w:val="nil"/>
              <w:bottom w:val="single" w:sz="4" w:space="0" w:color="auto"/>
              <w:right w:val="nil"/>
            </w:tcBorders>
            <w:shd w:val="clear" w:color="000000" w:fill="E2EFDA"/>
            <w:noWrap/>
            <w:vAlign w:val="bottom"/>
            <w:hideMark/>
          </w:tcPr>
          <w:p w14:paraId="47EA63AA"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7.6 </w:t>
            </w:r>
          </w:p>
        </w:tc>
        <w:tc>
          <w:tcPr>
            <w:tcW w:w="760" w:type="dxa"/>
            <w:tcBorders>
              <w:top w:val="nil"/>
              <w:left w:val="nil"/>
              <w:bottom w:val="single" w:sz="4" w:space="0" w:color="auto"/>
              <w:right w:val="nil"/>
            </w:tcBorders>
            <w:shd w:val="clear" w:color="000000" w:fill="E2EFDA"/>
            <w:noWrap/>
            <w:vAlign w:val="bottom"/>
            <w:hideMark/>
          </w:tcPr>
          <w:p w14:paraId="05FE5624"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3.1 </w:t>
            </w:r>
          </w:p>
        </w:tc>
        <w:tc>
          <w:tcPr>
            <w:tcW w:w="760" w:type="dxa"/>
            <w:tcBorders>
              <w:top w:val="nil"/>
              <w:left w:val="nil"/>
              <w:bottom w:val="single" w:sz="4" w:space="0" w:color="auto"/>
              <w:right w:val="single" w:sz="4" w:space="0" w:color="auto"/>
            </w:tcBorders>
            <w:shd w:val="clear" w:color="000000" w:fill="E2EFDA"/>
            <w:noWrap/>
            <w:vAlign w:val="bottom"/>
            <w:hideMark/>
          </w:tcPr>
          <w:p w14:paraId="093B4D57"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(9.0)</w:t>
            </w:r>
          </w:p>
        </w:tc>
        <w:tc>
          <w:tcPr>
            <w:tcW w:w="782" w:type="dxa"/>
            <w:tcBorders>
              <w:top w:val="nil"/>
              <w:left w:val="nil"/>
              <w:bottom w:val="single" w:sz="4" w:space="0" w:color="auto"/>
              <w:right w:val="nil"/>
            </w:tcBorders>
            <w:shd w:val="clear" w:color="000000" w:fill="E2EFDA"/>
            <w:noWrap/>
            <w:vAlign w:val="bottom"/>
            <w:hideMark/>
          </w:tcPr>
          <w:p w14:paraId="4312C72A"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0.3 </w:t>
            </w:r>
          </w:p>
        </w:tc>
        <w:tc>
          <w:tcPr>
            <w:tcW w:w="749" w:type="dxa"/>
            <w:tcBorders>
              <w:top w:val="nil"/>
              <w:left w:val="nil"/>
              <w:bottom w:val="single" w:sz="4" w:space="0" w:color="auto"/>
              <w:right w:val="nil"/>
            </w:tcBorders>
            <w:shd w:val="clear" w:color="000000" w:fill="E2EFDA"/>
            <w:noWrap/>
            <w:vAlign w:val="bottom"/>
            <w:hideMark/>
          </w:tcPr>
          <w:p w14:paraId="426F77D1"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0.1 </w:t>
            </w:r>
          </w:p>
        </w:tc>
        <w:tc>
          <w:tcPr>
            <w:tcW w:w="749" w:type="dxa"/>
            <w:tcBorders>
              <w:top w:val="nil"/>
              <w:left w:val="nil"/>
              <w:bottom w:val="single" w:sz="4" w:space="0" w:color="auto"/>
              <w:right w:val="single" w:sz="4" w:space="0" w:color="auto"/>
            </w:tcBorders>
            <w:shd w:val="clear" w:color="000000" w:fill="E2EFDA"/>
            <w:noWrap/>
            <w:vAlign w:val="bottom"/>
            <w:hideMark/>
          </w:tcPr>
          <w:p w14:paraId="4954536F"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(0.7)</w:t>
            </w:r>
          </w:p>
        </w:tc>
      </w:tr>
      <w:tr w:rsidR="00BA6CB1" w:rsidRPr="00BA6CB1" w14:paraId="08FA9D6D" w14:textId="77777777" w:rsidTr="00BA6CB1">
        <w:trPr>
          <w:trHeight w:val="290"/>
        </w:trPr>
        <w:tc>
          <w:tcPr>
            <w:tcW w:w="1440" w:type="dxa"/>
            <w:tcBorders>
              <w:top w:val="nil"/>
              <w:left w:val="single" w:sz="4" w:space="0" w:color="auto"/>
              <w:bottom w:val="nil"/>
              <w:right w:val="nil"/>
            </w:tcBorders>
            <w:shd w:val="clear" w:color="000000" w:fill="FFF2CC"/>
            <w:noWrap/>
            <w:vAlign w:val="bottom"/>
            <w:hideMark/>
          </w:tcPr>
          <w:p w14:paraId="163D38FA"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Commodities</w:t>
            </w:r>
          </w:p>
        </w:tc>
        <w:tc>
          <w:tcPr>
            <w:tcW w:w="1160" w:type="dxa"/>
            <w:tcBorders>
              <w:top w:val="nil"/>
              <w:left w:val="nil"/>
              <w:bottom w:val="nil"/>
              <w:right w:val="nil"/>
            </w:tcBorders>
            <w:shd w:val="clear" w:color="000000" w:fill="FFF2CC"/>
            <w:noWrap/>
            <w:vAlign w:val="bottom"/>
            <w:hideMark/>
          </w:tcPr>
          <w:p w14:paraId="45BF891D"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DBC</w:t>
            </w:r>
          </w:p>
        </w:tc>
        <w:tc>
          <w:tcPr>
            <w:tcW w:w="760" w:type="dxa"/>
            <w:tcBorders>
              <w:top w:val="nil"/>
              <w:left w:val="nil"/>
              <w:bottom w:val="nil"/>
              <w:right w:val="nil"/>
            </w:tcBorders>
            <w:shd w:val="clear" w:color="000000" w:fill="FFF2CC"/>
            <w:noWrap/>
            <w:vAlign w:val="bottom"/>
            <w:hideMark/>
          </w:tcPr>
          <w:p w14:paraId="5FFC0383"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8.3 </w:t>
            </w:r>
          </w:p>
        </w:tc>
        <w:tc>
          <w:tcPr>
            <w:tcW w:w="760" w:type="dxa"/>
            <w:tcBorders>
              <w:top w:val="nil"/>
              <w:left w:val="nil"/>
              <w:bottom w:val="nil"/>
              <w:right w:val="nil"/>
            </w:tcBorders>
            <w:shd w:val="clear" w:color="000000" w:fill="FFF2CC"/>
            <w:noWrap/>
            <w:vAlign w:val="bottom"/>
            <w:hideMark/>
          </w:tcPr>
          <w:p w14:paraId="621F9A98"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6.8 </w:t>
            </w:r>
          </w:p>
        </w:tc>
        <w:tc>
          <w:tcPr>
            <w:tcW w:w="760" w:type="dxa"/>
            <w:tcBorders>
              <w:top w:val="nil"/>
              <w:left w:val="nil"/>
              <w:bottom w:val="nil"/>
              <w:right w:val="single" w:sz="4" w:space="0" w:color="auto"/>
            </w:tcBorders>
            <w:shd w:val="clear" w:color="000000" w:fill="FFF2CC"/>
            <w:noWrap/>
            <w:vAlign w:val="bottom"/>
            <w:hideMark/>
          </w:tcPr>
          <w:p w14:paraId="717AA989"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3.9 </w:t>
            </w:r>
          </w:p>
        </w:tc>
        <w:tc>
          <w:tcPr>
            <w:tcW w:w="782" w:type="dxa"/>
            <w:tcBorders>
              <w:top w:val="nil"/>
              <w:left w:val="nil"/>
              <w:bottom w:val="nil"/>
              <w:right w:val="nil"/>
            </w:tcBorders>
            <w:shd w:val="clear" w:color="000000" w:fill="FFF2CC"/>
            <w:noWrap/>
            <w:vAlign w:val="bottom"/>
            <w:hideMark/>
          </w:tcPr>
          <w:p w14:paraId="09C6D154"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0.5 </w:t>
            </w:r>
          </w:p>
        </w:tc>
        <w:tc>
          <w:tcPr>
            <w:tcW w:w="749" w:type="dxa"/>
            <w:tcBorders>
              <w:top w:val="nil"/>
              <w:left w:val="nil"/>
              <w:bottom w:val="nil"/>
              <w:right w:val="nil"/>
            </w:tcBorders>
            <w:shd w:val="clear" w:color="000000" w:fill="FFF2CC"/>
            <w:noWrap/>
            <w:vAlign w:val="bottom"/>
            <w:hideMark/>
          </w:tcPr>
          <w:p w14:paraId="2B592E00"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0.4 </w:t>
            </w:r>
          </w:p>
        </w:tc>
        <w:tc>
          <w:tcPr>
            <w:tcW w:w="749" w:type="dxa"/>
            <w:tcBorders>
              <w:top w:val="nil"/>
              <w:left w:val="nil"/>
              <w:bottom w:val="nil"/>
              <w:right w:val="single" w:sz="4" w:space="0" w:color="auto"/>
            </w:tcBorders>
            <w:shd w:val="clear" w:color="000000" w:fill="FFF2CC"/>
            <w:noWrap/>
            <w:vAlign w:val="bottom"/>
            <w:hideMark/>
          </w:tcPr>
          <w:p w14:paraId="17468F78"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0.3 </w:t>
            </w:r>
          </w:p>
        </w:tc>
      </w:tr>
      <w:tr w:rsidR="00BA6CB1" w:rsidRPr="00BA6CB1" w14:paraId="2BBED2F4" w14:textId="77777777" w:rsidTr="00BA6CB1">
        <w:trPr>
          <w:trHeight w:val="300"/>
        </w:trPr>
        <w:tc>
          <w:tcPr>
            <w:tcW w:w="1440" w:type="dxa"/>
            <w:tcBorders>
              <w:top w:val="nil"/>
              <w:left w:val="single" w:sz="4" w:space="0" w:color="auto"/>
              <w:bottom w:val="nil"/>
              <w:right w:val="nil"/>
            </w:tcBorders>
            <w:shd w:val="clear" w:color="000000" w:fill="FFF2CC"/>
            <w:noWrap/>
            <w:vAlign w:val="bottom"/>
            <w:hideMark/>
          </w:tcPr>
          <w:p w14:paraId="1176263B"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Commodities</w:t>
            </w:r>
          </w:p>
        </w:tc>
        <w:tc>
          <w:tcPr>
            <w:tcW w:w="1160" w:type="dxa"/>
            <w:tcBorders>
              <w:top w:val="nil"/>
              <w:left w:val="nil"/>
              <w:bottom w:val="nil"/>
              <w:right w:val="nil"/>
            </w:tcBorders>
            <w:shd w:val="clear" w:color="000000" w:fill="FFF2CC"/>
            <w:noWrap/>
            <w:vAlign w:val="bottom"/>
            <w:hideMark/>
          </w:tcPr>
          <w:p w14:paraId="7CA571C8"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GSG</w:t>
            </w:r>
          </w:p>
        </w:tc>
        <w:tc>
          <w:tcPr>
            <w:tcW w:w="760" w:type="dxa"/>
            <w:tcBorders>
              <w:top w:val="nil"/>
              <w:left w:val="nil"/>
              <w:bottom w:val="nil"/>
              <w:right w:val="nil"/>
            </w:tcBorders>
            <w:shd w:val="clear" w:color="000000" w:fill="FFF2CC"/>
            <w:noWrap/>
            <w:vAlign w:val="bottom"/>
            <w:hideMark/>
          </w:tcPr>
          <w:p w14:paraId="720B0961"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5.3 </w:t>
            </w:r>
          </w:p>
        </w:tc>
        <w:tc>
          <w:tcPr>
            <w:tcW w:w="760" w:type="dxa"/>
            <w:tcBorders>
              <w:top w:val="nil"/>
              <w:left w:val="nil"/>
              <w:bottom w:val="nil"/>
              <w:right w:val="nil"/>
            </w:tcBorders>
            <w:shd w:val="clear" w:color="000000" w:fill="FFF2CC"/>
            <w:noWrap/>
            <w:vAlign w:val="bottom"/>
            <w:hideMark/>
          </w:tcPr>
          <w:p w14:paraId="2C73B4AB"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6.4 </w:t>
            </w:r>
          </w:p>
        </w:tc>
        <w:tc>
          <w:tcPr>
            <w:tcW w:w="760" w:type="dxa"/>
            <w:tcBorders>
              <w:top w:val="nil"/>
              <w:left w:val="nil"/>
              <w:bottom w:val="nil"/>
              <w:right w:val="single" w:sz="4" w:space="0" w:color="auto"/>
            </w:tcBorders>
            <w:shd w:val="clear" w:color="000000" w:fill="FFF2CC"/>
            <w:noWrap/>
            <w:vAlign w:val="bottom"/>
            <w:hideMark/>
          </w:tcPr>
          <w:p w14:paraId="6DE6C348"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4.0 </w:t>
            </w:r>
          </w:p>
        </w:tc>
        <w:tc>
          <w:tcPr>
            <w:tcW w:w="782" w:type="dxa"/>
            <w:tcBorders>
              <w:top w:val="nil"/>
              <w:left w:val="nil"/>
              <w:bottom w:val="nil"/>
              <w:right w:val="nil"/>
            </w:tcBorders>
            <w:shd w:val="clear" w:color="000000" w:fill="FFF2CC"/>
            <w:noWrap/>
            <w:vAlign w:val="bottom"/>
            <w:hideMark/>
          </w:tcPr>
          <w:p w14:paraId="48DEA614"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0.2 </w:t>
            </w:r>
          </w:p>
        </w:tc>
        <w:tc>
          <w:tcPr>
            <w:tcW w:w="749" w:type="dxa"/>
            <w:tcBorders>
              <w:top w:val="nil"/>
              <w:left w:val="nil"/>
              <w:bottom w:val="nil"/>
              <w:right w:val="nil"/>
            </w:tcBorders>
            <w:shd w:val="clear" w:color="000000" w:fill="FFF2CC"/>
            <w:noWrap/>
            <w:vAlign w:val="bottom"/>
            <w:hideMark/>
          </w:tcPr>
          <w:p w14:paraId="20963019"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0.3 </w:t>
            </w:r>
          </w:p>
        </w:tc>
        <w:tc>
          <w:tcPr>
            <w:tcW w:w="749" w:type="dxa"/>
            <w:tcBorders>
              <w:top w:val="nil"/>
              <w:left w:val="nil"/>
              <w:bottom w:val="nil"/>
              <w:right w:val="single" w:sz="4" w:space="0" w:color="auto"/>
            </w:tcBorders>
            <w:shd w:val="clear" w:color="000000" w:fill="FFF2CC"/>
            <w:noWrap/>
            <w:vAlign w:val="bottom"/>
            <w:hideMark/>
          </w:tcPr>
          <w:p w14:paraId="3CBFF8F6"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0.3 </w:t>
            </w:r>
          </w:p>
        </w:tc>
      </w:tr>
      <w:tr w:rsidR="00BA6CB1" w:rsidRPr="00BA6CB1" w14:paraId="608C5337" w14:textId="77777777" w:rsidTr="00BA6CB1">
        <w:trPr>
          <w:trHeight w:val="290"/>
        </w:trPr>
        <w:tc>
          <w:tcPr>
            <w:tcW w:w="1440" w:type="dxa"/>
            <w:tcBorders>
              <w:top w:val="dashed" w:sz="8" w:space="0" w:color="808080"/>
              <w:left w:val="single" w:sz="4" w:space="0" w:color="auto"/>
              <w:bottom w:val="nil"/>
              <w:right w:val="nil"/>
            </w:tcBorders>
            <w:shd w:val="clear" w:color="000000" w:fill="FFF2CC"/>
            <w:noWrap/>
            <w:vAlign w:val="bottom"/>
            <w:hideMark/>
          </w:tcPr>
          <w:p w14:paraId="52AFAF75"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Commodities</w:t>
            </w:r>
          </w:p>
        </w:tc>
        <w:tc>
          <w:tcPr>
            <w:tcW w:w="1160" w:type="dxa"/>
            <w:tcBorders>
              <w:top w:val="dashed" w:sz="8" w:space="0" w:color="808080"/>
              <w:left w:val="nil"/>
              <w:bottom w:val="nil"/>
              <w:right w:val="nil"/>
            </w:tcBorders>
            <w:shd w:val="clear" w:color="000000" w:fill="FFF2CC"/>
            <w:noWrap/>
            <w:vAlign w:val="bottom"/>
            <w:hideMark/>
          </w:tcPr>
          <w:p w14:paraId="38EB0D05"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UNG</w:t>
            </w:r>
          </w:p>
        </w:tc>
        <w:tc>
          <w:tcPr>
            <w:tcW w:w="760" w:type="dxa"/>
            <w:tcBorders>
              <w:top w:val="dashed" w:sz="8" w:space="0" w:color="808080"/>
              <w:left w:val="nil"/>
              <w:bottom w:val="nil"/>
              <w:right w:val="nil"/>
            </w:tcBorders>
            <w:shd w:val="clear" w:color="000000" w:fill="FFF2CC"/>
            <w:noWrap/>
            <w:vAlign w:val="bottom"/>
            <w:hideMark/>
          </w:tcPr>
          <w:p w14:paraId="2C5F59C6"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(14.9)</w:t>
            </w:r>
          </w:p>
        </w:tc>
        <w:tc>
          <w:tcPr>
            <w:tcW w:w="760" w:type="dxa"/>
            <w:tcBorders>
              <w:top w:val="dashed" w:sz="8" w:space="0" w:color="808080"/>
              <w:left w:val="nil"/>
              <w:bottom w:val="nil"/>
              <w:right w:val="nil"/>
            </w:tcBorders>
            <w:shd w:val="clear" w:color="000000" w:fill="FFF2CC"/>
            <w:noWrap/>
            <w:vAlign w:val="bottom"/>
            <w:hideMark/>
          </w:tcPr>
          <w:p w14:paraId="6103DC6A"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(11.0)</w:t>
            </w:r>
          </w:p>
        </w:tc>
        <w:tc>
          <w:tcPr>
            <w:tcW w:w="760" w:type="dxa"/>
            <w:tcBorders>
              <w:top w:val="dashed" w:sz="8" w:space="0" w:color="808080"/>
              <w:left w:val="nil"/>
              <w:bottom w:val="nil"/>
              <w:right w:val="single" w:sz="4" w:space="0" w:color="auto"/>
            </w:tcBorders>
            <w:shd w:val="clear" w:color="000000" w:fill="FFF2CC"/>
            <w:noWrap/>
            <w:vAlign w:val="bottom"/>
            <w:hideMark/>
          </w:tcPr>
          <w:p w14:paraId="6C2BC664"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(20.2)</w:t>
            </w:r>
          </w:p>
        </w:tc>
        <w:tc>
          <w:tcPr>
            <w:tcW w:w="782" w:type="dxa"/>
            <w:tcBorders>
              <w:top w:val="dashed" w:sz="8" w:space="0" w:color="808080"/>
              <w:left w:val="nil"/>
              <w:bottom w:val="nil"/>
              <w:right w:val="nil"/>
            </w:tcBorders>
            <w:shd w:val="clear" w:color="000000" w:fill="FFF2CC"/>
            <w:noWrap/>
            <w:vAlign w:val="bottom"/>
            <w:hideMark/>
          </w:tcPr>
          <w:p w14:paraId="6666DC24"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(0.3)</w:t>
            </w:r>
          </w:p>
        </w:tc>
        <w:tc>
          <w:tcPr>
            <w:tcW w:w="749" w:type="dxa"/>
            <w:tcBorders>
              <w:top w:val="dashed" w:sz="8" w:space="0" w:color="808080"/>
              <w:left w:val="nil"/>
              <w:bottom w:val="nil"/>
              <w:right w:val="nil"/>
            </w:tcBorders>
            <w:shd w:val="clear" w:color="000000" w:fill="FFF2CC"/>
            <w:noWrap/>
            <w:vAlign w:val="bottom"/>
            <w:hideMark/>
          </w:tcPr>
          <w:p w14:paraId="13184DFD"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(0.2)</w:t>
            </w:r>
          </w:p>
        </w:tc>
        <w:tc>
          <w:tcPr>
            <w:tcW w:w="749" w:type="dxa"/>
            <w:tcBorders>
              <w:top w:val="dashed" w:sz="8" w:space="0" w:color="808080"/>
              <w:left w:val="nil"/>
              <w:bottom w:val="nil"/>
              <w:right w:val="single" w:sz="4" w:space="0" w:color="auto"/>
            </w:tcBorders>
            <w:shd w:val="clear" w:color="000000" w:fill="FFF2CC"/>
            <w:noWrap/>
            <w:vAlign w:val="bottom"/>
            <w:hideMark/>
          </w:tcPr>
          <w:p w14:paraId="26748E85"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(0.6)</w:t>
            </w:r>
          </w:p>
        </w:tc>
      </w:tr>
      <w:tr w:rsidR="00BA6CB1" w:rsidRPr="00BA6CB1" w14:paraId="1B928CF3" w14:textId="77777777" w:rsidTr="00BA6CB1">
        <w:trPr>
          <w:trHeight w:val="290"/>
        </w:trPr>
        <w:tc>
          <w:tcPr>
            <w:tcW w:w="1440" w:type="dxa"/>
            <w:tcBorders>
              <w:top w:val="nil"/>
              <w:left w:val="single" w:sz="4" w:space="0" w:color="auto"/>
              <w:bottom w:val="single" w:sz="4" w:space="0" w:color="auto"/>
              <w:right w:val="nil"/>
            </w:tcBorders>
            <w:shd w:val="clear" w:color="000000" w:fill="FFF2CC"/>
            <w:noWrap/>
            <w:vAlign w:val="bottom"/>
            <w:hideMark/>
          </w:tcPr>
          <w:p w14:paraId="02614917"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Commodities</w:t>
            </w:r>
          </w:p>
        </w:tc>
        <w:tc>
          <w:tcPr>
            <w:tcW w:w="1160" w:type="dxa"/>
            <w:tcBorders>
              <w:top w:val="nil"/>
              <w:left w:val="nil"/>
              <w:bottom w:val="single" w:sz="4" w:space="0" w:color="auto"/>
              <w:right w:val="nil"/>
            </w:tcBorders>
            <w:shd w:val="clear" w:color="000000" w:fill="FFF2CC"/>
            <w:noWrap/>
            <w:vAlign w:val="bottom"/>
            <w:hideMark/>
          </w:tcPr>
          <w:p w14:paraId="693D9E3E" w14:textId="77777777" w:rsidR="00BA6CB1" w:rsidRPr="00BA6CB1" w:rsidRDefault="00BA6CB1" w:rsidP="00BA6CB1">
            <w:pPr>
              <w:spacing w:after="0" w:line="240" w:lineRule="auto"/>
              <w:rPr>
                <w:rFonts w:ascii="Calibri" w:eastAsia="Times New Roman" w:hAnsi="Calibri" w:cs="Calibri"/>
                <w:b/>
                <w:bCs/>
                <w:color w:val="000000"/>
                <w:kern w:val="0"/>
                <w14:ligatures w14:val="none"/>
              </w:rPr>
            </w:pPr>
            <w:r w:rsidRPr="00BA6CB1">
              <w:rPr>
                <w:rFonts w:ascii="Calibri" w:eastAsia="Times New Roman" w:hAnsi="Calibri" w:cs="Calibri"/>
                <w:b/>
                <w:bCs/>
                <w:color w:val="000000"/>
                <w:kern w:val="0"/>
                <w14:ligatures w14:val="none"/>
              </w:rPr>
              <w:t>XOP</w:t>
            </w:r>
          </w:p>
        </w:tc>
        <w:tc>
          <w:tcPr>
            <w:tcW w:w="760" w:type="dxa"/>
            <w:tcBorders>
              <w:top w:val="nil"/>
              <w:left w:val="nil"/>
              <w:bottom w:val="single" w:sz="4" w:space="0" w:color="auto"/>
              <w:right w:val="nil"/>
            </w:tcBorders>
            <w:shd w:val="clear" w:color="000000" w:fill="FFF2CC"/>
            <w:noWrap/>
            <w:vAlign w:val="bottom"/>
            <w:hideMark/>
          </w:tcPr>
          <w:p w14:paraId="7BEC94C7"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0.2 </w:t>
            </w:r>
          </w:p>
        </w:tc>
        <w:tc>
          <w:tcPr>
            <w:tcW w:w="760" w:type="dxa"/>
            <w:tcBorders>
              <w:top w:val="nil"/>
              <w:left w:val="nil"/>
              <w:bottom w:val="single" w:sz="4" w:space="0" w:color="auto"/>
              <w:right w:val="nil"/>
            </w:tcBorders>
            <w:shd w:val="clear" w:color="000000" w:fill="FFF2CC"/>
            <w:noWrap/>
            <w:vAlign w:val="bottom"/>
            <w:hideMark/>
          </w:tcPr>
          <w:p w14:paraId="3E14887C"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1.1 </w:t>
            </w:r>
          </w:p>
        </w:tc>
        <w:tc>
          <w:tcPr>
            <w:tcW w:w="760" w:type="dxa"/>
            <w:tcBorders>
              <w:top w:val="nil"/>
              <w:left w:val="nil"/>
              <w:bottom w:val="single" w:sz="4" w:space="0" w:color="auto"/>
              <w:right w:val="single" w:sz="4" w:space="0" w:color="auto"/>
            </w:tcBorders>
            <w:shd w:val="clear" w:color="000000" w:fill="FFF2CC"/>
            <w:noWrap/>
            <w:vAlign w:val="bottom"/>
            <w:hideMark/>
          </w:tcPr>
          <w:p w14:paraId="34C4CFFE"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(19.5)</w:t>
            </w:r>
          </w:p>
        </w:tc>
        <w:tc>
          <w:tcPr>
            <w:tcW w:w="782" w:type="dxa"/>
            <w:tcBorders>
              <w:top w:val="nil"/>
              <w:left w:val="nil"/>
              <w:bottom w:val="single" w:sz="4" w:space="0" w:color="auto"/>
              <w:right w:val="nil"/>
            </w:tcBorders>
            <w:shd w:val="clear" w:color="000000" w:fill="FFF2CC"/>
            <w:noWrap/>
            <w:vAlign w:val="bottom"/>
            <w:hideMark/>
          </w:tcPr>
          <w:p w14:paraId="7D6C2008"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0.0 </w:t>
            </w:r>
          </w:p>
        </w:tc>
        <w:tc>
          <w:tcPr>
            <w:tcW w:w="749" w:type="dxa"/>
            <w:tcBorders>
              <w:top w:val="nil"/>
              <w:left w:val="nil"/>
              <w:bottom w:val="single" w:sz="4" w:space="0" w:color="auto"/>
              <w:right w:val="nil"/>
            </w:tcBorders>
            <w:shd w:val="clear" w:color="000000" w:fill="FFF2CC"/>
            <w:noWrap/>
            <w:vAlign w:val="bottom"/>
            <w:hideMark/>
          </w:tcPr>
          <w:p w14:paraId="3815CE2A"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000000"/>
                <w:kern w:val="0"/>
                <w14:ligatures w14:val="none"/>
              </w:rPr>
              <w:t xml:space="preserve">0.0 </w:t>
            </w:r>
          </w:p>
        </w:tc>
        <w:tc>
          <w:tcPr>
            <w:tcW w:w="749" w:type="dxa"/>
            <w:tcBorders>
              <w:top w:val="nil"/>
              <w:left w:val="nil"/>
              <w:bottom w:val="single" w:sz="4" w:space="0" w:color="auto"/>
              <w:right w:val="single" w:sz="4" w:space="0" w:color="auto"/>
            </w:tcBorders>
            <w:shd w:val="clear" w:color="000000" w:fill="FFF2CC"/>
            <w:noWrap/>
            <w:vAlign w:val="bottom"/>
            <w:hideMark/>
          </w:tcPr>
          <w:p w14:paraId="3792F374" w14:textId="77777777" w:rsidR="00BA6CB1" w:rsidRPr="00BA6CB1" w:rsidRDefault="00BA6CB1" w:rsidP="00BA6CB1">
            <w:pPr>
              <w:spacing w:after="0" w:line="240" w:lineRule="auto"/>
              <w:jc w:val="center"/>
              <w:rPr>
                <w:rFonts w:ascii="Calibri" w:eastAsia="Times New Roman" w:hAnsi="Calibri" w:cs="Calibri"/>
                <w:color w:val="000000"/>
                <w:kern w:val="0"/>
                <w14:ligatures w14:val="none"/>
              </w:rPr>
            </w:pPr>
            <w:r w:rsidRPr="00BA6CB1">
              <w:rPr>
                <w:rFonts w:ascii="Calibri" w:eastAsia="Times New Roman" w:hAnsi="Calibri" w:cs="Calibri"/>
                <w:color w:val="FF0000"/>
                <w:kern w:val="0"/>
                <w14:ligatures w14:val="none"/>
              </w:rPr>
              <w:t>(0.9)</w:t>
            </w:r>
          </w:p>
        </w:tc>
      </w:tr>
    </w:tbl>
    <w:p w14:paraId="08BE19F7" w14:textId="77777777" w:rsidR="00090682" w:rsidRPr="00090682" w:rsidRDefault="00090682" w:rsidP="00090682"/>
    <w:sectPr w:rsidR="00090682" w:rsidRPr="00090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A251C"/>
    <w:multiLevelType w:val="hybridMultilevel"/>
    <w:tmpl w:val="16E0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20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3B"/>
    <w:rsid w:val="00002969"/>
    <w:rsid w:val="000031D3"/>
    <w:rsid w:val="00006069"/>
    <w:rsid w:val="000127A5"/>
    <w:rsid w:val="000132B1"/>
    <w:rsid w:val="0001584D"/>
    <w:rsid w:val="00017D59"/>
    <w:rsid w:val="0002369D"/>
    <w:rsid w:val="00031C96"/>
    <w:rsid w:val="00032F26"/>
    <w:rsid w:val="00033FA6"/>
    <w:rsid w:val="00035B1E"/>
    <w:rsid w:val="00037D40"/>
    <w:rsid w:val="000401E2"/>
    <w:rsid w:val="000402F5"/>
    <w:rsid w:val="00044D25"/>
    <w:rsid w:val="00047C56"/>
    <w:rsid w:val="00051354"/>
    <w:rsid w:val="00053F28"/>
    <w:rsid w:val="00055E23"/>
    <w:rsid w:val="00056C65"/>
    <w:rsid w:val="00056FD8"/>
    <w:rsid w:val="00060026"/>
    <w:rsid w:val="00064083"/>
    <w:rsid w:val="00065B9B"/>
    <w:rsid w:val="00066AB5"/>
    <w:rsid w:val="00071D51"/>
    <w:rsid w:val="00074FEA"/>
    <w:rsid w:val="0007711D"/>
    <w:rsid w:val="00081E74"/>
    <w:rsid w:val="0008320F"/>
    <w:rsid w:val="000840C2"/>
    <w:rsid w:val="00084E70"/>
    <w:rsid w:val="00086B26"/>
    <w:rsid w:val="000878F1"/>
    <w:rsid w:val="00090682"/>
    <w:rsid w:val="00090C60"/>
    <w:rsid w:val="00095946"/>
    <w:rsid w:val="000A116B"/>
    <w:rsid w:val="000A2CE9"/>
    <w:rsid w:val="000A4FCA"/>
    <w:rsid w:val="000A58ED"/>
    <w:rsid w:val="000A7DCA"/>
    <w:rsid w:val="000B115D"/>
    <w:rsid w:val="000C0591"/>
    <w:rsid w:val="000C1A34"/>
    <w:rsid w:val="000C1F7E"/>
    <w:rsid w:val="000C236C"/>
    <w:rsid w:val="000C3A1F"/>
    <w:rsid w:val="000C3BB1"/>
    <w:rsid w:val="000C774F"/>
    <w:rsid w:val="000C7853"/>
    <w:rsid w:val="000D668B"/>
    <w:rsid w:val="000E0920"/>
    <w:rsid w:val="000E0DAC"/>
    <w:rsid w:val="000E113E"/>
    <w:rsid w:val="000E6C5F"/>
    <w:rsid w:val="000E7E10"/>
    <w:rsid w:val="000F12D6"/>
    <w:rsid w:val="000F3B40"/>
    <w:rsid w:val="000F47D1"/>
    <w:rsid w:val="000F5F11"/>
    <w:rsid w:val="000F626F"/>
    <w:rsid w:val="00101A06"/>
    <w:rsid w:val="00104D4B"/>
    <w:rsid w:val="00104DF7"/>
    <w:rsid w:val="001063C6"/>
    <w:rsid w:val="00114504"/>
    <w:rsid w:val="00117DAE"/>
    <w:rsid w:val="00120066"/>
    <w:rsid w:val="00122F1C"/>
    <w:rsid w:val="00127511"/>
    <w:rsid w:val="001279D3"/>
    <w:rsid w:val="00131C19"/>
    <w:rsid w:val="001339E5"/>
    <w:rsid w:val="00136340"/>
    <w:rsid w:val="0013650D"/>
    <w:rsid w:val="0013790C"/>
    <w:rsid w:val="001443AF"/>
    <w:rsid w:val="0014528D"/>
    <w:rsid w:val="00146459"/>
    <w:rsid w:val="00152BD1"/>
    <w:rsid w:val="001537EB"/>
    <w:rsid w:val="00154C4F"/>
    <w:rsid w:val="00155A57"/>
    <w:rsid w:val="0015725D"/>
    <w:rsid w:val="00157C00"/>
    <w:rsid w:val="0016026C"/>
    <w:rsid w:val="0016622B"/>
    <w:rsid w:val="001664C6"/>
    <w:rsid w:val="0016746C"/>
    <w:rsid w:val="00170C03"/>
    <w:rsid w:val="00171FC5"/>
    <w:rsid w:val="00174389"/>
    <w:rsid w:val="001752B0"/>
    <w:rsid w:val="001820CA"/>
    <w:rsid w:val="00183831"/>
    <w:rsid w:val="00184936"/>
    <w:rsid w:val="001862CC"/>
    <w:rsid w:val="00190F4F"/>
    <w:rsid w:val="00193660"/>
    <w:rsid w:val="00194DB9"/>
    <w:rsid w:val="0019588A"/>
    <w:rsid w:val="001961C8"/>
    <w:rsid w:val="00196F1A"/>
    <w:rsid w:val="001A054E"/>
    <w:rsid w:val="001A07CE"/>
    <w:rsid w:val="001A0CC1"/>
    <w:rsid w:val="001A15B5"/>
    <w:rsid w:val="001A2F69"/>
    <w:rsid w:val="001A54D8"/>
    <w:rsid w:val="001A680A"/>
    <w:rsid w:val="001A7CAF"/>
    <w:rsid w:val="001B32A9"/>
    <w:rsid w:val="001B56D5"/>
    <w:rsid w:val="001C0A91"/>
    <w:rsid w:val="001C3413"/>
    <w:rsid w:val="001C3549"/>
    <w:rsid w:val="001C5ED3"/>
    <w:rsid w:val="001C6430"/>
    <w:rsid w:val="001C6D58"/>
    <w:rsid w:val="001C7D76"/>
    <w:rsid w:val="001D0D07"/>
    <w:rsid w:val="001D30F4"/>
    <w:rsid w:val="001D5411"/>
    <w:rsid w:val="001D679D"/>
    <w:rsid w:val="001D7F67"/>
    <w:rsid w:val="001E057A"/>
    <w:rsid w:val="001E4BBE"/>
    <w:rsid w:val="001E61E3"/>
    <w:rsid w:val="001F04C7"/>
    <w:rsid w:val="001F1A5F"/>
    <w:rsid w:val="001F364E"/>
    <w:rsid w:val="001F3F28"/>
    <w:rsid w:val="001F5BDF"/>
    <w:rsid w:val="002029BF"/>
    <w:rsid w:val="002076A1"/>
    <w:rsid w:val="00207821"/>
    <w:rsid w:val="002127A8"/>
    <w:rsid w:val="00212F6B"/>
    <w:rsid w:val="00213C61"/>
    <w:rsid w:val="002160C4"/>
    <w:rsid w:val="0022027A"/>
    <w:rsid w:val="002230D7"/>
    <w:rsid w:val="0022712F"/>
    <w:rsid w:val="00227C2C"/>
    <w:rsid w:val="00230C73"/>
    <w:rsid w:val="002331A2"/>
    <w:rsid w:val="0023612E"/>
    <w:rsid w:val="00240935"/>
    <w:rsid w:val="00242445"/>
    <w:rsid w:val="002442D1"/>
    <w:rsid w:val="00252749"/>
    <w:rsid w:val="00254568"/>
    <w:rsid w:val="002553F3"/>
    <w:rsid w:val="00257BA5"/>
    <w:rsid w:val="002609FB"/>
    <w:rsid w:val="0026257C"/>
    <w:rsid w:val="00264A88"/>
    <w:rsid w:val="00265AC6"/>
    <w:rsid w:val="00265F08"/>
    <w:rsid w:val="002673ED"/>
    <w:rsid w:val="00267A60"/>
    <w:rsid w:val="00267B25"/>
    <w:rsid w:val="00267F7B"/>
    <w:rsid w:val="00270F91"/>
    <w:rsid w:val="002721C1"/>
    <w:rsid w:val="00272CAF"/>
    <w:rsid w:val="0027377D"/>
    <w:rsid w:val="002763CD"/>
    <w:rsid w:val="00280327"/>
    <w:rsid w:val="0028115B"/>
    <w:rsid w:val="00283CC4"/>
    <w:rsid w:val="00283E9D"/>
    <w:rsid w:val="0028652C"/>
    <w:rsid w:val="00286E35"/>
    <w:rsid w:val="00290BFE"/>
    <w:rsid w:val="002956FB"/>
    <w:rsid w:val="00297610"/>
    <w:rsid w:val="0029763E"/>
    <w:rsid w:val="002A07C7"/>
    <w:rsid w:val="002A613B"/>
    <w:rsid w:val="002A6E4E"/>
    <w:rsid w:val="002A7121"/>
    <w:rsid w:val="002A7646"/>
    <w:rsid w:val="002B43BA"/>
    <w:rsid w:val="002C0194"/>
    <w:rsid w:val="002C15F6"/>
    <w:rsid w:val="002C3259"/>
    <w:rsid w:val="002D06D7"/>
    <w:rsid w:val="002D3B8F"/>
    <w:rsid w:val="002D4B10"/>
    <w:rsid w:val="002D51C4"/>
    <w:rsid w:val="002D61E9"/>
    <w:rsid w:val="002E3792"/>
    <w:rsid w:val="002E78C1"/>
    <w:rsid w:val="002F59DC"/>
    <w:rsid w:val="0030395B"/>
    <w:rsid w:val="003043FB"/>
    <w:rsid w:val="003105D7"/>
    <w:rsid w:val="00314BE3"/>
    <w:rsid w:val="003152E7"/>
    <w:rsid w:val="003163D6"/>
    <w:rsid w:val="00320DC5"/>
    <w:rsid w:val="00323AAC"/>
    <w:rsid w:val="0032503F"/>
    <w:rsid w:val="003252C7"/>
    <w:rsid w:val="003256F4"/>
    <w:rsid w:val="00325ADA"/>
    <w:rsid w:val="003272C5"/>
    <w:rsid w:val="0033151E"/>
    <w:rsid w:val="00331DC0"/>
    <w:rsid w:val="00335032"/>
    <w:rsid w:val="00335931"/>
    <w:rsid w:val="003374A3"/>
    <w:rsid w:val="00340E4B"/>
    <w:rsid w:val="00342C59"/>
    <w:rsid w:val="00343199"/>
    <w:rsid w:val="00346708"/>
    <w:rsid w:val="00351694"/>
    <w:rsid w:val="00353DCA"/>
    <w:rsid w:val="00357F98"/>
    <w:rsid w:val="003643B4"/>
    <w:rsid w:val="003644C2"/>
    <w:rsid w:val="00367073"/>
    <w:rsid w:val="003736C2"/>
    <w:rsid w:val="0037380F"/>
    <w:rsid w:val="00373A28"/>
    <w:rsid w:val="00373FBE"/>
    <w:rsid w:val="00374DF2"/>
    <w:rsid w:val="003802E6"/>
    <w:rsid w:val="00383BF8"/>
    <w:rsid w:val="00387E86"/>
    <w:rsid w:val="0039187F"/>
    <w:rsid w:val="00391B7F"/>
    <w:rsid w:val="003935A6"/>
    <w:rsid w:val="00394154"/>
    <w:rsid w:val="003953CC"/>
    <w:rsid w:val="00397259"/>
    <w:rsid w:val="00397749"/>
    <w:rsid w:val="0039785E"/>
    <w:rsid w:val="003A2D0E"/>
    <w:rsid w:val="003B0B2D"/>
    <w:rsid w:val="003B0E91"/>
    <w:rsid w:val="003B3072"/>
    <w:rsid w:val="003B4647"/>
    <w:rsid w:val="003B5FC1"/>
    <w:rsid w:val="003B61FD"/>
    <w:rsid w:val="003B6AFD"/>
    <w:rsid w:val="003C01FA"/>
    <w:rsid w:val="003C04C0"/>
    <w:rsid w:val="003C0566"/>
    <w:rsid w:val="003C108B"/>
    <w:rsid w:val="003C51AE"/>
    <w:rsid w:val="003D28DF"/>
    <w:rsid w:val="003D31ED"/>
    <w:rsid w:val="003D3A4D"/>
    <w:rsid w:val="003D6285"/>
    <w:rsid w:val="003D75F9"/>
    <w:rsid w:val="003E5244"/>
    <w:rsid w:val="003F2703"/>
    <w:rsid w:val="003F31A6"/>
    <w:rsid w:val="003F3486"/>
    <w:rsid w:val="003F6B41"/>
    <w:rsid w:val="004008F7"/>
    <w:rsid w:val="00400A6B"/>
    <w:rsid w:val="0040226D"/>
    <w:rsid w:val="004022CB"/>
    <w:rsid w:val="00402E2C"/>
    <w:rsid w:val="00407323"/>
    <w:rsid w:val="00412028"/>
    <w:rsid w:val="00420F87"/>
    <w:rsid w:val="00421AEF"/>
    <w:rsid w:val="004224D4"/>
    <w:rsid w:val="004224FE"/>
    <w:rsid w:val="00423B04"/>
    <w:rsid w:val="004260D3"/>
    <w:rsid w:val="00430530"/>
    <w:rsid w:val="0043654C"/>
    <w:rsid w:val="00440777"/>
    <w:rsid w:val="00443273"/>
    <w:rsid w:val="0044403D"/>
    <w:rsid w:val="0044708C"/>
    <w:rsid w:val="00447C4B"/>
    <w:rsid w:val="00450739"/>
    <w:rsid w:val="004510C9"/>
    <w:rsid w:val="00453FEF"/>
    <w:rsid w:val="004559C5"/>
    <w:rsid w:val="00466A79"/>
    <w:rsid w:val="00471F1F"/>
    <w:rsid w:val="0047333A"/>
    <w:rsid w:val="00473EAE"/>
    <w:rsid w:val="004802B6"/>
    <w:rsid w:val="00483526"/>
    <w:rsid w:val="004835EA"/>
    <w:rsid w:val="00484A48"/>
    <w:rsid w:val="00485265"/>
    <w:rsid w:val="00485FCA"/>
    <w:rsid w:val="0048624C"/>
    <w:rsid w:val="00487759"/>
    <w:rsid w:val="00493814"/>
    <w:rsid w:val="00493E17"/>
    <w:rsid w:val="00496C75"/>
    <w:rsid w:val="00497918"/>
    <w:rsid w:val="004A306E"/>
    <w:rsid w:val="004A312D"/>
    <w:rsid w:val="004A324E"/>
    <w:rsid w:val="004B36C2"/>
    <w:rsid w:val="004B42C1"/>
    <w:rsid w:val="004B4CD5"/>
    <w:rsid w:val="004C0952"/>
    <w:rsid w:val="004C271C"/>
    <w:rsid w:val="004C43A8"/>
    <w:rsid w:val="004D4783"/>
    <w:rsid w:val="004D591F"/>
    <w:rsid w:val="004D76BC"/>
    <w:rsid w:val="004E1206"/>
    <w:rsid w:val="004E1460"/>
    <w:rsid w:val="004E599C"/>
    <w:rsid w:val="004F1D5D"/>
    <w:rsid w:val="004F20EA"/>
    <w:rsid w:val="004F48C5"/>
    <w:rsid w:val="004F75C8"/>
    <w:rsid w:val="004F7899"/>
    <w:rsid w:val="0050046B"/>
    <w:rsid w:val="005135B4"/>
    <w:rsid w:val="00515CE5"/>
    <w:rsid w:val="00517646"/>
    <w:rsid w:val="00520CD4"/>
    <w:rsid w:val="005222D8"/>
    <w:rsid w:val="00522C9B"/>
    <w:rsid w:val="00524CB4"/>
    <w:rsid w:val="00524E36"/>
    <w:rsid w:val="005251F1"/>
    <w:rsid w:val="00525CC7"/>
    <w:rsid w:val="00527933"/>
    <w:rsid w:val="00530147"/>
    <w:rsid w:val="00533BAA"/>
    <w:rsid w:val="00535518"/>
    <w:rsid w:val="00535F67"/>
    <w:rsid w:val="0053667B"/>
    <w:rsid w:val="00537C9A"/>
    <w:rsid w:val="005410FC"/>
    <w:rsid w:val="005413A6"/>
    <w:rsid w:val="005437AD"/>
    <w:rsid w:val="005453D7"/>
    <w:rsid w:val="00553D84"/>
    <w:rsid w:val="005554FB"/>
    <w:rsid w:val="005567C0"/>
    <w:rsid w:val="00563153"/>
    <w:rsid w:val="005646CF"/>
    <w:rsid w:val="0056724C"/>
    <w:rsid w:val="00570837"/>
    <w:rsid w:val="00570C42"/>
    <w:rsid w:val="00571D4C"/>
    <w:rsid w:val="0057359B"/>
    <w:rsid w:val="00573FCA"/>
    <w:rsid w:val="005748F1"/>
    <w:rsid w:val="005764DF"/>
    <w:rsid w:val="00580DAD"/>
    <w:rsid w:val="00581DD5"/>
    <w:rsid w:val="005835FF"/>
    <w:rsid w:val="00586116"/>
    <w:rsid w:val="0058636D"/>
    <w:rsid w:val="0059127F"/>
    <w:rsid w:val="00594BCF"/>
    <w:rsid w:val="00594BD7"/>
    <w:rsid w:val="0059700A"/>
    <w:rsid w:val="005A0C7A"/>
    <w:rsid w:val="005A0E86"/>
    <w:rsid w:val="005A1C02"/>
    <w:rsid w:val="005A2379"/>
    <w:rsid w:val="005A5D9F"/>
    <w:rsid w:val="005B1624"/>
    <w:rsid w:val="005B687C"/>
    <w:rsid w:val="005B7D55"/>
    <w:rsid w:val="005C0321"/>
    <w:rsid w:val="005C0CE2"/>
    <w:rsid w:val="005C27B6"/>
    <w:rsid w:val="005C3BB4"/>
    <w:rsid w:val="005C424E"/>
    <w:rsid w:val="005C6AE9"/>
    <w:rsid w:val="005D0412"/>
    <w:rsid w:val="005D4B96"/>
    <w:rsid w:val="005D750E"/>
    <w:rsid w:val="005D784F"/>
    <w:rsid w:val="005E2F4D"/>
    <w:rsid w:val="005E4570"/>
    <w:rsid w:val="005E6D8A"/>
    <w:rsid w:val="005F0C4B"/>
    <w:rsid w:val="005F11B3"/>
    <w:rsid w:val="005F19D9"/>
    <w:rsid w:val="005F5777"/>
    <w:rsid w:val="005F5C34"/>
    <w:rsid w:val="005F7981"/>
    <w:rsid w:val="00601D19"/>
    <w:rsid w:val="00602123"/>
    <w:rsid w:val="006024AB"/>
    <w:rsid w:val="006026EA"/>
    <w:rsid w:val="0060289E"/>
    <w:rsid w:val="00603602"/>
    <w:rsid w:val="0060577E"/>
    <w:rsid w:val="00612CA9"/>
    <w:rsid w:val="00612DB1"/>
    <w:rsid w:val="00615353"/>
    <w:rsid w:val="00615629"/>
    <w:rsid w:val="00620C2E"/>
    <w:rsid w:val="00624CF2"/>
    <w:rsid w:val="0062692B"/>
    <w:rsid w:val="00626D6E"/>
    <w:rsid w:val="00626F27"/>
    <w:rsid w:val="006271AF"/>
    <w:rsid w:val="006301CD"/>
    <w:rsid w:val="00631940"/>
    <w:rsid w:val="00632AC9"/>
    <w:rsid w:val="006340B2"/>
    <w:rsid w:val="00636AA3"/>
    <w:rsid w:val="00636F5E"/>
    <w:rsid w:val="00646663"/>
    <w:rsid w:val="00647081"/>
    <w:rsid w:val="00647B38"/>
    <w:rsid w:val="00647C85"/>
    <w:rsid w:val="0065071C"/>
    <w:rsid w:val="00650D0C"/>
    <w:rsid w:val="0065594D"/>
    <w:rsid w:val="006644CB"/>
    <w:rsid w:val="0067384F"/>
    <w:rsid w:val="0067591A"/>
    <w:rsid w:val="0067778B"/>
    <w:rsid w:val="00681944"/>
    <w:rsid w:val="0068446E"/>
    <w:rsid w:val="006849DA"/>
    <w:rsid w:val="0069132A"/>
    <w:rsid w:val="00691506"/>
    <w:rsid w:val="00692294"/>
    <w:rsid w:val="00692AE0"/>
    <w:rsid w:val="00692DEF"/>
    <w:rsid w:val="00695106"/>
    <w:rsid w:val="00695E0A"/>
    <w:rsid w:val="006A3A23"/>
    <w:rsid w:val="006A4B94"/>
    <w:rsid w:val="006A4C63"/>
    <w:rsid w:val="006A4D33"/>
    <w:rsid w:val="006A687E"/>
    <w:rsid w:val="006B0DEC"/>
    <w:rsid w:val="006B124C"/>
    <w:rsid w:val="006B1283"/>
    <w:rsid w:val="006B1E3D"/>
    <w:rsid w:val="006B21C4"/>
    <w:rsid w:val="006B28AB"/>
    <w:rsid w:val="006B33EA"/>
    <w:rsid w:val="006B43AB"/>
    <w:rsid w:val="006B549E"/>
    <w:rsid w:val="006B774B"/>
    <w:rsid w:val="006B7C3E"/>
    <w:rsid w:val="006C24C8"/>
    <w:rsid w:val="006C4032"/>
    <w:rsid w:val="006C5D0A"/>
    <w:rsid w:val="006C6A2C"/>
    <w:rsid w:val="006C70CF"/>
    <w:rsid w:val="006C7155"/>
    <w:rsid w:val="006D0EAB"/>
    <w:rsid w:val="006D2975"/>
    <w:rsid w:val="006D2DB4"/>
    <w:rsid w:val="006D37F1"/>
    <w:rsid w:val="006D3BA5"/>
    <w:rsid w:val="006D5808"/>
    <w:rsid w:val="006E0195"/>
    <w:rsid w:val="006E11F8"/>
    <w:rsid w:val="006E2F2C"/>
    <w:rsid w:val="006E3D49"/>
    <w:rsid w:val="006E4A86"/>
    <w:rsid w:val="006E51FE"/>
    <w:rsid w:val="006E53F2"/>
    <w:rsid w:val="006E6D4C"/>
    <w:rsid w:val="006F27AF"/>
    <w:rsid w:val="006F44BD"/>
    <w:rsid w:val="006F75DD"/>
    <w:rsid w:val="00701205"/>
    <w:rsid w:val="0070196B"/>
    <w:rsid w:val="00704771"/>
    <w:rsid w:val="00705171"/>
    <w:rsid w:val="0070563F"/>
    <w:rsid w:val="00710FC2"/>
    <w:rsid w:val="00721A3B"/>
    <w:rsid w:val="007259DD"/>
    <w:rsid w:val="0072609C"/>
    <w:rsid w:val="00726C09"/>
    <w:rsid w:val="00726E7F"/>
    <w:rsid w:val="00731BF2"/>
    <w:rsid w:val="007353DF"/>
    <w:rsid w:val="00747B2A"/>
    <w:rsid w:val="00747F67"/>
    <w:rsid w:val="00750DAB"/>
    <w:rsid w:val="00752D1F"/>
    <w:rsid w:val="007563C6"/>
    <w:rsid w:val="00763A3D"/>
    <w:rsid w:val="00763CF5"/>
    <w:rsid w:val="007663C1"/>
    <w:rsid w:val="00770117"/>
    <w:rsid w:val="00770AE1"/>
    <w:rsid w:val="00771CE9"/>
    <w:rsid w:val="0077355E"/>
    <w:rsid w:val="0077494D"/>
    <w:rsid w:val="0077592D"/>
    <w:rsid w:val="007764DC"/>
    <w:rsid w:val="00782F66"/>
    <w:rsid w:val="007830C1"/>
    <w:rsid w:val="00783AC4"/>
    <w:rsid w:val="00783F73"/>
    <w:rsid w:val="0078725B"/>
    <w:rsid w:val="007874F0"/>
    <w:rsid w:val="00791108"/>
    <w:rsid w:val="007A08DD"/>
    <w:rsid w:val="007A1994"/>
    <w:rsid w:val="007A2D1C"/>
    <w:rsid w:val="007A303E"/>
    <w:rsid w:val="007A4389"/>
    <w:rsid w:val="007A560B"/>
    <w:rsid w:val="007A5D6A"/>
    <w:rsid w:val="007A6203"/>
    <w:rsid w:val="007B1E0A"/>
    <w:rsid w:val="007B2CEE"/>
    <w:rsid w:val="007B34A2"/>
    <w:rsid w:val="007B449B"/>
    <w:rsid w:val="007C014D"/>
    <w:rsid w:val="007C112F"/>
    <w:rsid w:val="007C11F4"/>
    <w:rsid w:val="007C234D"/>
    <w:rsid w:val="007C3F16"/>
    <w:rsid w:val="007D44C6"/>
    <w:rsid w:val="007D58B3"/>
    <w:rsid w:val="007E06F3"/>
    <w:rsid w:val="007E3B49"/>
    <w:rsid w:val="007E62D8"/>
    <w:rsid w:val="007E78BD"/>
    <w:rsid w:val="007E7E2B"/>
    <w:rsid w:val="007F6B82"/>
    <w:rsid w:val="007F6E84"/>
    <w:rsid w:val="00800B45"/>
    <w:rsid w:val="00801529"/>
    <w:rsid w:val="00801CEB"/>
    <w:rsid w:val="00801E90"/>
    <w:rsid w:val="0080488A"/>
    <w:rsid w:val="008114E1"/>
    <w:rsid w:val="00812E45"/>
    <w:rsid w:val="00814740"/>
    <w:rsid w:val="008156FD"/>
    <w:rsid w:val="0081691D"/>
    <w:rsid w:val="00816953"/>
    <w:rsid w:val="00817562"/>
    <w:rsid w:val="00824F9B"/>
    <w:rsid w:val="00827DE6"/>
    <w:rsid w:val="00831FC5"/>
    <w:rsid w:val="008372D6"/>
    <w:rsid w:val="00837934"/>
    <w:rsid w:val="00840401"/>
    <w:rsid w:val="00840772"/>
    <w:rsid w:val="00841A37"/>
    <w:rsid w:val="0084365B"/>
    <w:rsid w:val="0084529F"/>
    <w:rsid w:val="00845817"/>
    <w:rsid w:val="00847D10"/>
    <w:rsid w:val="00847DB1"/>
    <w:rsid w:val="00847F77"/>
    <w:rsid w:val="00850ECF"/>
    <w:rsid w:val="00851DED"/>
    <w:rsid w:val="00851E53"/>
    <w:rsid w:val="00852060"/>
    <w:rsid w:val="00854EB2"/>
    <w:rsid w:val="00856EB0"/>
    <w:rsid w:val="00860597"/>
    <w:rsid w:val="00860B56"/>
    <w:rsid w:val="00862CB6"/>
    <w:rsid w:val="00865A63"/>
    <w:rsid w:val="008666AC"/>
    <w:rsid w:val="008673A2"/>
    <w:rsid w:val="00867FAD"/>
    <w:rsid w:val="0087514B"/>
    <w:rsid w:val="00876A05"/>
    <w:rsid w:val="00877CEA"/>
    <w:rsid w:val="00877F10"/>
    <w:rsid w:val="0088148E"/>
    <w:rsid w:val="00884907"/>
    <w:rsid w:val="008857C7"/>
    <w:rsid w:val="008863C7"/>
    <w:rsid w:val="00887215"/>
    <w:rsid w:val="00887614"/>
    <w:rsid w:val="008968EB"/>
    <w:rsid w:val="0089760B"/>
    <w:rsid w:val="008A1754"/>
    <w:rsid w:val="008A2340"/>
    <w:rsid w:val="008A2784"/>
    <w:rsid w:val="008B298A"/>
    <w:rsid w:val="008B2F5D"/>
    <w:rsid w:val="008B3775"/>
    <w:rsid w:val="008B41D3"/>
    <w:rsid w:val="008B43AF"/>
    <w:rsid w:val="008B4D97"/>
    <w:rsid w:val="008B4EB9"/>
    <w:rsid w:val="008B6FD2"/>
    <w:rsid w:val="008B78E5"/>
    <w:rsid w:val="008C013C"/>
    <w:rsid w:val="008C29CA"/>
    <w:rsid w:val="008C6926"/>
    <w:rsid w:val="008D037D"/>
    <w:rsid w:val="008D21EA"/>
    <w:rsid w:val="008D6C6E"/>
    <w:rsid w:val="008D726B"/>
    <w:rsid w:val="008E1D2C"/>
    <w:rsid w:val="008E2471"/>
    <w:rsid w:val="008E4606"/>
    <w:rsid w:val="008E54EB"/>
    <w:rsid w:val="008E724C"/>
    <w:rsid w:val="008E74AC"/>
    <w:rsid w:val="008E7909"/>
    <w:rsid w:val="008F0878"/>
    <w:rsid w:val="008F0D0A"/>
    <w:rsid w:val="008F1DD4"/>
    <w:rsid w:val="008F587A"/>
    <w:rsid w:val="008F5976"/>
    <w:rsid w:val="008F5B97"/>
    <w:rsid w:val="008F5FEF"/>
    <w:rsid w:val="008F6F3B"/>
    <w:rsid w:val="0090049B"/>
    <w:rsid w:val="00902D59"/>
    <w:rsid w:val="0090328F"/>
    <w:rsid w:val="0090415D"/>
    <w:rsid w:val="00910449"/>
    <w:rsid w:val="00912F68"/>
    <w:rsid w:val="0091303C"/>
    <w:rsid w:val="00915CB1"/>
    <w:rsid w:val="00923B54"/>
    <w:rsid w:val="0092476F"/>
    <w:rsid w:val="00925D0E"/>
    <w:rsid w:val="00926443"/>
    <w:rsid w:val="009317B5"/>
    <w:rsid w:val="00932E1A"/>
    <w:rsid w:val="009331C0"/>
    <w:rsid w:val="00934CD8"/>
    <w:rsid w:val="00937EA7"/>
    <w:rsid w:val="009417A1"/>
    <w:rsid w:val="00943386"/>
    <w:rsid w:val="00943753"/>
    <w:rsid w:val="00945A04"/>
    <w:rsid w:val="0095311D"/>
    <w:rsid w:val="009539DE"/>
    <w:rsid w:val="00956BF8"/>
    <w:rsid w:val="009575C5"/>
    <w:rsid w:val="00961FF8"/>
    <w:rsid w:val="00962099"/>
    <w:rsid w:val="009623B3"/>
    <w:rsid w:val="00963E93"/>
    <w:rsid w:val="009642D5"/>
    <w:rsid w:val="00965B8F"/>
    <w:rsid w:val="00965EC1"/>
    <w:rsid w:val="0096600F"/>
    <w:rsid w:val="009663ED"/>
    <w:rsid w:val="0096673C"/>
    <w:rsid w:val="00967C76"/>
    <w:rsid w:val="00970E84"/>
    <w:rsid w:val="00971460"/>
    <w:rsid w:val="009728FF"/>
    <w:rsid w:val="00972CF6"/>
    <w:rsid w:val="00972F0B"/>
    <w:rsid w:val="0097325F"/>
    <w:rsid w:val="00973C8C"/>
    <w:rsid w:val="00974B56"/>
    <w:rsid w:val="009763CE"/>
    <w:rsid w:val="009766C8"/>
    <w:rsid w:val="0098064C"/>
    <w:rsid w:val="0098548E"/>
    <w:rsid w:val="00994BAE"/>
    <w:rsid w:val="009A0083"/>
    <w:rsid w:val="009A2D41"/>
    <w:rsid w:val="009A3AD4"/>
    <w:rsid w:val="009A6CAB"/>
    <w:rsid w:val="009B038E"/>
    <w:rsid w:val="009B15AC"/>
    <w:rsid w:val="009B1B62"/>
    <w:rsid w:val="009B518A"/>
    <w:rsid w:val="009B5F49"/>
    <w:rsid w:val="009B6664"/>
    <w:rsid w:val="009B76ED"/>
    <w:rsid w:val="009B79AE"/>
    <w:rsid w:val="009C3EE7"/>
    <w:rsid w:val="009C4C24"/>
    <w:rsid w:val="009C57DF"/>
    <w:rsid w:val="009C5B7C"/>
    <w:rsid w:val="009C6BD1"/>
    <w:rsid w:val="009C7B9D"/>
    <w:rsid w:val="009D0699"/>
    <w:rsid w:val="009D3D9C"/>
    <w:rsid w:val="009D5006"/>
    <w:rsid w:val="009D71B0"/>
    <w:rsid w:val="009D7620"/>
    <w:rsid w:val="009E07DC"/>
    <w:rsid w:val="009E109D"/>
    <w:rsid w:val="009E58F5"/>
    <w:rsid w:val="009F075E"/>
    <w:rsid w:val="009F10F5"/>
    <w:rsid w:val="009F3124"/>
    <w:rsid w:val="009F453D"/>
    <w:rsid w:val="009F4A3A"/>
    <w:rsid w:val="00A067BD"/>
    <w:rsid w:val="00A07313"/>
    <w:rsid w:val="00A1676D"/>
    <w:rsid w:val="00A2436F"/>
    <w:rsid w:val="00A265B0"/>
    <w:rsid w:val="00A27CD5"/>
    <w:rsid w:val="00A30B0C"/>
    <w:rsid w:val="00A30D8A"/>
    <w:rsid w:val="00A30DBF"/>
    <w:rsid w:val="00A320F9"/>
    <w:rsid w:val="00A35395"/>
    <w:rsid w:val="00A4066C"/>
    <w:rsid w:val="00A440FE"/>
    <w:rsid w:val="00A464F8"/>
    <w:rsid w:val="00A578D3"/>
    <w:rsid w:val="00A61576"/>
    <w:rsid w:val="00A61B28"/>
    <w:rsid w:val="00A7141D"/>
    <w:rsid w:val="00A75A84"/>
    <w:rsid w:val="00A8042A"/>
    <w:rsid w:val="00A80DBE"/>
    <w:rsid w:val="00A81585"/>
    <w:rsid w:val="00A81D7B"/>
    <w:rsid w:val="00A82112"/>
    <w:rsid w:val="00A877E5"/>
    <w:rsid w:val="00A91B96"/>
    <w:rsid w:val="00A92B0C"/>
    <w:rsid w:val="00A939F1"/>
    <w:rsid w:val="00A97295"/>
    <w:rsid w:val="00AA5DB3"/>
    <w:rsid w:val="00AB149F"/>
    <w:rsid w:val="00AB3F2E"/>
    <w:rsid w:val="00AB5628"/>
    <w:rsid w:val="00AB5694"/>
    <w:rsid w:val="00AB56C7"/>
    <w:rsid w:val="00AB5A38"/>
    <w:rsid w:val="00AB6277"/>
    <w:rsid w:val="00AB75CD"/>
    <w:rsid w:val="00AC1B7A"/>
    <w:rsid w:val="00AC32A3"/>
    <w:rsid w:val="00AC39EB"/>
    <w:rsid w:val="00AC4FF3"/>
    <w:rsid w:val="00AD6134"/>
    <w:rsid w:val="00AD7069"/>
    <w:rsid w:val="00AE071F"/>
    <w:rsid w:val="00AE3DCF"/>
    <w:rsid w:val="00AE529D"/>
    <w:rsid w:val="00AF506A"/>
    <w:rsid w:val="00AF56AD"/>
    <w:rsid w:val="00AF629F"/>
    <w:rsid w:val="00AF7D5C"/>
    <w:rsid w:val="00B00FCA"/>
    <w:rsid w:val="00B0482D"/>
    <w:rsid w:val="00B0550B"/>
    <w:rsid w:val="00B056B8"/>
    <w:rsid w:val="00B063D8"/>
    <w:rsid w:val="00B071F7"/>
    <w:rsid w:val="00B11A3C"/>
    <w:rsid w:val="00B1291D"/>
    <w:rsid w:val="00B16F71"/>
    <w:rsid w:val="00B17B04"/>
    <w:rsid w:val="00B17CB8"/>
    <w:rsid w:val="00B200B7"/>
    <w:rsid w:val="00B22D1C"/>
    <w:rsid w:val="00B23059"/>
    <w:rsid w:val="00B2404A"/>
    <w:rsid w:val="00B241F7"/>
    <w:rsid w:val="00B242D8"/>
    <w:rsid w:val="00B25348"/>
    <w:rsid w:val="00B279A9"/>
    <w:rsid w:val="00B303C3"/>
    <w:rsid w:val="00B37D0C"/>
    <w:rsid w:val="00B40949"/>
    <w:rsid w:val="00B40D49"/>
    <w:rsid w:val="00B41485"/>
    <w:rsid w:val="00B43652"/>
    <w:rsid w:val="00B46A9C"/>
    <w:rsid w:val="00B46F6A"/>
    <w:rsid w:val="00B4756A"/>
    <w:rsid w:val="00B53CBC"/>
    <w:rsid w:val="00B55685"/>
    <w:rsid w:val="00B56900"/>
    <w:rsid w:val="00B61BD3"/>
    <w:rsid w:val="00B6241E"/>
    <w:rsid w:val="00B62688"/>
    <w:rsid w:val="00B62F56"/>
    <w:rsid w:val="00B646B1"/>
    <w:rsid w:val="00B67B3B"/>
    <w:rsid w:val="00B704D4"/>
    <w:rsid w:val="00B7092F"/>
    <w:rsid w:val="00B714E9"/>
    <w:rsid w:val="00B72D19"/>
    <w:rsid w:val="00B74165"/>
    <w:rsid w:val="00B76A4E"/>
    <w:rsid w:val="00B770AE"/>
    <w:rsid w:val="00B77A5C"/>
    <w:rsid w:val="00B77D52"/>
    <w:rsid w:val="00B80DE8"/>
    <w:rsid w:val="00B80ED8"/>
    <w:rsid w:val="00B84EFD"/>
    <w:rsid w:val="00B85A08"/>
    <w:rsid w:val="00B913CB"/>
    <w:rsid w:val="00B93DBD"/>
    <w:rsid w:val="00B93E95"/>
    <w:rsid w:val="00B97205"/>
    <w:rsid w:val="00B97B70"/>
    <w:rsid w:val="00BA3C69"/>
    <w:rsid w:val="00BA6CB1"/>
    <w:rsid w:val="00BB1604"/>
    <w:rsid w:val="00BB187E"/>
    <w:rsid w:val="00BB1D94"/>
    <w:rsid w:val="00BB28B7"/>
    <w:rsid w:val="00BB3D50"/>
    <w:rsid w:val="00BB4489"/>
    <w:rsid w:val="00BB4783"/>
    <w:rsid w:val="00BB688B"/>
    <w:rsid w:val="00BB7A01"/>
    <w:rsid w:val="00BC1953"/>
    <w:rsid w:val="00BC3178"/>
    <w:rsid w:val="00BC4D2F"/>
    <w:rsid w:val="00BD1C1C"/>
    <w:rsid w:val="00BD296C"/>
    <w:rsid w:val="00BD644C"/>
    <w:rsid w:val="00BD6624"/>
    <w:rsid w:val="00BD6C3D"/>
    <w:rsid w:val="00BD7006"/>
    <w:rsid w:val="00BD7A82"/>
    <w:rsid w:val="00BE068C"/>
    <w:rsid w:val="00BE256B"/>
    <w:rsid w:val="00BE4275"/>
    <w:rsid w:val="00BE4E24"/>
    <w:rsid w:val="00BE5CDF"/>
    <w:rsid w:val="00BE762A"/>
    <w:rsid w:val="00BF0E3F"/>
    <w:rsid w:val="00BF786E"/>
    <w:rsid w:val="00C00123"/>
    <w:rsid w:val="00C004FB"/>
    <w:rsid w:val="00C01569"/>
    <w:rsid w:val="00C021E5"/>
    <w:rsid w:val="00C02AF6"/>
    <w:rsid w:val="00C0591C"/>
    <w:rsid w:val="00C05C12"/>
    <w:rsid w:val="00C1213C"/>
    <w:rsid w:val="00C12995"/>
    <w:rsid w:val="00C13282"/>
    <w:rsid w:val="00C1436A"/>
    <w:rsid w:val="00C14E70"/>
    <w:rsid w:val="00C20D9B"/>
    <w:rsid w:val="00C212FE"/>
    <w:rsid w:val="00C21772"/>
    <w:rsid w:val="00C22444"/>
    <w:rsid w:val="00C22867"/>
    <w:rsid w:val="00C23A4A"/>
    <w:rsid w:val="00C2610C"/>
    <w:rsid w:val="00C3036D"/>
    <w:rsid w:val="00C3205E"/>
    <w:rsid w:val="00C41C74"/>
    <w:rsid w:val="00C46599"/>
    <w:rsid w:val="00C46A69"/>
    <w:rsid w:val="00C5519B"/>
    <w:rsid w:val="00C56914"/>
    <w:rsid w:val="00C57288"/>
    <w:rsid w:val="00C63822"/>
    <w:rsid w:val="00C644BA"/>
    <w:rsid w:val="00C65A02"/>
    <w:rsid w:val="00C76904"/>
    <w:rsid w:val="00C8017E"/>
    <w:rsid w:val="00C82DCD"/>
    <w:rsid w:val="00C85173"/>
    <w:rsid w:val="00C91EE0"/>
    <w:rsid w:val="00C93E09"/>
    <w:rsid w:val="00C9477C"/>
    <w:rsid w:val="00C950F3"/>
    <w:rsid w:val="00C959BC"/>
    <w:rsid w:val="00C96096"/>
    <w:rsid w:val="00CA0B3C"/>
    <w:rsid w:val="00CA4F79"/>
    <w:rsid w:val="00CA692D"/>
    <w:rsid w:val="00CB1862"/>
    <w:rsid w:val="00CB298E"/>
    <w:rsid w:val="00CB3020"/>
    <w:rsid w:val="00CB64A2"/>
    <w:rsid w:val="00CB7E92"/>
    <w:rsid w:val="00CC0ED3"/>
    <w:rsid w:val="00CC2288"/>
    <w:rsid w:val="00CC3CBB"/>
    <w:rsid w:val="00CC5650"/>
    <w:rsid w:val="00CC569E"/>
    <w:rsid w:val="00CC6968"/>
    <w:rsid w:val="00CC7D65"/>
    <w:rsid w:val="00CD18A4"/>
    <w:rsid w:val="00CD1A76"/>
    <w:rsid w:val="00CD2887"/>
    <w:rsid w:val="00CD2D3D"/>
    <w:rsid w:val="00CD3F98"/>
    <w:rsid w:val="00CD4CAC"/>
    <w:rsid w:val="00CD608B"/>
    <w:rsid w:val="00CD7290"/>
    <w:rsid w:val="00CD7EFD"/>
    <w:rsid w:val="00CE0915"/>
    <w:rsid w:val="00CE16B6"/>
    <w:rsid w:val="00CE2499"/>
    <w:rsid w:val="00CE2861"/>
    <w:rsid w:val="00CE2C85"/>
    <w:rsid w:val="00CE6602"/>
    <w:rsid w:val="00CE70D6"/>
    <w:rsid w:val="00CE7C75"/>
    <w:rsid w:val="00CF5472"/>
    <w:rsid w:val="00CF5A6B"/>
    <w:rsid w:val="00CF76AC"/>
    <w:rsid w:val="00D01235"/>
    <w:rsid w:val="00D03C27"/>
    <w:rsid w:val="00D07663"/>
    <w:rsid w:val="00D12BC8"/>
    <w:rsid w:val="00D152D0"/>
    <w:rsid w:val="00D24F41"/>
    <w:rsid w:val="00D30BB0"/>
    <w:rsid w:val="00D34520"/>
    <w:rsid w:val="00D36042"/>
    <w:rsid w:val="00D368E8"/>
    <w:rsid w:val="00D44058"/>
    <w:rsid w:val="00D506E6"/>
    <w:rsid w:val="00D51121"/>
    <w:rsid w:val="00D51505"/>
    <w:rsid w:val="00D605C5"/>
    <w:rsid w:val="00D61FB1"/>
    <w:rsid w:val="00D63269"/>
    <w:rsid w:val="00D73EEE"/>
    <w:rsid w:val="00D74D35"/>
    <w:rsid w:val="00D74E7D"/>
    <w:rsid w:val="00D754B5"/>
    <w:rsid w:val="00D76168"/>
    <w:rsid w:val="00D778A1"/>
    <w:rsid w:val="00D81C92"/>
    <w:rsid w:val="00D81D39"/>
    <w:rsid w:val="00D84860"/>
    <w:rsid w:val="00D84EAC"/>
    <w:rsid w:val="00D8589D"/>
    <w:rsid w:val="00D86482"/>
    <w:rsid w:val="00D86685"/>
    <w:rsid w:val="00D902CE"/>
    <w:rsid w:val="00D9230D"/>
    <w:rsid w:val="00D947F0"/>
    <w:rsid w:val="00D95CB6"/>
    <w:rsid w:val="00D96BE5"/>
    <w:rsid w:val="00D97ADB"/>
    <w:rsid w:val="00DA5FC6"/>
    <w:rsid w:val="00DA72C4"/>
    <w:rsid w:val="00DB1AA0"/>
    <w:rsid w:val="00DB4875"/>
    <w:rsid w:val="00DB64D3"/>
    <w:rsid w:val="00DB67DF"/>
    <w:rsid w:val="00DB6964"/>
    <w:rsid w:val="00DC0B96"/>
    <w:rsid w:val="00DC18D5"/>
    <w:rsid w:val="00DC22D8"/>
    <w:rsid w:val="00DC2A05"/>
    <w:rsid w:val="00DC72CF"/>
    <w:rsid w:val="00DD03BB"/>
    <w:rsid w:val="00DD12C6"/>
    <w:rsid w:val="00DD141D"/>
    <w:rsid w:val="00DD1E9E"/>
    <w:rsid w:val="00DD657A"/>
    <w:rsid w:val="00DE0C04"/>
    <w:rsid w:val="00DE1D16"/>
    <w:rsid w:val="00DE2D53"/>
    <w:rsid w:val="00DE354A"/>
    <w:rsid w:val="00DE39B0"/>
    <w:rsid w:val="00DE43BD"/>
    <w:rsid w:val="00DE5ED7"/>
    <w:rsid w:val="00DF2A93"/>
    <w:rsid w:val="00DF3686"/>
    <w:rsid w:val="00DF4672"/>
    <w:rsid w:val="00DF4A9A"/>
    <w:rsid w:val="00E0070F"/>
    <w:rsid w:val="00E12320"/>
    <w:rsid w:val="00E13966"/>
    <w:rsid w:val="00E15466"/>
    <w:rsid w:val="00E154B8"/>
    <w:rsid w:val="00E1603C"/>
    <w:rsid w:val="00E21F74"/>
    <w:rsid w:val="00E2369D"/>
    <w:rsid w:val="00E26BEA"/>
    <w:rsid w:val="00E3660A"/>
    <w:rsid w:val="00E41B78"/>
    <w:rsid w:val="00E44928"/>
    <w:rsid w:val="00E44BCA"/>
    <w:rsid w:val="00E54591"/>
    <w:rsid w:val="00E552D7"/>
    <w:rsid w:val="00E5594D"/>
    <w:rsid w:val="00E55F69"/>
    <w:rsid w:val="00E568D2"/>
    <w:rsid w:val="00E61798"/>
    <w:rsid w:val="00E61FAC"/>
    <w:rsid w:val="00E62F4B"/>
    <w:rsid w:val="00E63E80"/>
    <w:rsid w:val="00E666F0"/>
    <w:rsid w:val="00E71491"/>
    <w:rsid w:val="00E75467"/>
    <w:rsid w:val="00E76FC3"/>
    <w:rsid w:val="00E81C40"/>
    <w:rsid w:val="00E82BF1"/>
    <w:rsid w:val="00E834E0"/>
    <w:rsid w:val="00E83B45"/>
    <w:rsid w:val="00E856EF"/>
    <w:rsid w:val="00E85C10"/>
    <w:rsid w:val="00E86452"/>
    <w:rsid w:val="00E8686B"/>
    <w:rsid w:val="00E86C78"/>
    <w:rsid w:val="00E930A6"/>
    <w:rsid w:val="00E950D5"/>
    <w:rsid w:val="00EA0120"/>
    <w:rsid w:val="00EA341C"/>
    <w:rsid w:val="00EA4FDE"/>
    <w:rsid w:val="00EA5C57"/>
    <w:rsid w:val="00EA5CE8"/>
    <w:rsid w:val="00EB4765"/>
    <w:rsid w:val="00EC22A8"/>
    <w:rsid w:val="00EC24E6"/>
    <w:rsid w:val="00EC26AB"/>
    <w:rsid w:val="00EC317F"/>
    <w:rsid w:val="00EC5534"/>
    <w:rsid w:val="00ED180E"/>
    <w:rsid w:val="00ED4FD6"/>
    <w:rsid w:val="00ED68C4"/>
    <w:rsid w:val="00EE0961"/>
    <w:rsid w:val="00EE2F0E"/>
    <w:rsid w:val="00EE5701"/>
    <w:rsid w:val="00EE57A0"/>
    <w:rsid w:val="00EF1672"/>
    <w:rsid w:val="00EF27B9"/>
    <w:rsid w:val="00EF642C"/>
    <w:rsid w:val="00EF7901"/>
    <w:rsid w:val="00F01ED7"/>
    <w:rsid w:val="00F01F41"/>
    <w:rsid w:val="00F028BB"/>
    <w:rsid w:val="00F07B06"/>
    <w:rsid w:val="00F10982"/>
    <w:rsid w:val="00F12924"/>
    <w:rsid w:val="00F12A60"/>
    <w:rsid w:val="00F13D27"/>
    <w:rsid w:val="00F141C2"/>
    <w:rsid w:val="00F15E4D"/>
    <w:rsid w:val="00F20B5F"/>
    <w:rsid w:val="00F20D89"/>
    <w:rsid w:val="00F23069"/>
    <w:rsid w:val="00F23079"/>
    <w:rsid w:val="00F23EA3"/>
    <w:rsid w:val="00F24C07"/>
    <w:rsid w:val="00F308B0"/>
    <w:rsid w:val="00F31626"/>
    <w:rsid w:val="00F3302A"/>
    <w:rsid w:val="00F360F4"/>
    <w:rsid w:val="00F36680"/>
    <w:rsid w:val="00F37045"/>
    <w:rsid w:val="00F40E20"/>
    <w:rsid w:val="00F41FD5"/>
    <w:rsid w:val="00F45149"/>
    <w:rsid w:val="00F45EC7"/>
    <w:rsid w:val="00F46E7D"/>
    <w:rsid w:val="00F47D61"/>
    <w:rsid w:val="00F52C8A"/>
    <w:rsid w:val="00F53A48"/>
    <w:rsid w:val="00F56762"/>
    <w:rsid w:val="00F6039E"/>
    <w:rsid w:val="00F60BAF"/>
    <w:rsid w:val="00F626E4"/>
    <w:rsid w:val="00F6643F"/>
    <w:rsid w:val="00F66C9F"/>
    <w:rsid w:val="00F67843"/>
    <w:rsid w:val="00F67A3F"/>
    <w:rsid w:val="00F704C2"/>
    <w:rsid w:val="00F71453"/>
    <w:rsid w:val="00F74565"/>
    <w:rsid w:val="00F7660A"/>
    <w:rsid w:val="00F77DAF"/>
    <w:rsid w:val="00F85385"/>
    <w:rsid w:val="00F86165"/>
    <w:rsid w:val="00F8621F"/>
    <w:rsid w:val="00F8645D"/>
    <w:rsid w:val="00F87FB1"/>
    <w:rsid w:val="00F901C0"/>
    <w:rsid w:val="00F90593"/>
    <w:rsid w:val="00F9161B"/>
    <w:rsid w:val="00FA01B6"/>
    <w:rsid w:val="00FA2CBA"/>
    <w:rsid w:val="00FA4E61"/>
    <w:rsid w:val="00FA59C3"/>
    <w:rsid w:val="00FA7902"/>
    <w:rsid w:val="00FB06D4"/>
    <w:rsid w:val="00FB14EC"/>
    <w:rsid w:val="00FB2861"/>
    <w:rsid w:val="00FB2D24"/>
    <w:rsid w:val="00FB33E6"/>
    <w:rsid w:val="00FB46E0"/>
    <w:rsid w:val="00FB5D22"/>
    <w:rsid w:val="00FB67AA"/>
    <w:rsid w:val="00FB6DD2"/>
    <w:rsid w:val="00FC0016"/>
    <w:rsid w:val="00FC15EA"/>
    <w:rsid w:val="00FC2229"/>
    <w:rsid w:val="00FC24A6"/>
    <w:rsid w:val="00FC5120"/>
    <w:rsid w:val="00FC5B42"/>
    <w:rsid w:val="00FD09D3"/>
    <w:rsid w:val="00FD1177"/>
    <w:rsid w:val="00FD2D0B"/>
    <w:rsid w:val="00FD39E1"/>
    <w:rsid w:val="00FD3C2A"/>
    <w:rsid w:val="00FD4FC9"/>
    <w:rsid w:val="00FD70F9"/>
    <w:rsid w:val="00FE15C7"/>
    <w:rsid w:val="00FE2FD9"/>
    <w:rsid w:val="00FE3910"/>
    <w:rsid w:val="00FE44BF"/>
    <w:rsid w:val="00FE47BB"/>
    <w:rsid w:val="00FE597F"/>
    <w:rsid w:val="00FE6F23"/>
    <w:rsid w:val="00FE70E9"/>
    <w:rsid w:val="00FE797E"/>
    <w:rsid w:val="00FF0F35"/>
    <w:rsid w:val="00FF21A0"/>
    <w:rsid w:val="00FF2915"/>
    <w:rsid w:val="00FF3303"/>
    <w:rsid w:val="00FF3940"/>
    <w:rsid w:val="00FF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74D6"/>
  <w15:chartTrackingRefBased/>
  <w15:docId w15:val="{DF756E7D-F187-4C72-9B94-88C7C278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F3B"/>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8F6F3B"/>
    <w:pPr>
      <w:keepNext/>
      <w:keepLines/>
      <w:spacing w:before="40" w:after="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1E057A"/>
    <w:pPr>
      <w:keepNext/>
      <w:keepLines/>
      <w:spacing w:before="40" w:after="0"/>
      <w:outlineLvl w:val="2"/>
    </w:pPr>
    <w:rPr>
      <w:rFonts w:asciiTheme="majorHAnsi" w:eastAsiaTheme="majorEastAsia" w:hAnsiTheme="majorHAnsi" w:cstheme="majorBidi"/>
      <w:color w:val="373739" w:themeColor="accent1" w:themeShade="7F"/>
      <w:sz w:val="24"/>
      <w:szCs w:val="24"/>
    </w:rPr>
  </w:style>
  <w:style w:type="paragraph" w:styleId="Heading4">
    <w:name w:val="heading 4"/>
    <w:basedOn w:val="Normal"/>
    <w:next w:val="Normal"/>
    <w:link w:val="Heading4Char"/>
    <w:uiPriority w:val="9"/>
    <w:unhideWhenUsed/>
    <w:qFormat/>
    <w:rsid w:val="001E057A"/>
    <w:pPr>
      <w:keepNext/>
      <w:keepLines/>
      <w:spacing w:before="40" w:after="0"/>
      <w:outlineLvl w:val="3"/>
    </w:pPr>
    <w:rPr>
      <w:rFonts w:asciiTheme="majorHAnsi" w:eastAsiaTheme="majorEastAsia" w:hAnsiTheme="majorHAnsi" w:cstheme="majorBidi"/>
      <w:i/>
      <w:iCs/>
      <w:color w:val="53535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F3B"/>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8F6F3B"/>
    <w:rPr>
      <w:rFonts w:asciiTheme="majorHAnsi" w:eastAsiaTheme="majorEastAsia" w:hAnsiTheme="majorHAnsi" w:cstheme="majorBidi"/>
      <w:color w:val="535356" w:themeColor="accent1" w:themeShade="BF"/>
      <w:sz w:val="26"/>
      <w:szCs w:val="26"/>
    </w:rPr>
  </w:style>
  <w:style w:type="character" w:customStyle="1" w:styleId="Heading3Char">
    <w:name w:val="Heading 3 Char"/>
    <w:basedOn w:val="DefaultParagraphFont"/>
    <w:link w:val="Heading3"/>
    <w:uiPriority w:val="9"/>
    <w:rsid w:val="001E057A"/>
    <w:rPr>
      <w:rFonts w:asciiTheme="majorHAnsi" w:eastAsiaTheme="majorEastAsia" w:hAnsiTheme="majorHAnsi" w:cstheme="majorBidi"/>
      <w:color w:val="373739" w:themeColor="accent1" w:themeShade="7F"/>
      <w:sz w:val="24"/>
      <w:szCs w:val="24"/>
    </w:rPr>
  </w:style>
  <w:style w:type="character" w:customStyle="1" w:styleId="Heading4Char">
    <w:name w:val="Heading 4 Char"/>
    <w:basedOn w:val="DefaultParagraphFont"/>
    <w:link w:val="Heading4"/>
    <w:uiPriority w:val="9"/>
    <w:rsid w:val="001E057A"/>
    <w:rPr>
      <w:rFonts w:asciiTheme="majorHAnsi" w:eastAsiaTheme="majorEastAsia" w:hAnsiTheme="majorHAnsi" w:cstheme="majorBidi"/>
      <w:i/>
      <w:iCs/>
      <w:color w:val="535356" w:themeColor="accent1" w:themeShade="BF"/>
    </w:rPr>
  </w:style>
  <w:style w:type="character" w:styleId="PlaceholderText">
    <w:name w:val="Placeholder Text"/>
    <w:basedOn w:val="DefaultParagraphFont"/>
    <w:uiPriority w:val="99"/>
    <w:semiHidden/>
    <w:rsid w:val="003F3486"/>
    <w:rPr>
      <w:color w:val="666666"/>
    </w:rPr>
  </w:style>
  <w:style w:type="paragraph" w:styleId="Caption">
    <w:name w:val="caption"/>
    <w:basedOn w:val="Normal"/>
    <w:next w:val="Normal"/>
    <w:uiPriority w:val="35"/>
    <w:unhideWhenUsed/>
    <w:qFormat/>
    <w:rsid w:val="003C04C0"/>
    <w:pPr>
      <w:spacing w:after="200" w:line="240" w:lineRule="auto"/>
    </w:pPr>
    <w:rPr>
      <w:i/>
      <w:iCs/>
      <w:color w:val="46464A" w:themeColor="text2"/>
      <w:sz w:val="18"/>
      <w:szCs w:val="18"/>
    </w:rPr>
  </w:style>
  <w:style w:type="paragraph" w:styleId="ListParagraph">
    <w:name w:val="List Paragraph"/>
    <w:basedOn w:val="Normal"/>
    <w:uiPriority w:val="34"/>
    <w:qFormat/>
    <w:rsid w:val="00EA3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1305">
      <w:bodyDiv w:val="1"/>
      <w:marLeft w:val="0"/>
      <w:marRight w:val="0"/>
      <w:marTop w:val="0"/>
      <w:marBottom w:val="0"/>
      <w:divBdr>
        <w:top w:val="none" w:sz="0" w:space="0" w:color="auto"/>
        <w:left w:val="none" w:sz="0" w:space="0" w:color="auto"/>
        <w:bottom w:val="none" w:sz="0" w:space="0" w:color="auto"/>
        <w:right w:val="none" w:sz="0" w:space="0" w:color="auto"/>
      </w:divBdr>
    </w:div>
    <w:div w:id="400063637">
      <w:bodyDiv w:val="1"/>
      <w:marLeft w:val="0"/>
      <w:marRight w:val="0"/>
      <w:marTop w:val="0"/>
      <w:marBottom w:val="0"/>
      <w:divBdr>
        <w:top w:val="none" w:sz="0" w:space="0" w:color="auto"/>
        <w:left w:val="none" w:sz="0" w:space="0" w:color="auto"/>
        <w:bottom w:val="none" w:sz="0" w:space="0" w:color="auto"/>
        <w:right w:val="none" w:sz="0" w:space="0" w:color="auto"/>
      </w:divBdr>
    </w:div>
    <w:div w:id="655034200">
      <w:bodyDiv w:val="1"/>
      <w:marLeft w:val="0"/>
      <w:marRight w:val="0"/>
      <w:marTop w:val="0"/>
      <w:marBottom w:val="0"/>
      <w:divBdr>
        <w:top w:val="none" w:sz="0" w:space="0" w:color="auto"/>
        <w:left w:val="none" w:sz="0" w:space="0" w:color="auto"/>
        <w:bottom w:val="none" w:sz="0" w:space="0" w:color="auto"/>
        <w:right w:val="none" w:sz="0" w:space="0" w:color="auto"/>
      </w:divBdr>
    </w:div>
    <w:div w:id="824976647">
      <w:bodyDiv w:val="1"/>
      <w:marLeft w:val="0"/>
      <w:marRight w:val="0"/>
      <w:marTop w:val="0"/>
      <w:marBottom w:val="0"/>
      <w:divBdr>
        <w:top w:val="none" w:sz="0" w:space="0" w:color="auto"/>
        <w:left w:val="none" w:sz="0" w:space="0" w:color="auto"/>
        <w:bottom w:val="none" w:sz="0" w:space="0" w:color="auto"/>
        <w:right w:val="none" w:sz="0" w:space="0" w:color="auto"/>
      </w:divBdr>
    </w:div>
    <w:div w:id="1946840664">
      <w:bodyDiv w:val="1"/>
      <w:marLeft w:val="0"/>
      <w:marRight w:val="0"/>
      <w:marTop w:val="0"/>
      <w:marBottom w:val="0"/>
      <w:divBdr>
        <w:top w:val="none" w:sz="0" w:space="0" w:color="auto"/>
        <w:left w:val="none" w:sz="0" w:space="0" w:color="auto"/>
        <w:bottom w:val="none" w:sz="0" w:space="0" w:color="auto"/>
        <w:right w:val="none" w:sz="0" w:space="0" w:color="auto"/>
      </w:divBdr>
    </w:div>
    <w:div w:id="197953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Cota</dc:creator>
  <cp:keywords/>
  <dc:description/>
  <cp:lastModifiedBy>Luis Cota</cp:lastModifiedBy>
  <cp:revision>6</cp:revision>
  <dcterms:created xsi:type="dcterms:W3CDTF">2024-02-20T14:30:00Z</dcterms:created>
  <dcterms:modified xsi:type="dcterms:W3CDTF">2024-02-20T16:59:00Z</dcterms:modified>
</cp:coreProperties>
</file>