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EFF6" w14:textId="4F65700F" w:rsidR="00D6400C" w:rsidRDefault="00D6400C" w:rsidP="008F6F3B">
      <w:pPr>
        <w:pStyle w:val="Heading1"/>
      </w:pPr>
      <w:commentRangeStart w:id="0"/>
      <w:r>
        <w:t>Systematic Trading of ETFs</w:t>
      </w:r>
      <w:commentRangeEnd w:id="0"/>
      <w:r w:rsidR="002B4849">
        <w:rPr>
          <w:rStyle w:val="CommentReference"/>
          <w:rFonts w:asciiTheme="minorHAnsi" w:eastAsiaTheme="minorHAnsi" w:hAnsiTheme="minorHAnsi" w:cstheme="minorBidi"/>
          <w:color w:val="auto"/>
        </w:rPr>
        <w:commentReference w:id="0"/>
      </w:r>
    </w:p>
    <w:p w14:paraId="79201C39" w14:textId="16945B6D" w:rsidR="00D6400C" w:rsidRDefault="00D6400C" w:rsidP="00D6400C">
      <w:pPr>
        <w:pStyle w:val="Heading2"/>
      </w:pPr>
      <w:r>
        <w:t>Using ML techniques to create trading rules for ETFs</w:t>
      </w:r>
    </w:p>
    <w:p w14:paraId="7F387310" w14:textId="3FD86EF6" w:rsidR="00C5419C" w:rsidRPr="00C5419C" w:rsidRDefault="00C5419C" w:rsidP="00C5419C">
      <w:r>
        <w:t>In this piece, we examine the question, “Can a combination of Inflation (CPI), and 2 proxies for GDP be used to inform future allocation decisions?”. The proxies are ISM PMI and ISM NMI, which correspond to ISM Purchasing Manager’s Index and ISM Non-Manufacturing Index respectively. In addition to the</w:t>
      </w:r>
      <w:r w:rsidR="004471F0">
        <w:t xml:space="preserve"> officially published</w:t>
      </w:r>
      <w:r>
        <w:t xml:space="preserve"> values, we look at forecasts of each of the above series to see if accurate forecasts can assist in forward-looking asset allocation decisions. </w:t>
      </w:r>
    </w:p>
    <w:p w14:paraId="0CB917F9" w14:textId="4AC7DC88" w:rsidR="00D6400C" w:rsidRDefault="00D6400C" w:rsidP="00D6400C">
      <w:r>
        <w:t xml:space="preserve">Using a combination of intuitive interpretation of these economic metrics, we create a set of features to characterize the trend dynamics of these values and use these features to construct trading rules based on a standard logistic regression’s output. We also examine the performance of two naïve implementations of multi-asset portfolios, a 60/40 stocks/bonds portfolio and a poor man’s risk parity, constructed with a naïve volatility weighting and using only three ETFs to represent major asset classes. Finally, we examine if the individual ETFs can be combined into a mixed portfolio to improve on the risk-adjusted returns of trading the individual ETFs. </w:t>
      </w:r>
    </w:p>
    <w:p w14:paraId="076DA95E" w14:textId="769A791A" w:rsidR="004678EB" w:rsidRPr="004678EB" w:rsidRDefault="00724BAF" w:rsidP="00D6400C">
      <w:pPr>
        <w:rPr>
          <w:color w:val="FF0000"/>
          <w:sz w:val="32"/>
          <w:szCs w:val="32"/>
        </w:rPr>
      </w:pPr>
      <w:r>
        <w:rPr>
          <w:noProof/>
        </w:rPr>
        <w:drawing>
          <wp:inline distT="0" distB="0" distL="0" distR="0" wp14:anchorId="1F24D0FC" wp14:editId="43DF6268">
            <wp:extent cx="3382751" cy="1970405"/>
            <wp:effectExtent l="0" t="0" r="8255" b="10795"/>
            <wp:docPr id="1012689185" name="Chart 2">
              <a:extLst xmlns:a="http://schemas.openxmlformats.org/drawingml/2006/main">
                <a:ext uri="{FF2B5EF4-FFF2-40B4-BE49-F238E27FC236}">
                  <a16:creationId xmlns:a16="http://schemas.microsoft.com/office/drawing/2014/main" id="{FDCA73EA-C78F-4291-9055-1326C3118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CDCB9C" w14:textId="278CDC59" w:rsidR="00D6400C" w:rsidRDefault="00D6400C" w:rsidP="00D6400C">
      <w:pPr>
        <w:pStyle w:val="Heading2"/>
      </w:pPr>
      <w:r>
        <w:t>Introduction</w:t>
      </w:r>
    </w:p>
    <w:p w14:paraId="0CEB2E22" w14:textId="77777777" w:rsidR="00915FD0" w:rsidRPr="00915FD0" w:rsidRDefault="00915FD0" w:rsidP="00915FD0">
      <w:pPr>
        <w:pStyle w:val="Heading3"/>
      </w:pPr>
      <w:r w:rsidRPr="001E057A">
        <w:t>Data</w:t>
      </w:r>
    </w:p>
    <w:p w14:paraId="78508E9A" w14:textId="154C95F8" w:rsidR="00FF331F" w:rsidRDefault="00D6400C" w:rsidP="00D6400C">
      <w:r>
        <w:t>ETFs allow an efficient and easily-accessible vehicle to get exposure to major asset classes. The asset classes in question are US Equities</w:t>
      </w:r>
      <w:r w:rsidR="001F2C95">
        <w:t xml:space="preserve">, Bonds (corporate and USTs), and Commodities + Energy. </w:t>
      </w:r>
      <w:r w:rsidR="00915FD0">
        <w:t>All data used cover a period from 2013 – 2023.</w:t>
      </w:r>
    </w:p>
    <w:p w14:paraId="15E33536" w14:textId="77777777" w:rsidR="00915FD0" w:rsidRDefault="00915FD0" w:rsidP="00D6400C"/>
    <w:p w14:paraId="197B12E4" w14:textId="77777777" w:rsidR="00915FD0" w:rsidRPr="00915FD0" w:rsidRDefault="00915FD0" w:rsidP="00915FD0">
      <w:pPr>
        <w:pStyle w:val="Heading4"/>
      </w:pPr>
      <w:r w:rsidRPr="00915FD0">
        <w:t>CPI, PMI &amp; NMI</w:t>
      </w:r>
    </w:p>
    <w:p w14:paraId="21907C76" w14:textId="77777777" w:rsidR="00915FD0" w:rsidRDefault="00915FD0" w:rsidP="00915FD0">
      <w:r w:rsidRPr="008F6F3B">
        <w:t xml:space="preserve">Several data sets from </w:t>
      </w:r>
      <w:proofErr w:type="spellStart"/>
      <w:r w:rsidRPr="008F6F3B">
        <w:t>Turnleaf</w:t>
      </w:r>
      <w:proofErr w:type="spellEnd"/>
      <w:r w:rsidRPr="008F6F3B">
        <w:t xml:space="preserve"> Analytics were used to carry out this project. The first is a multi-variate series of data containing US YoY Change in CPI forecasts, non-seasonally adjusted, for forward looking periods ranging from 1 month — 12 months, with a periodicity of 1 month. Additional data sets include 1</w:t>
      </w:r>
      <w:r>
        <w:t>-</w:t>
      </w:r>
      <w:r w:rsidRPr="008F6F3B">
        <w:t>month—12-month predictions of ISM PMI (Purchasing Manufacturer’s Index) and ISM NMI (Non-Manufacturing Index). The latter two data series are meant to serve as a proxy for future GDP.</w:t>
      </w:r>
    </w:p>
    <w:p w14:paraId="3F038738" w14:textId="77777777" w:rsidR="00915FD0" w:rsidRPr="00915FD0" w:rsidRDefault="00915FD0" w:rsidP="00915FD0">
      <w:pPr>
        <w:pStyle w:val="Heading4"/>
      </w:pPr>
      <w:r w:rsidRPr="00915FD0">
        <w:t>ETFs &amp; Total Return Estimation</w:t>
      </w:r>
    </w:p>
    <w:p w14:paraId="05674CB5" w14:textId="77777777" w:rsidR="00915FD0" w:rsidRDefault="00915FD0" w:rsidP="00915FD0">
      <w:r w:rsidRPr="00D73EEE">
        <w:t>The ETFs chosen for this study cover Equities, Debt and Commodities markets. Each asset class has a representative ETF which tracks the broader asset class - AGG for fixed income ETFs, SPY for equities ETFs and DBC/GSG for commodities ETFs.</w:t>
      </w:r>
      <w:r>
        <w:t xml:space="preserve"> A total of 64 ETFs were used for analysis; 19 of these were selected to discuss in greater detail, and are shown in the table below. </w:t>
      </w:r>
    </w:p>
    <w:p w14:paraId="66F67BAA" w14:textId="77777777" w:rsidR="00915FD0" w:rsidRDefault="00915FD0" w:rsidP="00915FD0">
      <w:pPr>
        <w:pStyle w:val="Heading4"/>
      </w:pPr>
      <w:r>
        <w:t>Total Return Methodology</w:t>
      </w:r>
    </w:p>
    <w:p w14:paraId="31CAFD9E" w14:textId="36221247" w:rsidR="00915FD0" w:rsidRPr="00915FD0" w:rsidRDefault="00915FD0" w:rsidP="00D6400C">
      <w:pPr>
        <w:rPr>
          <w:rFonts w:eastAsiaTheme="minorEastAsia"/>
        </w:rPr>
      </w:pPr>
      <w:r>
        <w:t xml:space="preserve">Adjusted closing prices are used on a rolling monthly basis to construct total return indices. The 60/40 portfolio is constructed using a monthly rebalanced ratio of 60% SPY and 40% AGG. The naïve volatility weighted portfolio is using a weighted portfolio of SPY, AGG and GLD, where each weight is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oMath>
      <w:r>
        <w:rPr>
          <w:rFonts w:eastAsiaTheme="minorEastAsia"/>
        </w:rPr>
        <w:t xml:space="preserve">, with a 1-year lookback period. </w:t>
      </w:r>
    </w:p>
    <w:p w14:paraId="3EC1C156" w14:textId="118550DA" w:rsidR="00FA3E41" w:rsidRDefault="00FA3E41" w:rsidP="00FA3E41">
      <w:pPr>
        <w:pStyle w:val="Heading2"/>
      </w:pPr>
      <w:r>
        <w:lastRenderedPageBreak/>
        <w:t>CPI, PMI &amp; NMI Interpretation</w:t>
      </w:r>
    </w:p>
    <w:p w14:paraId="19FF23F2" w14:textId="23992BF0" w:rsidR="00915FD0" w:rsidRPr="00915FD0" w:rsidRDefault="00915FD0" w:rsidP="00915FD0">
      <w:r>
        <w:t xml:space="preserve">How does each of CPI, ISM PMI and ISM NMI relate to each asset class? What is the intuition behind this relationship? </w:t>
      </w:r>
    </w:p>
    <w:p w14:paraId="4888A249" w14:textId="77777777" w:rsidR="00FA3E41" w:rsidRDefault="00FA3E41" w:rsidP="00915FD0">
      <w:pPr>
        <w:pStyle w:val="Heading3"/>
        <w:ind w:left="360" w:right="1170"/>
      </w:pPr>
      <w:r>
        <w:t>Equities</w:t>
      </w:r>
    </w:p>
    <w:p w14:paraId="3CC699A5" w14:textId="77777777" w:rsidR="00FA3E41" w:rsidRDefault="00FA3E41" w:rsidP="00915FD0">
      <w:pPr>
        <w:pStyle w:val="ListParagraph"/>
        <w:numPr>
          <w:ilvl w:val="0"/>
          <w:numId w:val="2"/>
        </w:numPr>
        <w:ind w:left="1080" w:right="1170"/>
      </w:pPr>
      <w:r>
        <w:t>CPI: inflation expectations have an impact on equities. Higher CPI can lead to concerns about lowered consumer spending, which can impact earnings. Higher CPI can also impact interest rates, both of which can have an effect on equity prices</w:t>
      </w:r>
    </w:p>
    <w:p w14:paraId="2A012197" w14:textId="77777777" w:rsidR="00FA3E41" w:rsidRDefault="00FA3E41" w:rsidP="00915FD0">
      <w:pPr>
        <w:pStyle w:val="ListParagraph"/>
        <w:numPr>
          <w:ilvl w:val="0"/>
          <w:numId w:val="2"/>
        </w:numPr>
        <w:ind w:left="1080" w:right="1170"/>
      </w:pPr>
      <w:r>
        <w:t>ISM PMI &amp; ISM NMI: these give insight into the health of manufacturing and services sectors. They can be thought of as proxies for GDP. These values are normalized to fall within the [0, 100] range where a value above 50 is considered positive for the respective sector and below 50 is considered negative</w:t>
      </w:r>
    </w:p>
    <w:p w14:paraId="08725EBF" w14:textId="77777777" w:rsidR="00FA3E41" w:rsidRDefault="00FA3E41" w:rsidP="00915FD0">
      <w:pPr>
        <w:pStyle w:val="Heading3"/>
        <w:ind w:left="360" w:right="1170"/>
      </w:pPr>
      <w:r>
        <w:t>Bonds</w:t>
      </w:r>
    </w:p>
    <w:p w14:paraId="26A98467" w14:textId="77777777" w:rsidR="00FA3E41" w:rsidRDefault="00FA3E41" w:rsidP="00915FD0">
      <w:pPr>
        <w:pStyle w:val="ListParagraph"/>
        <w:numPr>
          <w:ilvl w:val="0"/>
          <w:numId w:val="2"/>
        </w:numPr>
        <w:ind w:left="1080" w:right="1170"/>
      </w:pPr>
      <w:r>
        <w:t>CPI: Changes in inflation have a strong effect on bonds. As inflation rises, the purchasing power of a unit of currency is lowered, which has a very direct impact on how a bond’s cashflows are valued. Higher CPI can lead to expectations of higher interest rates resulting in lowered bond prices</w:t>
      </w:r>
    </w:p>
    <w:p w14:paraId="5049340A" w14:textId="77777777" w:rsidR="00FA3E41" w:rsidRDefault="00FA3E41" w:rsidP="00915FD0">
      <w:pPr>
        <w:pStyle w:val="ListParagraph"/>
        <w:numPr>
          <w:ilvl w:val="0"/>
          <w:numId w:val="2"/>
        </w:numPr>
        <w:ind w:left="1080" w:right="1170"/>
      </w:pPr>
      <w:r>
        <w:t xml:space="preserve">ISM PMI &amp; ISM NMI: Increases in readings of, and expectations of, GDP can also impact bond prices by influencing expectations about future GDP growth and future inflation. </w:t>
      </w:r>
    </w:p>
    <w:p w14:paraId="235E4E8F" w14:textId="77777777" w:rsidR="00FA3E41" w:rsidRDefault="00FA3E41" w:rsidP="00915FD0">
      <w:pPr>
        <w:pStyle w:val="Heading3"/>
        <w:ind w:left="360" w:right="1170"/>
      </w:pPr>
      <w:r>
        <w:t>Commodities</w:t>
      </w:r>
    </w:p>
    <w:p w14:paraId="73F87F24" w14:textId="77777777" w:rsidR="00FA3E41" w:rsidRDefault="00FA3E41" w:rsidP="00915FD0">
      <w:pPr>
        <w:pStyle w:val="ListParagraph"/>
        <w:numPr>
          <w:ilvl w:val="0"/>
          <w:numId w:val="2"/>
        </w:numPr>
        <w:ind w:left="1080" w:right="1170"/>
      </w:pPr>
      <w:r>
        <w:t>CPI: Commodities are often treated as hedges for inflation, so there is an assumed inverse relationship between CPI and commodities prices</w:t>
      </w:r>
    </w:p>
    <w:p w14:paraId="1F3274F4" w14:textId="77777777" w:rsidR="00FA3E41" w:rsidRDefault="00FA3E41" w:rsidP="00915FD0">
      <w:pPr>
        <w:pStyle w:val="ListParagraph"/>
        <w:numPr>
          <w:ilvl w:val="0"/>
          <w:numId w:val="2"/>
        </w:numPr>
        <w:ind w:left="1080" w:right="1170"/>
      </w:pPr>
      <w:r>
        <w:t>ISM PMI &amp; ISM NMI: These values can provide indications of the demand for commodities themselves, so a positive relationship between commodities prices and PMI/NMI readings is a commonly held belief.</w:t>
      </w:r>
    </w:p>
    <w:p w14:paraId="6DBD6544" w14:textId="23BB17CC" w:rsidR="00FA3E41" w:rsidRDefault="00FA3E41" w:rsidP="00915FD0">
      <w:pPr>
        <w:pStyle w:val="Heading3"/>
        <w:ind w:left="360" w:right="1170"/>
      </w:pPr>
      <w:r>
        <w:t>Energy</w:t>
      </w:r>
    </w:p>
    <w:p w14:paraId="15E2DD7D" w14:textId="77777777" w:rsidR="00FA3E41" w:rsidRDefault="00FA3E41" w:rsidP="00915FD0">
      <w:pPr>
        <w:pStyle w:val="ListParagraph"/>
        <w:numPr>
          <w:ilvl w:val="0"/>
          <w:numId w:val="2"/>
        </w:numPr>
        <w:ind w:left="1080" w:right="1170"/>
      </w:pPr>
      <w:r>
        <w:t>CPI: Energy is a key component of CPI’s measurement basket, so there is a natural reflexive relationship between energy prices and CPI. Higher CPI can lead to expectations of increased energy prices and/or increased demand for energy, further driving up its price</w:t>
      </w:r>
    </w:p>
    <w:p w14:paraId="3034D5F4" w14:textId="743E0F80" w:rsidR="00915FD0" w:rsidRDefault="00FA3E41" w:rsidP="00FA3E41">
      <w:pPr>
        <w:pStyle w:val="ListParagraph"/>
        <w:numPr>
          <w:ilvl w:val="0"/>
          <w:numId w:val="2"/>
        </w:numPr>
        <w:ind w:left="1080" w:right="1170"/>
      </w:pPr>
      <w:r>
        <w:t xml:space="preserve">ISM PMI &amp; ISM NMI: As industrial activity picks up, demand for energy tends to pick up, so there is often a positive relationship between energy prices and PMI/NMI. </w:t>
      </w:r>
    </w:p>
    <w:p w14:paraId="2A22DAD5" w14:textId="2E3B3389" w:rsidR="00FA3E41" w:rsidRDefault="00FA3E41" w:rsidP="00FA3E41">
      <w:r>
        <w:t>We would expect measures such as CPI to have the most noticeable impact when trading debt instruments. If CPI remains high, intuition suggests wanting to be less exposed to risky assets (equities), and increase exposure to inflation-protection assets (commodities). If CPI remains low, we would want to do the contrary.</w:t>
      </w:r>
    </w:p>
    <w:p w14:paraId="139E6B46" w14:textId="0BE5A707" w:rsidR="00FA3E41" w:rsidRDefault="00FA3E41" w:rsidP="00FA3E41">
      <w:r>
        <w:t xml:space="preserve">How, then, can we make use of the intuition behind these values? </w:t>
      </w:r>
    </w:p>
    <w:p w14:paraId="41ABF5B0" w14:textId="77777777" w:rsidR="00915FD0" w:rsidRPr="00915FD0" w:rsidRDefault="00915FD0" w:rsidP="00915FD0">
      <w:pPr>
        <w:rPr>
          <w:i/>
          <w:iCs/>
        </w:rPr>
      </w:pPr>
      <w:r w:rsidRPr="00915FD0">
        <w:rPr>
          <w:i/>
          <w:iCs/>
        </w:rPr>
        <w:t xml:space="preserve">Note that we are not discussing the relationship of the level of interest rates, which is an important consideration when evaluating whether a given CPI trend is good or bad for risky assets. </w:t>
      </w:r>
    </w:p>
    <w:p w14:paraId="08911A55" w14:textId="77777777" w:rsidR="00915FD0" w:rsidRDefault="00915FD0" w:rsidP="00FA3E41"/>
    <w:p w14:paraId="17C22D1E" w14:textId="7371147D" w:rsidR="00915FD0" w:rsidRDefault="00915FD0" w:rsidP="00915FD0">
      <w:pPr>
        <w:pStyle w:val="Heading2"/>
      </w:pPr>
      <w:r>
        <w:lastRenderedPageBreak/>
        <w:t xml:space="preserve">Exploratory Plots </w:t>
      </w:r>
    </w:p>
    <w:p w14:paraId="3F86080A" w14:textId="0AF7604A" w:rsidR="00FA3E41" w:rsidRDefault="002B4849" w:rsidP="00FA3E41">
      <w:pPr>
        <w:keepNext/>
      </w:pPr>
      <w:commentRangeStart w:id="1"/>
      <w:commentRangeEnd w:id="1"/>
      <w:r>
        <w:rPr>
          <w:rStyle w:val="CommentReference"/>
        </w:rPr>
        <w:commentReference w:id="1"/>
      </w:r>
      <w:r w:rsidR="00827511" w:rsidRPr="00827511">
        <w:rPr>
          <w:noProof/>
        </w:rPr>
        <w:t xml:space="preserve"> </w:t>
      </w:r>
      <w:r w:rsidR="00A967B5">
        <w:rPr>
          <w:noProof/>
        </w:rPr>
        <w:drawing>
          <wp:inline distT="0" distB="0" distL="0" distR="0" wp14:anchorId="4F359DEB" wp14:editId="7595343F">
            <wp:extent cx="3924030" cy="2557387"/>
            <wp:effectExtent l="0" t="0" r="635" b="14605"/>
            <wp:docPr id="2008321674" name="Chart 1">
              <a:extLst xmlns:a="http://schemas.openxmlformats.org/drawingml/2006/main">
                <a:ext uri="{FF2B5EF4-FFF2-40B4-BE49-F238E27FC236}">
                  <a16:creationId xmlns:a16="http://schemas.microsoft.com/office/drawing/2014/main" id="{0550F292-B7E0-2293-14BD-042D8DBD9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EF3689" w14:textId="77777777" w:rsidR="00FA3E41" w:rsidRDefault="00FA3E41" w:rsidP="00FA3E4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SPY vs CPI YoY</w:t>
      </w:r>
    </w:p>
    <w:p w14:paraId="66354D5C" w14:textId="7C60B34B" w:rsidR="00FA3E41" w:rsidRDefault="00FA3E41" w:rsidP="00FA3E41">
      <w:r>
        <w:t xml:space="preserve">Looking at a time-series plot of SPY vs CPI YoY (figure 1), it’s clear that CPI lags the broader equities market. </w:t>
      </w:r>
      <w:r w:rsidR="006008BA">
        <w:t xml:space="preserve">CPI alone is not likely to predict future equity returns. </w:t>
      </w:r>
    </w:p>
    <w:p w14:paraId="25E59DC3" w14:textId="5CC1722D" w:rsidR="00FA3E41" w:rsidRDefault="00FA3E41" w:rsidP="00FA3E41"/>
    <w:p w14:paraId="74E2056C" w14:textId="457F0889" w:rsidR="00FA3E41" w:rsidRDefault="006008BA" w:rsidP="00FA3E41">
      <w:r>
        <w:rPr>
          <w:noProof/>
        </w:rPr>
        <w:drawing>
          <wp:inline distT="0" distB="0" distL="0" distR="0" wp14:anchorId="03FB849C" wp14:editId="780253F6">
            <wp:extent cx="3978695" cy="2557387"/>
            <wp:effectExtent l="0" t="0" r="3175" b="14605"/>
            <wp:docPr id="2003485914" name="Chart 1">
              <a:extLst xmlns:a="http://schemas.openxmlformats.org/drawingml/2006/main">
                <a:ext uri="{FF2B5EF4-FFF2-40B4-BE49-F238E27FC236}">
                  <a16:creationId xmlns:a16="http://schemas.microsoft.com/office/drawing/2014/main" id="{9F5EE875-E581-4E82-B45D-46374FBD8F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F94FB7" w14:textId="0DB7CF9C" w:rsidR="00C5419C" w:rsidRDefault="00C5419C" w:rsidP="00C5419C">
      <w:pPr>
        <w:pStyle w:val="Caption"/>
      </w:pPr>
      <w:r>
        <w:t>Figure 2 – Naïve Vol &amp; 60/40 vs CPI YoY</w:t>
      </w:r>
    </w:p>
    <w:p w14:paraId="3E3E77F9" w14:textId="7E5A558F" w:rsidR="00C5419C" w:rsidRPr="00C5419C" w:rsidRDefault="00C5419C" w:rsidP="00C5419C">
      <w:r>
        <w:t xml:space="preserve">Examining the plot of a poor man’s risk parity (naïve vol) and a 60/40 portfolio vs CPI, again, we find that CPI appears to lag changes in these strategy returns. </w:t>
      </w:r>
    </w:p>
    <w:p w14:paraId="612D1189" w14:textId="5BEBA450" w:rsidR="001E057A" w:rsidRDefault="001E057A" w:rsidP="001E057A">
      <w:pPr>
        <w:pStyle w:val="Heading2"/>
        <w:rPr>
          <w:b/>
          <w:bCs/>
        </w:rPr>
      </w:pPr>
      <w:r w:rsidRPr="001E057A">
        <w:rPr>
          <w:b/>
          <w:bCs/>
        </w:rPr>
        <w:t>Methodology</w:t>
      </w:r>
    </w:p>
    <w:p w14:paraId="0B4F7A1F" w14:textId="030CB2C3" w:rsidR="001F2C95" w:rsidRPr="001F2C95" w:rsidRDefault="001F2C95" w:rsidP="001F2C95">
      <w:r>
        <w:t>The instrument set used is comprised primarily of US-listed ETFs with the majority of their risk exposure being domiciled in the US.</w:t>
      </w:r>
    </w:p>
    <w:p w14:paraId="72E84AFB" w14:textId="1E23520C" w:rsidR="00783F73" w:rsidRDefault="00783F73" w:rsidP="00783F73">
      <w:r>
        <w:t xml:space="preserve">Total return indices are created for each ETF used in the study, along with two representative portfolios of traditional asset allocation strategies. One is a 60/40 Stocks/Bonds portfolio, and another is a naïve volatility-weighted multi-asset portfolio, which includes debt, equity and commodities exposure. </w:t>
      </w:r>
    </w:p>
    <w:p w14:paraId="1E30443F" w14:textId="40E82333" w:rsidR="003F3486" w:rsidRDefault="00783F73" w:rsidP="00783F73">
      <w:r>
        <w:t xml:space="preserve">These total return indices are then used </w:t>
      </w:r>
      <w:r w:rsidR="003F3486">
        <w:t xml:space="preserve">along with </w:t>
      </w:r>
      <w:proofErr w:type="spellStart"/>
      <w:r w:rsidR="003F3486">
        <w:t>Turnleaf</w:t>
      </w:r>
      <w:proofErr w:type="spellEnd"/>
      <w:r w:rsidR="003F3486">
        <w:t xml:space="preserve"> Analytics’ CPI &amp; ISM forecasts to construct </w:t>
      </w:r>
      <w:r>
        <w:t>trading rules</w:t>
      </w:r>
      <w:r w:rsidR="003F3486">
        <w:t xml:space="preserve"> using </w:t>
      </w:r>
      <w:r w:rsidR="00402E2C">
        <w:t xml:space="preserve">a model-driven trading rule. </w:t>
      </w:r>
    </w:p>
    <w:p w14:paraId="04A6E4DA" w14:textId="529AF831" w:rsidR="00783F73" w:rsidRPr="00783F73" w:rsidRDefault="003F3486" w:rsidP="00783F73">
      <w:r>
        <w:lastRenderedPageBreak/>
        <w:t xml:space="preserve">The trading strategies examined include a long/short trading method and a long-only trading method. The long-short strategy allows entering short positions and assumes 0 financing cost; the long-only trading method does not allow entering short positions, and the decisions possible are to be long an asset, or to be flat. </w:t>
      </w:r>
    </w:p>
    <w:p w14:paraId="3208D163" w14:textId="20014472" w:rsidR="003F3486" w:rsidRDefault="003F3486" w:rsidP="003F3486">
      <w:pPr>
        <w:pStyle w:val="Heading3"/>
      </w:pPr>
      <w:r>
        <w:t>Trading Rules</w:t>
      </w:r>
    </w:p>
    <w:p w14:paraId="2C75CD6A" w14:textId="6469C098" w:rsidR="003F3486" w:rsidRDefault="00373FBE" w:rsidP="00373FBE">
      <w:pPr>
        <w:pStyle w:val="Heading4"/>
      </w:pPr>
      <w:r>
        <w:t>Intuition</w:t>
      </w:r>
      <w:r w:rsidR="00CE70D6">
        <w:t xml:space="preserve"> Behind PMI / NMI</w:t>
      </w:r>
    </w:p>
    <w:p w14:paraId="57F9002E" w14:textId="32A8829E" w:rsidR="00CE70D6" w:rsidRDefault="00CE70D6" w:rsidP="00CE70D6">
      <w:r>
        <w:t>Generally speaking, the interpretation of PMI and NMI values is straight forward. PMI and NMI both range from 0-100. If PMI is above 50, it can be viewed as an indication that the manufacturing sector is expanding. If PMI == 50, there is no change, and if PMI is below 50, the manufacturing sector is contracting.</w:t>
      </w:r>
    </w:p>
    <w:p w14:paraId="10BE268D" w14:textId="16EA1CA8" w:rsidR="00CE70D6" w:rsidRDefault="00CE70D6" w:rsidP="00CE70D6">
      <w:r>
        <w:t xml:space="preserve">Similarly for NMI – values above 50 indicate the non-manufacturing sector (services) is expanding; NMI == 50 indicates no change, and values below 50 indicate a contraction in the non-manufacturing sectors. </w:t>
      </w:r>
    </w:p>
    <w:p w14:paraId="23A0755D" w14:textId="11D32C7D" w:rsidR="00CE70D6" w:rsidRDefault="00CE70D6" w:rsidP="00CE70D6">
      <w:r>
        <w:t xml:space="preserve">If PMI and NMI are persistently above 50, our intuition suggests that an economic expansion is underway and this should be reflected in equity (risky) markets. On the contrary, if PMI and NMI are persistently below 50, we would expect that less risky assets would be outperforming. </w:t>
      </w:r>
    </w:p>
    <w:p w14:paraId="38724B9C" w14:textId="37FF20F2" w:rsidR="00BD296C" w:rsidRDefault="00FB2D24" w:rsidP="00FB2D24">
      <w:pPr>
        <w:pStyle w:val="Heading4"/>
      </w:pPr>
      <w:r>
        <w:t>Feature Design</w:t>
      </w:r>
    </w:p>
    <w:p w14:paraId="0A425BAB" w14:textId="08609449" w:rsidR="003C04C0" w:rsidRDefault="003C04C0" w:rsidP="003C04C0">
      <w:r>
        <w:t xml:space="preserve">What if we can partition the next-period returns using either CPI or PMI/NMI? </w:t>
      </w:r>
      <w:r w:rsidR="00DE3E91">
        <w:t>We construct a trailing sample median of CPI, PMI and NMI using a 36-month rolling window. Next, we look at various</w:t>
      </w:r>
      <w:r w:rsidR="004471F0">
        <w:t xml:space="preserve"> </w:t>
      </w:r>
      <w:r w:rsidR="00DE3E91">
        <w:t xml:space="preserve">forecasts and create binary variables of each measure based on whether the forecast is above the trailing median or below. Intuitively, this gives some insight into the direction the measure is headed up to 12 months forward. </w:t>
      </w:r>
    </w:p>
    <w:p w14:paraId="6A2B4FE6" w14:textId="02C4B283" w:rsidR="00DE3E91" w:rsidRDefault="00DE3E91" w:rsidP="003C04C0">
      <w:r>
        <w:t xml:space="preserve">Next, we examine scatter plots of Equities (SPY) and Debt (AGG), with monthly returns on the y-axis and trailing CPI median on the x-axis. </w:t>
      </w:r>
    </w:p>
    <w:p w14:paraId="76A6C0B1" w14:textId="77777777" w:rsidR="00402E2C" w:rsidRDefault="00402E2C" w:rsidP="003C04C0"/>
    <w:p w14:paraId="1B9D3EF9" w14:textId="6C801E6A" w:rsidR="003C04C0" w:rsidRDefault="003C04C0" w:rsidP="003C04C0">
      <w:pPr>
        <w:keepNext/>
      </w:pPr>
      <w:commentRangeStart w:id="2"/>
      <w:r>
        <w:rPr>
          <w:noProof/>
        </w:rPr>
        <w:drawing>
          <wp:inline distT="0" distB="0" distL="0" distR="0" wp14:anchorId="464600A6" wp14:editId="11C9BF94">
            <wp:extent cx="3104406" cy="1934511"/>
            <wp:effectExtent l="0" t="0" r="1270" b="8890"/>
            <wp:docPr id="81399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809" cy="1941617"/>
                    </a:xfrm>
                    <a:prstGeom prst="rect">
                      <a:avLst/>
                    </a:prstGeom>
                    <a:noFill/>
                    <a:ln>
                      <a:noFill/>
                    </a:ln>
                  </pic:spPr>
                </pic:pic>
              </a:graphicData>
            </a:graphic>
          </wp:inline>
        </w:drawing>
      </w:r>
      <w:commentRangeEnd w:id="2"/>
      <w:r w:rsidR="002B4849">
        <w:rPr>
          <w:rStyle w:val="CommentReference"/>
        </w:rPr>
        <w:commentReference w:id="2"/>
      </w:r>
      <w:r w:rsidR="00DE3E91">
        <w:rPr>
          <w:noProof/>
        </w:rPr>
        <w:drawing>
          <wp:inline distT="0" distB="0" distL="0" distR="0" wp14:anchorId="0A1BAEDD" wp14:editId="63100C8E">
            <wp:extent cx="2996906" cy="1833040"/>
            <wp:effectExtent l="0" t="0" r="0" b="0"/>
            <wp:docPr id="1832161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3987" cy="1855720"/>
                    </a:xfrm>
                    <a:prstGeom prst="rect">
                      <a:avLst/>
                    </a:prstGeom>
                    <a:noFill/>
                    <a:ln>
                      <a:noFill/>
                    </a:ln>
                  </pic:spPr>
                </pic:pic>
              </a:graphicData>
            </a:graphic>
          </wp:inline>
        </w:drawing>
      </w:r>
    </w:p>
    <w:p w14:paraId="630AEDED" w14:textId="67FA7E50" w:rsidR="003C04C0" w:rsidRDefault="003C04C0" w:rsidP="00DE3E91">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SPY Returns vs 12-month trailing median CPI</w:t>
      </w:r>
      <w:r w:rsidR="00DE3E91">
        <w:tab/>
      </w:r>
      <w:r w:rsidR="00DE3E91">
        <w:tab/>
      </w:r>
      <w:r>
        <w:t xml:space="preserve">Figure </w:t>
      </w:r>
      <w:r>
        <w:fldChar w:fldCharType="begin"/>
      </w:r>
      <w:r>
        <w:instrText xml:space="preserve"> SEQ Figure \* ARABIC </w:instrText>
      </w:r>
      <w:r>
        <w:fldChar w:fldCharType="separate"/>
      </w:r>
      <w:r>
        <w:rPr>
          <w:noProof/>
        </w:rPr>
        <w:t>4</w:t>
      </w:r>
      <w:r>
        <w:fldChar w:fldCharType="end"/>
      </w:r>
      <w:r>
        <w:t xml:space="preserve"> - AGG returns vs 12-month trailing median CPI</w:t>
      </w:r>
    </w:p>
    <w:p w14:paraId="116AB669" w14:textId="2DBA24BE" w:rsidR="00BA6CB1" w:rsidRDefault="003C04C0">
      <w:r>
        <w:t xml:space="preserve">Examining the scatter plots in Figures 3 and 4, </w:t>
      </w:r>
      <w:r w:rsidR="00EA341C">
        <w:t>we find what looks to be a partitioning scheme emerging.</w:t>
      </w:r>
      <w:r>
        <w:t xml:space="preserve"> looks more promising. While far from a crystal ball, the expected return of an asset </w:t>
      </w:r>
      <w:r>
        <w:rPr>
          <w:i/>
          <w:iCs/>
        </w:rPr>
        <w:t>may</w:t>
      </w:r>
      <w:r>
        <w:t xml:space="preserve"> have a conditional relationship on CPI’s recent relative level. </w:t>
      </w:r>
    </w:p>
    <w:p w14:paraId="16F0362B" w14:textId="7012206A" w:rsidR="007E06F3" w:rsidRDefault="00EA341C">
      <w:r>
        <w:t>Using this approach with PMI and NMI, along with CPI, we construct a series of factors that aim to capture the intuition described earlier. Using the forecasts of CPI, NMI, PMI for the 1-month, 3-month, 6-month</w:t>
      </w:r>
      <w:r w:rsidR="00BD296C">
        <w:t>, 9-month</w:t>
      </w:r>
      <w:r>
        <w:t xml:space="preserve"> and </w:t>
      </w:r>
      <w:r w:rsidR="00BD296C">
        <w:t>12</w:t>
      </w:r>
      <w:r>
        <w:t>-month periods, a series of factors are created as follows:</w:t>
      </w:r>
    </w:p>
    <w:p w14:paraId="49F22D71" w14:textId="70A915BE" w:rsidR="00EA341C" w:rsidRDefault="00EA341C" w:rsidP="00EA341C">
      <w:pPr>
        <w:pStyle w:val="ListParagraph"/>
        <w:numPr>
          <w:ilvl w:val="0"/>
          <w:numId w:val="1"/>
        </w:numPr>
      </w:pPr>
      <w:r>
        <w:t>Above</w:t>
      </w:r>
      <w:r w:rsidR="00BD296C">
        <w:t>/below</w:t>
      </w:r>
      <w:r>
        <w:t xml:space="preserve"> </w:t>
      </w:r>
      <w:r w:rsidR="00BD296C">
        <w:t>a threshold (trailing 3-year median) for all periodicities</w:t>
      </w:r>
    </w:p>
    <w:p w14:paraId="25118D5D" w14:textId="7F528284" w:rsidR="00BD296C" w:rsidRDefault="00BD296C" w:rsidP="00EA341C">
      <w:pPr>
        <w:pStyle w:val="ListParagraph"/>
        <w:numPr>
          <w:ilvl w:val="0"/>
          <w:numId w:val="1"/>
        </w:numPr>
      </w:pPr>
      <w:r>
        <w:t>Differential between consensus estimates and CPI/PMI/NMI forecasts</w:t>
      </w:r>
    </w:p>
    <w:p w14:paraId="30788478" w14:textId="77777777" w:rsidR="00DE3E91" w:rsidRDefault="00DE3E91" w:rsidP="00B1608E">
      <w:pPr>
        <w:pStyle w:val="Heading2"/>
      </w:pPr>
    </w:p>
    <w:p w14:paraId="32C2ACAE" w14:textId="3D4C3ACC" w:rsidR="00090682" w:rsidRDefault="00090682" w:rsidP="00B1608E">
      <w:pPr>
        <w:pStyle w:val="Heading2"/>
      </w:pPr>
      <w:r>
        <w:t>Logistic Regression &amp; Trading Strategy Returns</w:t>
      </w:r>
    </w:p>
    <w:p w14:paraId="74BAC0CA" w14:textId="654A2A96" w:rsidR="00EA04F8" w:rsidRDefault="00A74116" w:rsidP="00EA04F8">
      <w:r>
        <w:t>Only a subset of the instruments used in the study are represented below to reduce chart clutter. Further, the key points, both good and bad, are able to be observed in this subset. For each asset class, some winners and some losers were chosen for visualization. As with many model-driven strategies, the same model does not work unilaterally across all related products, and this model is no different in that regard.</w:t>
      </w:r>
    </w:p>
    <w:p w14:paraId="5443979A" w14:textId="42B789C0" w:rsidR="00A74116" w:rsidRPr="00A74116" w:rsidRDefault="00A74116" w:rsidP="00A74116">
      <w:pPr>
        <w:pStyle w:val="Heading4"/>
      </w:pPr>
      <w:r w:rsidRPr="00A74116">
        <w:t>Definitions</w:t>
      </w:r>
    </w:p>
    <w:p w14:paraId="78BC1575" w14:textId="2D5C9818" w:rsidR="00EA04F8" w:rsidRDefault="00EA04F8" w:rsidP="00EA04F8">
      <w:r w:rsidRPr="00EA04F8">
        <w:rPr>
          <w:b/>
          <w:bCs/>
          <w:i/>
          <w:iCs/>
        </w:rPr>
        <w:t>Baseline strategy</w:t>
      </w:r>
      <w:r>
        <w:t xml:space="preserve"> refers to holding the underlying asset passively throughout the entire sample period.</w:t>
      </w:r>
    </w:p>
    <w:p w14:paraId="6BC331ED" w14:textId="525140F8" w:rsidR="00EA04F8" w:rsidRDefault="00EA04F8" w:rsidP="00EA04F8">
      <w:r w:rsidRPr="00EA04F8">
        <w:rPr>
          <w:b/>
          <w:bCs/>
          <w:i/>
          <w:iCs/>
        </w:rPr>
        <w:t>Model-driven long-only</w:t>
      </w:r>
      <w:r>
        <w:t xml:space="preserve"> refers to entering either </w:t>
      </w:r>
      <w:r w:rsidR="000877E6">
        <w:t>l</w:t>
      </w:r>
      <w:r>
        <w:t xml:space="preserve">ong positions in the asset or being flat (uninvested) in the asset. The decision to be long or flat depends on the output of the logistic regression model. </w:t>
      </w:r>
    </w:p>
    <w:p w14:paraId="0AF871CD" w14:textId="783284A2" w:rsidR="00E609E9" w:rsidRDefault="00EA04F8" w:rsidP="00EA04F8">
      <w:commentRangeStart w:id="3"/>
      <w:r w:rsidRPr="00EA04F8">
        <w:rPr>
          <w:b/>
          <w:bCs/>
          <w:i/>
          <w:iCs/>
        </w:rPr>
        <w:t>Model-driven long/short</w:t>
      </w:r>
      <w:r>
        <w:t xml:space="preserve"> refers to a strategy which allows taking long and short positions. The same logistic regression model that is used for the model-driven long-only strategy. This assumes 0 financing costs (what a wonderful world that would be). </w:t>
      </w:r>
      <w:commentRangeEnd w:id="3"/>
      <w:r w:rsidR="002B4849">
        <w:rPr>
          <w:rStyle w:val="CommentReference"/>
        </w:rPr>
        <w:commentReference w:id="3"/>
      </w:r>
    </w:p>
    <w:p w14:paraId="360F84CE" w14:textId="6D15547E" w:rsidR="00DE3E91" w:rsidRDefault="00DE3E91" w:rsidP="00DE3E91">
      <w:pPr>
        <w:pStyle w:val="Heading4"/>
      </w:pPr>
      <w:r>
        <w:t>Variable Selection</w:t>
      </w:r>
    </w:p>
    <w:p w14:paraId="46BFBA5F" w14:textId="77777777" w:rsidR="00FC19A4" w:rsidRDefault="00DE3E91" w:rsidP="00DE3E91">
      <w:r>
        <w:t xml:space="preserve">If we consider all possible variations of the features described earlier, we end up with </w:t>
      </w:r>
      <w:r w:rsidR="00FC19A4">
        <w:t xml:space="preserve">nearly as many features as the number of sample data points, so some feature removal is necessary. To remove unnecessary variables, we train a logistic regression on all ETFs using variations totaling 33 features and examine their coefficients by asset class. There are some features, in particular those extending out beyond the 9month horizon, whose coefficients are consistently near 0, so these are removed from the feature matrix. Next, we look for frequent changes in sign of a coefficient. </w:t>
      </w:r>
    </w:p>
    <w:p w14:paraId="4BFEAA5D" w14:textId="5340492F" w:rsidR="00FC19A4" w:rsidRPr="00FC19A4" w:rsidRDefault="00FC19A4" w:rsidP="00DE3E91">
      <w:pPr>
        <w:rPr>
          <w:rFonts w:eastAsiaTheme="minorEastAsia"/>
        </w:rPr>
      </w:pPr>
      <w:r>
        <w:t xml:space="preserve">For example, consider the coefficients for 1-month CPI above threshold, 2-month CPI above threshold, 3-month CPI above threshold, termed </w:t>
      </w:r>
      <m:oMath>
        <m:sSub>
          <m:sSubPr>
            <m:ctrlPr>
              <w:rPr>
                <w:rFonts w:ascii="Cambria Math" w:hAnsi="Cambria Math"/>
                <w:i/>
              </w:rPr>
            </m:ctrlPr>
          </m:sSubPr>
          <m:e>
            <m:r>
              <w:rPr>
                <w:rFonts w:ascii="Cambria Math" w:hAnsi="Cambria Math"/>
              </w:rPr>
              <m:t>x</m:t>
            </m:r>
          </m:e>
          <m:sub>
            <m:r>
              <w:rPr>
                <w:rFonts w:ascii="Cambria Math" w:hAnsi="Cambria Math"/>
              </w:rPr>
              <m:t>1m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m:t>
            </m:r>
          </m:sub>
        </m:sSub>
      </m:oMath>
      <w:r>
        <w:rPr>
          <w:rFonts w:eastAsiaTheme="minorEastAsia"/>
        </w:rPr>
        <w:t xml:space="preserve"> and their corresponding coefficients,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cpi1m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cpi2m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cpi3m</m:t>
            </m:r>
          </m:sub>
        </m:sSub>
      </m:oMath>
      <w:r>
        <w:rPr>
          <w:rFonts w:eastAsiaTheme="minorEastAsia"/>
        </w:rPr>
        <w:t xml:space="preserve">. If the respective signs for each of these coefficients are </w:t>
      </w:r>
      <m:oMath>
        <m:r>
          <w:rPr>
            <w:rFonts w:ascii="Cambria Math" w:eastAsiaTheme="minorEastAsia" w:hAnsi="Cambria Math"/>
          </w:rPr>
          <m:t>+, -, +</m:t>
        </m:r>
      </m:oMath>
      <w:r>
        <w:rPr>
          <w:rFonts w:eastAsiaTheme="minorEastAsia"/>
        </w:rPr>
        <w:t xml:space="preserve">, combined with a low likelihood that the coefficients are significantly different than 0, then these variables are likely not informative and are also removed from the feature set. </w:t>
      </w:r>
    </w:p>
    <w:p w14:paraId="73A5D207" w14:textId="77777777" w:rsidR="001C0E90" w:rsidRDefault="001C0E90" w:rsidP="00DE3E91">
      <w:pPr>
        <w:pStyle w:val="Heading4"/>
      </w:pPr>
    </w:p>
    <w:p w14:paraId="0C465898" w14:textId="4E001155" w:rsidR="00DE3E91" w:rsidRDefault="00DE3E91" w:rsidP="00DE3E91">
      <w:pPr>
        <w:pStyle w:val="Heading4"/>
      </w:pPr>
      <w:r>
        <w:t>Model Training</w:t>
      </w:r>
    </w:p>
    <w:p w14:paraId="79238034" w14:textId="5E160A6A" w:rsidR="00DE3E91" w:rsidRPr="00DE3E91" w:rsidRDefault="00DE3E91" w:rsidP="00DE3E91">
      <w:r>
        <w:t xml:space="preserve">A logistic regression model was trained using the same features for all ETFs. </w:t>
      </w:r>
      <w:r w:rsidR="00FC19A4">
        <w:t xml:space="preserve">The models were setup to predict whether the next-month return would be positive or negative. In other words, should we buy or sell an asset given the information contained in the feature variables. The models are fit using the prior 36 months of historical data, and are used to predict the next month return direction; they are re-fit every sample period with a rolling 36-month window. </w:t>
      </w:r>
    </w:p>
    <w:p w14:paraId="0EAFE08E" w14:textId="37DAA106" w:rsidR="00DE3E91" w:rsidRDefault="00EB4CED" w:rsidP="002B4849">
      <w:pPr>
        <w:pStyle w:val="Heading3"/>
      </w:pPr>
      <w:commentRangeStart w:id="4"/>
      <w:r>
        <w:t>Model Results</w:t>
      </w:r>
      <w:commentRangeEnd w:id="4"/>
      <w:r>
        <w:rPr>
          <w:rStyle w:val="CommentReference"/>
          <w:rFonts w:asciiTheme="minorHAnsi" w:eastAsiaTheme="minorHAnsi" w:hAnsiTheme="minorHAnsi" w:cstheme="minorBidi"/>
          <w:color w:val="auto"/>
        </w:rPr>
        <w:commentReference w:id="4"/>
      </w:r>
    </w:p>
    <w:p w14:paraId="4A8CDC25" w14:textId="5FC99FF7" w:rsidR="00EB4CED" w:rsidRPr="00724BAF" w:rsidRDefault="00724BAF" w:rsidP="00EB4CED">
      <w:pPr>
        <w:rPr>
          <w:color w:val="FF0000"/>
          <w:sz w:val="32"/>
          <w:szCs w:val="32"/>
        </w:rPr>
      </w:pPr>
      <w:r w:rsidRPr="00724BAF">
        <w:rPr>
          <w:color w:val="FF0000"/>
          <w:sz w:val="32"/>
          <w:szCs w:val="32"/>
        </w:rPr>
        <w:t>[summarize model results]</w:t>
      </w:r>
    </w:p>
    <w:p w14:paraId="2E98FA48" w14:textId="403A1120" w:rsidR="002B4849" w:rsidRPr="002B4849" w:rsidRDefault="002B4849" w:rsidP="002B4849">
      <w:pPr>
        <w:pStyle w:val="Heading3"/>
      </w:pPr>
      <w:r w:rsidRPr="002B4849">
        <w:t>ETF Reference Table</w:t>
      </w:r>
    </w:p>
    <w:tbl>
      <w:tblPr>
        <w:tblW w:w="8040" w:type="dxa"/>
        <w:tblLook w:val="04A0" w:firstRow="1" w:lastRow="0" w:firstColumn="1" w:lastColumn="0" w:noHBand="0" w:noVBand="1"/>
      </w:tblPr>
      <w:tblGrid>
        <w:gridCol w:w="1440"/>
        <w:gridCol w:w="1160"/>
        <w:gridCol w:w="5440"/>
      </w:tblGrid>
      <w:tr w:rsidR="002B4849" w:rsidRPr="003F3486" w14:paraId="4991E8C0" w14:textId="77777777" w:rsidTr="005609E0">
        <w:trPr>
          <w:trHeight w:val="290"/>
        </w:trPr>
        <w:tc>
          <w:tcPr>
            <w:tcW w:w="1440" w:type="dxa"/>
            <w:tcBorders>
              <w:top w:val="single" w:sz="4" w:space="0" w:color="auto"/>
              <w:left w:val="single" w:sz="4" w:space="0" w:color="auto"/>
              <w:bottom w:val="single" w:sz="4" w:space="0" w:color="auto"/>
              <w:right w:val="nil"/>
            </w:tcBorders>
            <w:shd w:val="clear" w:color="auto" w:fill="auto"/>
            <w:noWrap/>
            <w:vAlign w:val="bottom"/>
            <w:hideMark/>
          </w:tcPr>
          <w:p w14:paraId="08A298AA"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Class</w:t>
            </w:r>
          </w:p>
        </w:tc>
        <w:tc>
          <w:tcPr>
            <w:tcW w:w="1160" w:type="dxa"/>
            <w:tcBorders>
              <w:top w:val="single" w:sz="4" w:space="0" w:color="auto"/>
              <w:left w:val="nil"/>
              <w:bottom w:val="single" w:sz="4" w:space="0" w:color="auto"/>
              <w:right w:val="nil"/>
            </w:tcBorders>
            <w:shd w:val="clear" w:color="auto" w:fill="auto"/>
            <w:noWrap/>
            <w:vAlign w:val="bottom"/>
            <w:hideMark/>
          </w:tcPr>
          <w:p w14:paraId="60C76981"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Ticker</w:t>
            </w:r>
          </w:p>
        </w:tc>
        <w:tc>
          <w:tcPr>
            <w:tcW w:w="5440" w:type="dxa"/>
            <w:tcBorders>
              <w:top w:val="single" w:sz="4" w:space="0" w:color="auto"/>
              <w:left w:val="nil"/>
              <w:bottom w:val="single" w:sz="4" w:space="0" w:color="auto"/>
              <w:right w:val="single" w:sz="4" w:space="0" w:color="auto"/>
            </w:tcBorders>
            <w:shd w:val="clear" w:color="auto" w:fill="auto"/>
            <w:noWrap/>
            <w:vAlign w:val="bottom"/>
            <w:hideMark/>
          </w:tcPr>
          <w:p w14:paraId="5D275918"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Name</w:t>
            </w:r>
          </w:p>
        </w:tc>
      </w:tr>
      <w:tr w:rsidR="002B4849" w:rsidRPr="003F3486" w14:paraId="715773E8" w14:textId="77777777" w:rsidTr="005609E0">
        <w:trPr>
          <w:trHeight w:val="290"/>
        </w:trPr>
        <w:tc>
          <w:tcPr>
            <w:tcW w:w="1440" w:type="dxa"/>
            <w:tcBorders>
              <w:top w:val="nil"/>
              <w:left w:val="single" w:sz="4" w:space="0" w:color="auto"/>
              <w:bottom w:val="nil"/>
              <w:right w:val="nil"/>
            </w:tcBorders>
            <w:shd w:val="clear" w:color="000000" w:fill="DDEBF7"/>
            <w:noWrap/>
            <w:vAlign w:val="bottom"/>
            <w:hideMark/>
          </w:tcPr>
          <w:p w14:paraId="7D9AF154"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3C290CB7"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AGG</w:t>
            </w:r>
          </w:p>
        </w:tc>
        <w:tc>
          <w:tcPr>
            <w:tcW w:w="5440" w:type="dxa"/>
            <w:tcBorders>
              <w:top w:val="nil"/>
              <w:left w:val="nil"/>
              <w:bottom w:val="nil"/>
              <w:right w:val="single" w:sz="4" w:space="0" w:color="auto"/>
            </w:tcBorders>
            <w:shd w:val="clear" w:color="000000" w:fill="DDEBF7"/>
            <w:noWrap/>
            <w:vAlign w:val="bottom"/>
            <w:hideMark/>
          </w:tcPr>
          <w:p w14:paraId="0DD9A339"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iShares Core U.S. Aggregate Bond ETF</w:t>
            </w:r>
          </w:p>
        </w:tc>
      </w:tr>
      <w:tr w:rsidR="002B4849" w:rsidRPr="003F3486" w14:paraId="7BD8FFAF" w14:textId="77777777" w:rsidTr="005609E0">
        <w:trPr>
          <w:trHeight w:val="290"/>
        </w:trPr>
        <w:tc>
          <w:tcPr>
            <w:tcW w:w="1440" w:type="dxa"/>
            <w:tcBorders>
              <w:top w:val="nil"/>
              <w:left w:val="single" w:sz="4" w:space="0" w:color="auto"/>
              <w:bottom w:val="nil"/>
              <w:right w:val="nil"/>
            </w:tcBorders>
            <w:shd w:val="clear" w:color="000000" w:fill="DDEBF7"/>
            <w:noWrap/>
            <w:vAlign w:val="bottom"/>
            <w:hideMark/>
          </w:tcPr>
          <w:p w14:paraId="43067FF2"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6B6739B5"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VCIT</w:t>
            </w:r>
          </w:p>
        </w:tc>
        <w:tc>
          <w:tcPr>
            <w:tcW w:w="5440" w:type="dxa"/>
            <w:tcBorders>
              <w:top w:val="nil"/>
              <w:left w:val="nil"/>
              <w:bottom w:val="nil"/>
              <w:right w:val="single" w:sz="4" w:space="0" w:color="auto"/>
            </w:tcBorders>
            <w:shd w:val="clear" w:color="000000" w:fill="DDEBF7"/>
            <w:noWrap/>
            <w:vAlign w:val="bottom"/>
            <w:hideMark/>
          </w:tcPr>
          <w:p w14:paraId="721DC9F0"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Vanguard Intermediate-Term Corporate Bond ETF</w:t>
            </w:r>
          </w:p>
        </w:tc>
      </w:tr>
      <w:tr w:rsidR="002B4849" w:rsidRPr="003F3486" w14:paraId="3DBE56D1" w14:textId="77777777" w:rsidTr="005609E0">
        <w:trPr>
          <w:trHeight w:val="290"/>
        </w:trPr>
        <w:tc>
          <w:tcPr>
            <w:tcW w:w="1440" w:type="dxa"/>
            <w:tcBorders>
              <w:top w:val="nil"/>
              <w:left w:val="single" w:sz="4" w:space="0" w:color="auto"/>
              <w:bottom w:val="nil"/>
              <w:right w:val="nil"/>
            </w:tcBorders>
            <w:shd w:val="clear" w:color="000000" w:fill="DDEBF7"/>
            <w:noWrap/>
            <w:vAlign w:val="bottom"/>
            <w:hideMark/>
          </w:tcPr>
          <w:p w14:paraId="4ED5D462"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7C419E85"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SPIB</w:t>
            </w:r>
          </w:p>
        </w:tc>
        <w:tc>
          <w:tcPr>
            <w:tcW w:w="5440" w:type="dxa"/>
            <w:tcBorders>
              <w:top w:val="nil"/>
              <w:left w:val="nil"/>
              <w:bottom w:val="nil"/>
              <w:right w:val="single" w:sz="4" w:space="0" w:color="auto"/>
            </w:tcBorders>
            <w:shd w:val="clear" w:color="000000" w:fill="DDEBF7"/>
            <w:noWrap/>
            <w:vAlign w:val="bottom"/>
            <w:hideMark/>
          </w:tcPr>
          <w:p w14:paraId="7C6B5C3C"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Portfolio Intermediate Term Corporate Bond ETF</w:t>
            </w:r>
          </w:p>
        </w:tc>
      </w:tr>
      <w:tr w:rsidR="002B4849" w:rsidRPr="003F3486" w14:paraId="47E3CA70" w14:textId="77777777" w:rsidTr="005609E0">
        <w:trPr>
          <w:trHeight w:val="290"/>
        </w:trPr>
        <w:tc>
          <w:tcPr>
            <w:tcW w:w="1440" w:type="dxa"/>
            <w:tcBorders>
              <w:top w:val="nil"/>
              <w:left w:val="single" w:sz="4" w:space="0" w:color="auto"/>
              <w:bottom w:val="nil"/>
              <w:right w:val="nil"/>
            </w:tcBorders>
            <w:shd w:val="clear" w:color="000000" w:fill="DDEBF7"/>
            <w:noWrap/>
            <w:vAlign w:val="bottom"/>
            <w:hideMark/>
          </w:tcPr>
          <w:p w14:paraId="4A1574DB"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3430C2BC"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BSV</w:t>
            </w:r>
          </w:p>
        </w:tc>
        <w:tc>
          <w:tcPr>
            <w:tcW w:w="5440" w:type="dxa"/>
            <w:tcBorders>
              <w:top w:val="nil"/>
              <w:left w:val="nil"/>
              <w:bottom w:val="nil"/>
              <w:right w:val="single" w:sz="4" w:space="0" w:color="auto"/>
            </w:tcBorders>
            <w:shd w:val="clear" w:color="000000" w:fill="DDEBF7"/>
            <w:noWrap/>
            <w:vAlign w:val="bottom"/>
            <w:hideMark/>
          </w:tcPr>
          <w:p w14:paraId="4DAB8395"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Vanguard Short-Term Bond ETF</w:t>
            </w:r>
          </w:p>
        </w:tc>
      </w:tr>
      <w:tr w:rsidR="002B4849" w:rsidRPr="003F3486" w14:paraId="34654F1B" w14:textId="77777777" w:rsidTr="005609E0">
        <w:trPr>
          <w:trHeight w:val="290"/>
        </w:trPr>
        <w:tc>
          <w:tcPr>
            <w:tcW w:w="1440" w:type="dxa"/>
            <w:tcBorders>
              <w:top w:val="nil"/>
              <w:left w:val="single" w:sz="4" w:space="0" w:color="auto"/>
              <w:bottom w:val="nil"/>
              <w:right w:val="nil"/>
            </w:tcBorders>
            <w:shd w:val="clear" w:color="000000" w:fill="DDEBF7"/>
            <w:noWrap/>
            <w:vAlign w:val="bottom"/>
            <w:hideMark/>
          </w:tcPr>
          <w:p w14:paraId="08DA0654"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2F317D9D"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JNK</w:t>
            </w:r>
          </w:p>
        </w:tc>
        <w:tc>
          <w:tcPr>
            <w:tcW w:w="5440" w:type="dxa"/>
            <w:tcBorders>
              <w:top w:val="nil"/>
              <w:left w:val="nil"/>
              <w:bottom w:val="nil"/>
              <w:right w:val="single" w:sz="4" w:space="0" w:color="auto"/>
            </w:tcBorders>
            <w:shd w:val="clear" w:color="000000" w:fill="DDEBF7"/>
            <w:noWrap/>
            <w:vAlign w:val="bottom"/>
            <w:hideMark/>
          </w:tcPr>
          <w:p w14:paraId="18ACB340"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Bloomberg High Yield Bond ETF</w:t>
            </w:r>
          </w:p>
        </w:tc>
      </w:tr>
      <w:tr w:rsidR="002B4849" w:rsidRPr="003F3486" w14:paraId="47306BA2" w14:textId="77777777" w:rsidTr="005609E0">
        <w:trPr>
          <w:trHeight w:val="290"/>
        </w:trPr>
        <w:tc>
          <w:tcPr>
            <w:tcW w:w="1440" w:type="dxa"/>
            <w:tcBorders>
              <w:top w:val="nil"/>
              <w:left w:val="single" w:sz="4" w:space="0" w:color="auto"/>
              <w:bottom w:val="nil"/>
              <w:right w:val="nil"/>
            </w:tcBorders>
            <w:shd w:val="clear" w:color="000000" w:fill="DDEBF7"/>
            <w:noWrap/>
            <w:vAlign w:val="bottom"/>
            <w:hideMark/>
          </w:tcPr>
          <w:p w14:paraId="2D9882C5"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4EDD8FBD"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TBT</w:t>
            </w:r>
          </w:p>
        </w:tc>
        <w:tc>
          <w:tcPr>
            <w:tcW w:w="5440" w:type="dxa"/>
            <w:tcBorders>
              <w:top w:val="nil"/>
              <w:left w:val="nil"/>
              <w:bottom w:val="nil"/>
              <w:right w:val="single" w:sz="4" w:space="0" w:color="auto"/>
            </w:tcBorders>
            <w:shd w:val="clear" w:color="000000" w:fill="DDEBF7"/>
            <w:noWrap/>
            <w:vAlign w:val="bottom"/>
            <w:hideMark/>
          </w:tcPr>
          <w:p w14:paraId="24E02D23" w14:textId="77777777" w:rsidR="002B4849" w:rsidRPr="003F3486" w:rsidRDefault="002B4849" w:rsidP="005609E0">
            <w:pPr>
              <w:spacing w:after="0" w:line="240" w:lineRule="auto"/>
              <w:rPr>
                <w:rFonts w:ascii="Calibri" w:eastAsia="Times New Roman" w:hAnsi="Calibri" w:cs="Calibri"/>
                <w:color w:val="000000"/>
                <w:kern w:val="0"/>
                <w14:ligatures w14:val="none"/>
              </w:rPr>
            </w:pPr>
            <w:proofErr w:type="spellStart"/>
            <w:r w:rsidRPr="003F3486">
              <w:rPr>
                <w:rFonts w:ascii="Calibri" w:eastAsia="Times New Roman" w:hAnsi="Calibri" w:cs="Calibri"/>
                <w:color w:val="000000"/>
                <w:kern w:val="0"/>
                <w14:ligatures w14:val="none"/>
              </w:rPr>
              <w:t>ProShares</w:t>
            </w:r>
            <w:proofErr w:type="spellEnd"/>
            <w:r w:rsidRPr="003F3486">
              <w:rPr>
                <w:rFonts w:ascii="Calibri" w:eastAsia="Times New Roman" w:hAnsi="Calibri" w:cs="Calibri"/>
                <w:color w:val="000000"/>
                <w:kern w:val="0"/>
                <w14:ligatures w14:val="none"/>
              </w:rPr>
              <w:t xml:space="preserve"> </w:t>
            </w:r>
            <w:proofErr w:type="spellStart"/>
            <w:r w:rsidRPr="003F3486">
              <w:rPr>
                <w:rFonts w:ascii="Calibri" w:eastAsia="Times New Roman" w:hAnsi="Calibri" w:cs="Calibri"/>
                <w:color w:val="000000"/>
                <w:kern w:val="0"/>
                <w14:ligatures w14:val="none"/>
              </w:rPr>
              <w:t>UltraShort</w:t>
            </w:r>
            <w:proofErr w:type="spellEnd"/>
            <w:r w:rsidRPr="003F3486">
              <w:rPr>
                <w:rFonts w:ascii="Calibri" w:eastAsia="Times New Roman" w:hAnsi="Calibri" w:cs="Calibri"/>
                <w:color w:val="000000"/>
                <w:kern w:val="0"/>
                <w14:ligatures w14:val="none"/>
              </w:rPr>
              <w:t xml:space="preserve"> 20+ Year Treasury </w:t>
            </w:r>
            <w:r w:rsidRPr="003F3486">
              <w:rPr>
                <w:rFonts w:ascii="Calibri" w:eastAsia="Times New Roman" w:hAnsi="Calibri" w:cs="Calibri"/>
                <w:i/>
                <w:iCs/>
                <w:color w:val="000000"/>
                <w:kern w:val="0"/>
                <w14:ligatures w14:val="none"/>
              </w:rPr>
              <w:t>(Levered)</w:t>
            </w:r>
          </w:p>
        </w:tc>
      </w:tr>
      <w:tr w:rsidR="002B4849" w:rsidRPr="003F3486" w14:paraId="79AEAF8C" w14:textId="77777777" w:rsidTr="005609E0">
        <w:trPr>
          <w:trHeight w:val="300"/>
        </w:trPr>
        <w:tc>
          <w:tcPr>
            <w:tcW w:w="1440" w:type="dxa"/>
            <w:tcBorders>
              <w:top w:val="nil"/>
              <w:left w:val="single" w:sz="4" w:space="0" w:color="auto"/>
              <w:bottom w:val="nil"/>
              <w:right w:val="nil"/>
            </w:tcBorders>
            <w:shd w:val="clear" w:color="000000" w:fill="DDEBF7"/>
            <w:noWrap/>
            <w:vAlign w:val="bottom"/>
            <w:hideMark/>
          </w:tcPr>
          <w:p w14:paraId="279E107A"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75EADE00"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TMV</w:t>
            </w:r>
          </w:p>
        </w:tc>
        <w:tc>
          <w:tcPr>
            <w:tcW w:w="5440" w:type="dxa"/>
            <w:tcBorders>
              <w:top w:val="nil"/>
              <w:left w:val="nil"/>
              <w:bottom w:val="nil"/>
              <w:right w:val="single" w:sz="4" w:space="0" w:color="auto"/>
            </w:tcBorders>
            <w:shd w:val="clear" w:color="000000" w:fill="DDEBF7"/>
            <w:noWrap/>
            <w:vAlign w:val="bottom"/>
            <w:hideMark/>
          </w:tcPr>
          <w:p w14:paraId="4E53A35B" w14:textId="77777777" w:rsidR="002B4849" w:rsidRPr="003F3486" w:rsidRDefault="002B4849" w:rsidP="005609E0">
            <w:pPr>
              <w:spacing w:after="0" w:line="240" w:lineRule="auto"/>
              <w:rPr>
                <w:rFonts w:ascii="Calibri" w:eastAsia="Times New Roman" w:hAnsi="Calibri" w:cs="Calibri"/>
                <w:color w:val="000000"/>
                <w:kern w:val="0"/>
                <w14:ligatures w14:val="none"/>
              </w:rPr>
            </w:pPr>
            <w:proofErr w:type="spellStart"/>
            <w:r w:rsidRPr="003F3486">
              <w:rPr>
                <w:rFonts w:ascii="Calibri" w:eastAsia="Times New Roman" w:hAnsi="Calibri" w:cs="Calibri"/>
                <w:color w:val="000000"/>
                <w:kern w:val="0"/>
                <w14:ligatures w14:val="none"/>
              </w:rPr>
              <w:t>Direxion</w:t>
            </w:r>
            <w:proofErr w:type="spellEnd"/>
            <w:r w:rsidRPr="003F3486">
              <w:rPr>
                <w:rFonts w:ascii="Calibri" w:eastAsia="Times New Roman" w:hAnsi="Calibri" w:cs="Calibri"/>
                <w:color w:val="000000"/>
                <w:kern w:val="0"/>
                <w14:ligatures w14:val="none"/>
              </w:rPr>
              <w:t xml:space="preserve"> Daily 20 Year Plus Treasury Bear 3x Levered</w:t>
            </w:r>
          </w:p>
        </w:tc>
      </w:tr>
      <w:tr w:rsidR="002B4849" w:rsidRPr="003F3486" w14:paraId="41A5EC12" w14:textId="77777777" w:rsidTr="005609E0">
        <w:trPr>
          <w:trHeight w:val="290"/>
        </w:trPr>
        <w:tc>
          <w:tcPr>
            <w:tcW w:w="1440" w:type="dxa"/>
            <w:tcBorders>
              <w:top w:val="dashed" w:sz="8" w:space="0" w:color="808080"/>
              <w:left w:val="single" w:sz="4" w:space="0" w:color="auto"/>
              <w:bottom w:val="nil"/>
              <w:right w:val="nil"/>
            </w:tcBorders>
            <w:shd w:val="clear" w:color="000000" w:fill="DDEBF7"/>
            <w:noWrap/>
            <w:vAlign w:val="bottom"/>
            <w:hideMark/>
          </w:tcPr>
          <w:p w14:paraId="3D9197BA"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dashed" w:sz="8" w:space="0" w:color="808080"/>
              <w:left w:val="nil"/>
              <w:bottom w:val="nil"/>
              <w:right w:val="nil"/>
            </w:tcBorders>
            <w:shd w:val="clear" w:color="000000" w:fill="DDEBF7"/>
            <w:noWrap/>
            <w:vAlign w:val="bottom"/>
            <w:hideMark/>
          </w:tcPr>
          <w:p w14:paraId="15769CCE"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VCLT</w:t>
            </w:r>
          </w:p>
        </w:tc>
        <w:tc>
          <w:tcPr>
            <w:tcW w:w="5440" w:type="dxa"/>
            <w:tcBorders>
              <w:top w:val="dashed" w:sz="8" w:space="0" w:color="808080"/>
              <w:left w:val="nil"/>
              <w:bottom w:val="nil"/>
              <w:right w:val="single" w:sz="4" w:space="0" w:color="auto"/>
            </w:tcBorders>
            <w:shd w:val="clear" w:color="000000" w:fill="DDEBF7"/>
            <w:noWrap/>
            <w:vAlign w:val="bottom"/>
            <w:hideMark/>
          </w:tcPr>
          <w:p w14:paraId="026A4356"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Vanguard Long-Term Corporate Bond ETF</w:t>
            </w:r>
          </w:p>
        </w:tc>
      </w:tr>
      <w:tr w:rsidR="002B4849" w:rsidRPr="003F3486" w14:paraId="7B0EE43B" w14:textId="77777777" w:rsidTr="005609E0">
        <w:trPr>
          <w:trHeight w:val="290"/>
        </w:trPr>
        <w:tc>
          <w:tcPr>
            <w:tcW w:w="1440" w:type="dxa"/>
            <w:tcBorders>
              <w:top w:val="nil"/>
              <w:left w:val="single" w:sz="4" w:space="0" w:color="auto"/>
              <w:bottom w:val="nil"/>
              <w:right w:val="nil"/>
            </w:tcBorders>
            <w:shd w:val="clear" w:color="000000" w:fill="DDEBF7"/>
            <w:noWrap/>
            <w:vAlign w:val="bottom"/>
            <w:hideMark/>
          </w:tcPr>
          <w:p w14:paraId="155E405E"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nil"/>
              <w:right w:val="nil"/>
            </w:tcBorders>
            <w:shd w:val="clear" w:color="000000" w:fill="DDEBF7"/>
            <w:noWrap/>
            <w:vAlign w:val="bottom"/>
            <w:hideMark/>
          </w:tcPr>
          <w:p w14:paraId="5BD807C0"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LQD</w:t>
            </w:r>
          </w:p>
        </w:tc>
        <w:tc>
          <w:tcPr>
            <w:tcW w:w="5440" w:type="dxa"/>
            <w:tcBorders>
              <w:top w:val="nil"/>
              <w:left w:val="nil"/>
              <w:bottom w:val="nil"/>
              <w:right w:val="single" w:sz="4" w:space="0" w:color="auto"/>
            </w:tcBorders>
            <w:shd w:val="clear" w:color="000000" w:fill="DDEBF7"/>
            <w:noWrap/>
            <w:vAlign w:val="bottom"/>
            <w:hideMark/>
          </w:tcPr>
          <w:p w14:paraId="09AE3409"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 xml:space="preserve">iShares </w:t>
            </w:r>
            <w:proofErr w:type="spellStart"/>
            <w:r w:rsidRPr="003F3486">
              <w:rPr>
                <w:rFonts w:ascii="Calibri" w:eastAsia="Times New Roman" w:hAnsi="Calibri" w:cs="Calibri"/>
                <w:color w:val="000000"/>
                <w:kern w:val="0"/>
                <w14:ligatures w14:val="none"/>
              </w:rPr>
              <w:t>iBoxx</w:t>
            </w:r>
            <w:proofErr w:type="spellEnd"/>
            <w:r w:rsidRPr="003F3486">
              <w:rPr>
                <w:rFonts w:ascii="Calibri" w:eastAsia="Times New Roman" w:hAnsi="Calibri" w:cs="Calibri"/>
                <w:color w:val="000000"/>
                <w:kern w:val="0"/>
                <w14:ligatures w14:val="none"/>
              </w:rPr>
              <w:t xml:space="preserve"> $ Investment Grade Corporate Bond ETF</w:t>
            </w:r>
          </w:p>
        </w:tc>
      </w:tr>
      <w:tr w:rsidR="002B4849" w:rsidRPr="003F3486" w14:paraId="151D9EE7" w14:textId="77777777" w:rsidTr="005609E0">
        <w:trPr>
          <w:trHeight w:val="290"/>
        </w:trPr>
        <w:tc>
          <w:tcPr>
            <w:tcW w:w="1440" w:type="dxa"/>
            <w:tcBorders>
              <w:top w:val="nil"/>
              <w:left w:val="single" w:sz="4" w:space="0" w:color="auto"/>
              <w:bottom w:val="single" w:sz="4" w:space="0" w:color="auto"/>
              <w:right w:val="nil"/>
            </w:tcBorders>
            <w:shd w:val="clear" w:color="000000" w:fill="DDEBF7"/>
            <w:noWrap/>
            <w:vAlign w:val="bottom"/>
            <w:hideMark/>
          </w:tcPr>
          <w:p w14:paraId="055696A9"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Debt</w:t>
            </w:r>
          </w:p>
        </w:tc>
        <w:tc>
          <w:tcPr>
            <w:tcW w:w="1160" w:type="dxa"/>
            <w:tcBorders>
              <w:top w:val="nil"/>
              <w:left w:val="nil"/>
              <w:bottom w:val="single" w:sz="4" w:space="0" w:color="auto"/>
              <w:right w:val="nil"/>
            </w:tcBorders>
            <w:shd w:val="clear" w:color="000000" w:fill="DDEBF7"/>
            <w:noWrap/>
            <w:vAlign w:val="bottom"/>
            <w:hideMark/>
          </w:tcPr>
          <w:p w14:paraId="65DE822C"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TMF</w:t>
            </w:r>
          </w:p>
        </w:tc>
        <w:tc>
          <w:tcPr>
            <w:tcW w:w="5440" w:type="dxa"/>
            <w:tcBorders>
              <w:top w:val="nil"/>
              <w:left w:val="nil"/>
              <w:bottom w:val="single" w:sz="4" w:space="0" w:color="auto"/>
              <w:right w:val="single" w:sz="4" w:space="0" w:color="auto"/>
            </w:tcBorders>
            <w:shd w:val="clear" w:color="000000" w:fill="DDEBF7"/>
            <w:noWrap/>
            <w:vAlign w:val="bottom"/>
            <w:hideMark/>
          </w:tcPr>
          <w:p w14:paraId="2434B557" w14:textId="77777777" w:rsidR="002B4849" w:rsidRPr="003F3486" w:rsidRDefault="002B4849" w:rsidP="005609E0">
            <w:pPr>
              <w:spacing w:after="0" w:line="240" w:lineRule="auto"/>
              <w:rPr>
                <w:rFonts w:ascii="Calibri" w:eastAsia="Times New Roman" w:hAnsi="Calibri" w:cs="Calibri"/>
                <w:color w:val="000000"/>
                <w:kern w:val="0"/>
                <w14:ligatures w14:val="none"/>
              </w:rPr>
            </w:pPr>
            <w:proofErr w:type="spellStart"/>
            <w:r w:rsidRPr="003F3486">
              <w:rPr>
                <w:rFonts w:ascii="Calibri" w:eastAsia="Times New Roman" w:hAnsi="Calibri" w:cs="Calibri"/>
                <w:color w:val="000000"/>
                <w:kern w:val="0"/>
                <w14:ligatures w14:val="none"/>
              </w:rPr>
              <w:t>Direxion</w:t>
            </w:r>
            <w:proofErr w:type="spellEnd"/>
            <w:r w:rsidRPr="003F3486">
              <w:rPr>
                <w:rFonts w:ascii="Calibri" w:eastAsia="Times New Roman" w:hAnsi="Calibri" w:cs="Calibri"/>
                <w:color w:val="000000"/>
                <w:kern w:val="0"/>
                <w14:ligatures w14:val="none"/>
              </w:rPr>
              <w:t xml:space="preserve"> Daily 20 Year Plus Treasury Bull 3x Levered</w:t>
            </w:r>
          </w:p>
        </w:tc>
      </w:tr>
      <w:tr w:rsidR="002B4849" w:rsidRPr="003F3486" w14:paraId="57732C76" w14:textId="77777777" w:rsidTr="005609E0">
        <w:trPr>
          <w:trHeight w:val="290"/>
        </w:trPr>
        <w:tc>
          <w:tcPr>
            <w:tcW w:w="1440" w:type="dxa"/>
            <w:tcBorders>
              <w:top w:val="nil"/>
              <w:left w:val="single" w:sz="4" w:space="0" w:color="auto"/>
              <w:bottom w:val="nil"/>
              <w:right w:val="nil"/>
            </w:tcBorders>
            <w:shd w:val="clear" w:color="000000" w:fill="E2EFDA"/>
            <w:noWrap/>
            <w:vAlign w:val="bottom"/>
            <w:hideMark/>
          </w:tcPr>
          <w:p w14:paraId="2C65C4A8"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lastRenderedPageBreak/>
              <w:t>Equity</w:t>
            </w:r>
          </w:p>
        </w:tc>
        <w:tc>
          <w:tcPr>
            <w:tcW w:w="1160" w:type="dxa"/>
            <w:tcBorders>
              <w:top w:val="nil"/>
              <w:left w:val="nil"/>
              <w:bottom w:val="nil"/>
              <w:right w:val="nil"/>
            </w:tcBorders>
            <w:shd w:val="clear" w:color="000000" w:fill="E2EFDA"/>
            <w:noWrap/>
            <w:vAlign w:val="bottom"/>
            <w:hideMark/>
          </w:tcPr>
          <w:p w14:paraId="57363879"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SPY</w:t>
            </w:r>
          </w:p>
        </w:tc>
        <w:tc>
          <w:tcPr>
            <w:tcW w:w="5440" w:type="dxa"/>
            <w:tcBorders>
              <w:top w:val="nil"/>
              <w:left w:val="nil"/>
              <w:bottom w:val="nil"/>
              <w:right w:val="single" w:sz="4" w:space="0" w:color="auto"/>
            </w:tcBorders>
            <w:shd w:val="clear" w:color="000000" w:fill="E2EFDA"/>
            <w:noWrap/>
            <w:vAlign w:val="bottom"/>
            <w:hideMark/>
          </w:tcPr>
          <w:p w14:paraId="562152D2"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S&amp;P 500 ETF Trust</w:t>
            </w:r>
          </w:p>
        </w:tc>
      </w:tr>
      <w:tr w:rsidR="002B4849" w:rsidRPr="003F3486" w14:paraId="2739D2F4" w14:textId="77777777" w:rsidTr="005609E0">
        <w:trPr>
          <w:trHeight w:val="290"/>
        </w:trPr>
        <w:tc>
          <w:tcPr>
            <w:tcW w:w="1440" w:type="dxa"/>
            <w:tcBorders>
              <w:top w:val="nil"/>
              <w:left w:val="single" w:sz="4" w:space="0" w:color="auto"/>
              <w:bottom w:val="nil"/>
              <w:right w:val="nil"/>
            </w:tcBorders>
            <w:shd w:val="clear" w:color="000000" w:fill="E2EFDA"/>
            <w:noWrap/>
            <w:vAlign w:val="bottom"/>
            <w:hideMark/>
          </w:tcPr>
          <w:p w14:paraId="787D9377"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nil"/>
              <w:left w:val="nil"/>
              <w:bottom w:val="nil"/>
              <w:right w:val="nil"/>
            </w:tcBorders>
            <w:shd w:val="clear" w:color="000000" w:fill="E2EFDA"/>
            <w:noWrap/>
            <w:vAlign w:val="bottom"/>
            <w:hideMark/>
          </w:tcPr>
          <w:p w14:paraId="048F2BF4"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SPYG</w:t>
            </w:r>
          </w:p>
        </w:tc>
        <w:tc>
          <w:tcPr>
            <w:tcW w:w="5440" w:type="dxa"/>
            <w:tcBorders>
              <w:top w:val="nil"/>
              <w:left w:val="nil"/>
              <w:bottom w:val="nil"/>
              <w:right w:val="single" w:sz="4" w:space="0" w:color="auto"/>
            </w:tcBorders>
            <w:shd w:val="clear" w:color="000000" w:fill="E2EFDA"/>
            <w:noWrap/>
            <w:vAlign w:val="bottom"/>
            <w:hideMark/>
          </w:tcPr>
          <w:p w14:paraId="0395DC87"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Portfolio S&amp;P 500 Growth ETF</w:t>
            </w:r>
          </w:p>
        </w:tc>
      </w:tr>
      <w:tr w:rsidR="002B4849" w:rsidRPr="003F3486" w14:paraId="5B264016" w14:textId="77777777" w:rsidTr="005609E0">
        <w:trPr>
          <w:trHeight w:val="300"/>
        </w:trPr>
        <w:tc>
          <w:tcPr>
            <w:tcW w:w="1440" w:type="dxa"/>
            <w:tcBorders>
              <w:top w:val="nil"/>
              <w:left w:val="single" w:sz="4" w:space="0" w:color="auto"/>
              <w:bottom w:val="nil"/>
              <w:right w:val="nil"/>
            </w:tcBorders>
            <w:shd w:val="clear" w:color="000000" w:fill="E2EFDA"/>
            <w:noWrap/>
            <w:vAlign w:val="bottom"/>
            <w:hideMark/>
          </w:tcPr>
          <w:p w14:paraId="705E9F0C"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nil"/>
              <w:left w:val="nil"/>
              <w:bottom w:val="nil"/>
              <w:right w:val="nil"/>
            </w:tcBorders>
            <w:shd w:val="clear" w:color="000000" w:fill="E2EFDA"/>
            <w:noWrap/>
            <w:vAlign w:val="bottom"/>
            <w:hideMark/>
          </w:tcPr>
          <w:p w14:paraId="79088957"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SPLG</w:t>
            </w:r>
          </w:p>
        </w:tc>
        <w:tc>
          <w:tcPr>
            <w:tcW w:w="5440" w:type="dxa"/>
            <w:tcBorders>
              <w:top w:val="nil"/>
              <w:left w:val="nil"/>
              <w:bottom w:val="nil"/>
              <w:right w:val="single" w:sz="4" w:space="0" w:color="auto"/>
            </w:tcBorders>
            <w:shd w:val="clear" w:color="000000" w:fill="E2EFDA"/>
            <w:noWrap/>
            <w:vAlign w:val="bottom"/>
            <w:hideMark/>
          </w:tcPr>
          <w:p w14:paraId="5789C3B8"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Portfolio S&amp;P 500 ETF</w:t>
            </w:r>
          </w:p>
        </w:tc>
      </w:tr>
      <w:tr w:rsidR="002B4849" w:rsidRPr="003F3486" w14:paraId="670497DB" w14:textId="77777777" w:rsidTr="005609E0">
        <w:trPr>
          <w:trHeight w:val="290"/>
        </w:trPr>
        <w:tc>
          <w:tcPr>
            <w:tcW w:w="1440" w:type="dxa"/>
            <w:tcBorders>
              <w:top w:val="dashed" w:sz="8" w:space="0" w:color="808080"/>
              <w:left w:val="single" w:sz="4" w:space="0" w:color="auto"/>
              <w:bottom w:val="nil"/>
              <w:right w:val="nil"/>
            </w:tcBorders>
            <w:shd w:val="clear" w:color="000000" w:fill="E2EFDA"/>
            <w:noWrap/>
            <w:vAlign w:val="bottom"/>
            <w:hideMark/>
          </w:tcPr>
          <w:p w14:paraId="65756874"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dashed" w:sz="8" w:space="0" w:color="808080"/>
              <w:left w:val="nil"/>
              <w:bottom w:val="nil"/>
              <w:right w:val="nil"/>
            </w:tcBorders>
            <w:shd w:val="clear" w:color="000000" w:fill="E2EFDA"/>
            <w:noWrap/>
            <w:vAlign w:val="bottom"/>
            <w:hideMark/>
          </w:tcPr>
          <w:p w14:paraId="64350986"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KBE</w:t>
            </w:r>
          </w:p>
        </w:tc>
        <w:tc>
          <w:tcPr>
            <w:tcW w:w="5440" w:type="dxa"/>
            <w:tcBorders>
              <w:top w:val="dashed" w:sz="8" w:space="0" w:color="808080"/>
              <w:left w:val="nil"/>
              <w:bottom w:val="nil"/>
              <w:right w:val="single" w:sz="4" w:space="0" w:color="auto"/>
            </w:tcBorders>
            <w:shd w:val="clear" w:color="000000" w:fill="E2EFDA"/>
            <w:noWrap/>
            <w:vAlign w:val="bottom"/>
            <w:hideMark/>
          </w:tcPr>
          <w:p w14:paraId="61BB3C49"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S&amp;P Bank ETF</w:t>
            </w:r>
          </w:p>
        </w:tc>
      </w:tr>
      <w:tr w:rsidR="002B4849" w:rsidRPr="003F3486" w14:paraId="31A2E730" w14:textId="77777777" w:rsidTr="005609E0">
        <w:trPr>
          <w:trHeight w:val="290"/>
        </w:trPr>
        <w:tc>
          <w:tcPr>
            <w:tcW w:w="1440" w:type="dxa"/>
            <w:tcBorders>
              <w:top w:val="nil"/>
              <w:left w:val="single" w:sz="4" w:space="0" w:color="auto"/>
              <w:bottom w:val="single" w:sz="4" w:space="0" w:color="auto"/>
              <w:right w:val="nil"/>
            </w:tcBorders>
            <w:shd w:val="clear" w:color="000000" w:fill="E2EFDA"/>
            <w:noWrap/>
            <w:vAlign w:val="bottom"/>
            <w:hideMark/>
          </w:tcPr>
          <w:p w14:paraId="36429682"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Equity</w:t>
            </w:r>
          </w:p>
        </w:tc>
        <w:tc>
          <w:tcPr>
            <w:tcW w:w="1160" w:type="dxa"/>
            <w:tcBorders>
              <w:top w:val="nil"/>
              <w:left w:val="nil"/>
              <w:bottom w:val="single" w:sz="4" w:space="0" w:color="auto"/>
              <w:right w:val="nil"/>
            </w:tcBorders>
            <w:shd w:val="clear" w:color="000000" w:fill="E2EFDA"/>
            <w:noWrap/>
            <w:vAlign w:val="bottom"/>
            <w:hideMark/>
          </w:tcPr>
          <w:p w14:paraId="3394CCEC"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XRT</w:t>
            </w:r>
          </w:p>
        </w:tc>
        <w:tc>
          <w:tcPr>
            <w:tcW w:w="5440" w:type="dxa"/>
            <w:tcBorders>
              <w:top w:val="nil"/>
              <w:left w:val="nil"/>
              <w:bottom w:val="single" w:sz="4" w:space="0" w:color="auto"/>
              <w:right w:val="single" w:sz="4" w:space="0" w:color="auto"/>
            </w:tcBorders>
            <w:shd w:val="clear" w:color="000000" w:fill="E2EFDA"/>
            <w:noWrap/>
            <w:vAlign w:val="bottom"/>
            <w:hideMark/>
          </w:tcPr>
          <w:p w14:paraId="6E864F73"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S&amp;P Retail ETF</w:t>
            </w:r>
          </w:p>
        </w:tc>
      </w:tr>
      <w:tr w:rsidR="002B4849" w:rsidRPr="003F3486" w14:paraId="6B553871" w14:textId="77777777" w:rsidTr="005609E0">
        <w:trPr>
          <w:trHeight w:val="290"/>
        </w:trPr>
        <w:tc>
          <w:tcPr>
            <w:tcW w:w="1440" w:type="dxa"/>
            <w:tcBorders>
              <w:top w:val="nil"/>
              <w:left w:val="single" w:sz="4" w:space="0" w:color="auto"/>
              <w:bottom w:val="nil"/>
              <w:right w:val="nil"/>
            </w:tcBorders>
            <w:shd w:val="clear" w:color="000000" w:fill="FFF2CC"/>
            <w:noWrap/>
            <w:vAlign w:val="bottom"/>
            <w:hideMark/>
          </w:tcPr>
          <w:p w14:paraId="518BF261"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Commodities</w:t>
            </w:r>
          </w:p>
        </w:tc>
        <w:tc>
          <w:tcPr>
            <w:tcW w:w="1160" w:type="dxa"/>
            <w:tcBorders>
              <w:top w:val="nil"/>
              <w:left w:val="nil"/>
              <w:bottom w:val="nil"/>
              <w:right w:val="nil"/>
            </w:tcBorders>
            <w:shd w:val="clear" w:color="000000" w:fill="FFF2CC"/>
            <w:noWrap/>
            <w:vAlign w:val="bottom"/>
            <w:hideMark/>
          </w:tcPr>
          <w:p w14:paraId="00DE5A32"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DBC</w:t>
            </w:r>
          </w:p>
        </w:tc>
        <w:tc>
          <w:tcPr>
            <w:tcW w:w="5440" w:type="dxa"/>
            <w:tcBorders>
              <w:top w:val="nil"/>
              <w:left w:val="nil"/>
              <w:bottom w:val="nil"/>
              <w:right w:val="single" w:sz="4" w:space="0" w:color="auto"/>
            </w:tcBorders>
            <w:shd w:val="clear" w:color="000000" w:fill="FFF2CC"/>
            <w:noWrap/>
            <w:vAlign w:val="bottom"/>
            <w:hideMark/>
          </w:tcPr>
          <w:p w14:paraId="6D36D34E"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Invesco DB Commodity Index Tracking Fund</w:t>
            </w:r>
          </w:p>
        </w:tc>
      </w:tr>
      <w:tr w:rsidR="002B4849" w:rsidRPr="003F3486" w14:paraId="68EAD358" w14:textId="77777777" w:rsidTr="005609E0">
        <w:trPr>
          <w:trHeight w:val="300"/>
        </w:trPr>
        <w:tc>
          <w:tcPr>
            <w:tcW w:w="1440" w:type="dxa"/>
            <w:tcBorders>
              <w:top w:val="nil"/>
              <w:left w:val="single" w:sz="4" w:space="0" w:color="auto"/>
              <w:bottom w:val="nil"/>
              <w:right w:val="nil"/>
            </w:tcBorders>
            <w:shd w:val="clear" w:color="000000" w:fill="FFF2CC"/>
            <w:noWrap/>
            <w:vAlign w:val="bottom"/>
            <w:hideMark/>
          </w:tcPr>
          <w:p w14:paraId="3F633C04"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Commodities</w:t>
            </w:r>
          </w:p>
        </w:tc>
        <w:tc>
          <w:tcPr>
            <w:tcW w:w="1160" w:type="dxa"/>
            <w:tcBorders>
              <w:top w:val="nil"/>
              <w:left w:val="nil"/>
              <w:bottom w:val="nil"/>
              <w:right w:val="nil"/>
            </w:tcBorders>
            <w:shd w:val="clear" w:color="000000" w:fill="FFF2CC"/>
            <w:noWrap/>
            <w:vAlign w:val="bottom"/>
            <w:hideMark/>
          </w:tcPr>
          <w:p w14:paraId="5D022DC2"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GSG</w:t>
            </w:r>
          </w:p>
        </w:tc>
        <w:tc>
          <w:tcPr>
            <w:tcW w:w="5440" w:type="dxa"/>
            <w:tcBorders>
              <w:top w:val="nil"/>
              <w:left w:val="nil"/>
              <w:bottom w:val="nil"/>
              <w:right w:val="single" w:sz="4" w:space="0" w:color="auto"/>
            </w:tcBorders>
            <w:shd w:val="clear" w:color="000000" w:fill="FFF2CC"/>
            <w:noWrap/>
            <w:vAlign w:val="bottom"/>
            <w:hideMark/>
          </w:tcPr>
          <w:p w14:paraId="37A2502E"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iShares S&amp;P GSCI Commodity-Indexed Trust</w:t>
            </w:r>
          </w:p>
        </w:tc>
      </w:tr>
      <w:tr w:rsidR="002B4849" w:rsidRPr="003F3486" w14:paraId="3977826D" w14:textId="77777777" w:rsidTr="005609E0">
        <w:trPr>
          <w:trHeight w:val="290"/>
        </w:trPr>
        <w:tc>
          <w:tcPr>
            <w:tcW w:w="1440" w:type="dxa"/>
            <w:tcBorders>
              <w:top w:val="dashed" w:sz="8" w:space="0" w:color="808080"/>
              <w:left w:val="single" w:sz="4" w:space="0" w:color="auto"/>
              <w:bottom w:val="nil"/>
              <w:right w:val="nil"/>
            </w:tcBorders>
            <w:shd w:val="clear" w:color="000000" w:fill="FFF2CC"/>
            <w:noWrap/>
            <w:vAlign w:val="bottom"/>
            <w:hideMark/>
          </w:tcPr>
          <w:p w14:paraId="13BAC09F"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Commodities</w:t>
            </w:r>
          </w:p>
        </w:tc>
        <w:tc>
          <w:tcPr>
            <w:tcW w:w="1160" w:type="dxa"/>
            <w:tcBorders>
              <w:top w:val="dashed" w:sz="8" w:space="0" w:color="808080"/>
              <w:left w:val="nil"/>
              <w:bottom w:val="nil"/>
              <w:right w:val="nil"/>
            </w:tcBorders>
            <w:shd w:val="clear" w:color="000000" w:fill="FFF2CC"/>
            <w:noWrap/>
            <w:vAlign w:val="bottom"/>
            <w:hideMark/>
          </w:tcPr>
          <w:p w14:paraId="7E7C4B94"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UNG</w:t>
            </w:r>
          </w:p>
        </w:tc>
        <w:tc>
          <w:tcPr>
            <w:tcW w:w="5440" w:type="dxa"/>
            <w:tcBorders>
              <w:top w:val="dashed" w:sz="8" w:space="0" w:color="808080"/>
              <w:left w:val="nil"/>
              <w:bottom w:val="nil"/>
              <w:right w:val="single" w:sz="4" w:space="0" w:color="auto"/>
            </w:tcBorders>
            <w:shd w:val="clear" w:color="000000" w:fill="FFF2CC"/>
            <w:noWrap/>
            <w:vAlign w:val="bottom"/>
            <w:hideMark/>
          </w:tcPr>
          <w:p w14:paraId="016C7956"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United States Natural Gas Fund LP</w:t>
            </w:r>
          </w:p>
        </w:tc>
      </w:tr>
      <w:tr w:rsidR="002B4849" w:rsidRPr="003F3486" w14:paraId="69515F6E" w14:textId="77777777" w:rsidTr="005609E0">
        <w:trPr>
          <w:trHeight w:val="290"/>
        </w:trPr>
        <w:tc>
          <w:tcPr>
            <w:tcW w:w="1440" w:type="dxa"/>
            <w:tcBorders>
              <w:top w:val="nil"/>
              <w:left w:val="single" w:sz="4" w:space="0" w:color="auto"/>
              <w:bottom w:val="single" w:sz="4" w:space="0" w:color="auto"/>
              <w:right w:val="nil"/>
            </w:tcBorders>
            <w:shd w:val="clear" w:color="000000" w:fill="FFF2CC"/>
            <w:noWrap/>
            <w:vAlign w:val="bottom"/>
            <w:hideMark/>
          </w:tcPr>
          <w:p w14:paraId="38D3738E"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Commodities</w:t>
            </w:r>
          </w:p>
        </w:tc>
        <w:tc>
          <w:tcPr>
            <w:tcW w:w="1160" w:type="dxa"/>
            <w:tcBorders>
              <w:top w:val="nil"/>
              <w:left w:val="nil"/>
              <w:bottom w:val="single" w:sz="4" w:space="0" w:color="auto"/>
              <w:right w:val="nil"/>
            </w:tcBorders>
            <w:shd w:val="clear" w:color="000000" w:fill="FFF2CC"/>
            <w:noWrap/>
            <w:vAlign w:val="bottom"/>
            <w:hideMark/>
          </w:tcPr>
          <w:p w14:paraId="2304D95E" w14:textId="77777777" w:rsidR="002B4849" w:rsidRPr="003F3486" w:rsidRDefault="002B4849" w:rsidP="005609E0">
            <w:pPr>
              <w:spacing w:after="0" w:line="240" w:lineRule="auto"/>
              <w:rPr>
                <w:rFonts w:ascii="Calibri" w:eastAsia="Times New Roman" w:hAnsi="Calibri" w:cs="Calibri"/>
                <w:b/>
                <w:bCs/>
                <w:color w:val="000000"/>
                <w:kern w:val="0"/>
                <w14:ligatures w14:val="none"/>
              </w:rPr>
            </w:pPr>
            <w:r w:rsidRPr="003F3486">
              <w:rPr>
                <w:rFonts w:ascii="Calibri" w:eastAsia="Times New Roman" w:hAnsi="Calibri" w:cs="Calibri"/>
                <w:b/>
                <w:bCs/>
                <w:color w:val="000000"/>
                <w:kern w:val="0"/>
                <w14:ligatures w14:val="none"/>
              </w:rPr>
              <w:t>XOP</w:t>
            </w:r>
          </w:p>
        </w:tc>
        <w:tc>
          <w:tcPr>
            <w:tcW w:w="5440" w:type="dxa"/>
            <w:tcBorders>
              <w:top w:val="nil"/>
              <w:left w:val="nil"/>
              <w:bottom w:val="single" w:sz="4" w:space="0" w:color="auto"/>
              <w:right w:val="single" w:sz="4" w:space="0" w:color="auto"/>
            </w:tcBorders>
            <w:shd w:val="clear" w:color="000000" w:fill="FFF2CC"/>
            <w:noWrap/>
            <w:vAlign w:val="bottom"/>
            <w:hideMark/>
          </w:tcPr>
          <w:p w14:paraId="0C13A944" w14:textId="77777777" w:rsidR="002B4849" w:rsidRPr="003F3486" w:rsidRDefault="002B4849" w:rsidP="005609E0">
            <w:pPr>
              <w:spacing w:after="0" w:line="240" w:lineRule="auto"/>
              <w:rPr>
                <w:rFonts w:ascii="Calibri" w:eastAsia="Times New Roman" w:hAnsi="Calibri" w:cs="Calibri"/>
                <w:color w:val="000000"/>
                <w:kern w:val="0"/>
                <w14:ligatures w14:val="none"/>
              </w:rPr>
            </w:pPr>
            <w:r w:rsidRPr="003F3486">
              <w:rPr>
                <w:rFonts w:ascii="Calibri" w:eastAsia="Times New Roman" w:hAnsi="Calibri" w:cs="Calibri"/>
                <w:color w:val="000000"/>
                <w:kern w:val="0"/>
                <w14:ligatures w14:val="none"/>
              </w:rPr>
              <w:t>SPDR S&amp;P Oil &amp; Gas Exploration &amp; Production ETF</w:t>
            </w:r>
          </w:p>
        </w:tc>
      </w:tr>
    </w:tbl>
    <w:p w14:paraId="78B0D184" w14:textId="7CEFD74D" w:rsidR="002B4849" w:rsidRDefault="002B4849">
      <w:pPr>
        <w:rPr>
          <w:rFonts w:asciiTheme="majorHAnsi" w:eastAsiaTheme="majorEastAsia" w:hAnsiTheme="majorHAnsi" w:cstheme="majorBidi"/>
          <w:i/>
          <w:iCs/>
          <w:color w:val="2E74B5" w:themeColor="accent1" w:themeShade="BF"/>
        </w:rPr>
      </w:pPr>
    </w:p>
    <w:p w14:paraId="5BAEFFB2" w14:textId="0AA6D428" w:rsidR="00B1608E" w:rsidRPr="00DE3E91" w:rsidRDefault="00B1608E" w:rsidP="00DE3E91">
      <w:pPr>
        <w:pStyle w:val="Heading4"/>
      </w:pPr>
      <w:r w:rsidRPr="00B1608E">
        <w:t>Fixed Income ETFs</w:t>
      </w:r>
    </w:p>
    <w:p w14:paraId="48BCDDF6" w14:textId="02A4F1E4" w:rsidR="00B1608E" w:rsidRDefault="00B1608E" w:rsidP="00B1608E">
      <w:r>
        <w:rPr>
          <w:noProof/>
        </w:rPr>
        <w:drawing>
          <wp:inline distT="0" distB="0" distL="0" distR="0" wp14:anchorId="0CE059ED" wp14:editId="03B5E97B">
            <wp:extent cx="3430321" cy="1971040"/>
            <wp:effectExtent l="0" t="0" r="17780" b="10160"/>
            <wp:docPr id="233174287" name="Chart 1">
              <a:extLst xmlns:a="http://schemas.openxmlformats.org/drawingml/2006/main">
                <a:ext uri="{FF2B5EF4-FFF2-40B4-BE49-F238E27FC236}">
                  <a16:creationId xmlns:a16="http://schemas.microsoft.com/office/drawing/2014/main" id="{ABD888B7-308E-1DC5-60B7-072618808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46A3837A" wp14:editId="2B91B912">
            <wp:extent cx="3382751" cy="1970405"/>
            <wp:effectExtent l="0" t="0" r="8255" b="10795"/>
            <wp:docPr id="1726591589" name="Chart 2">
              <a:extLst xmlns:a="http://schemas.openxmlformats.org/drawingml/2006/main">
                <a:ext uri="{FF2B5EF4-FFF2-40B4-BE49-F238E27FC236}">
                  <a16:creationId xmlns:a16="http://schemas.microsoft.com/office/drawing/2014/main" id="{FDCA73EA-C78F-4291-9055-1326C3118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A0D737" w14:textId="6782859B" w:rsidR="00361C3A" w:rsidRDefault="00361C3A" w:rsidP="00361C3A">
      <w:r>
        <w:t>What is apparent from the results when comparing Sharpe ratios in particular is the outperformance of debt instruments in the long-only and long/short models when compared to a long-only baseline. For the instruments shown below, most show a significant improvement above the baseline approach using only CPI, ISM PMI and ISM NMI forecasts. For equities and commodities products, the trading rule was not as successful.</w:t>
      </w:r>
    </w:p>
    <w:p w14:paraId="1CA8A620" w14:textId="0AC86A40" w:rsidR="00E24DFC" w:rsidRDefault="00E24DFC" w:rsidP="00E24DFC">
      <w:pPr>
        <w:pStyle w:val="Heading4"/>
      </w:pPr>
      <w:commentRangeStart w:id="5"/>
      <w:r>
        <w:t>Levered Fixed Income ETFs</w:t>
      </w:r>
      <w:commentRangeEnd w:id="5"/>
      <w:r w:rsidR="002B4849">
        <w:rPr>
          <w:rStyle w:val="CommentReference"/>
          <w:rFonts w:asciiTheme="minorHAnsi" w:eastAsiaTheme="minorHAnsi" w:hAnsiTheme="minorHAnsi" w:cstheme="minorBidi"/>
          <w:i w:val="0"/>
          <w:iCs w:val="0"/>
          <w:color w:val="auto"/>
        </w:rPr>
        <w:commentReference w:id="5"/>
      </w:r>
    </w:p>
    <w:p w14:paraId="0CF9E4C8" w14:textId="77777777" w:rsidR="00E24DFC" w:rsidRPr="00B1608E" w:rsidRDefault="00E24DFC" w:rsidP="00E24DFC">
      <w:r>
        <w:rPr>
          <w:noProof/>
        </w:rPr>
        <w:drawing>
          <wp:inline distT="0" distB="0" distL="0" distR="0" wp14:anchorId="69CA873F" wp14:editId="6A866E2B">
            <wp:extent cx="3356323" cy="2037080"/>
            <wp:effectExtent l="0" t="0" r="15875" b="1270"/>
            <wp:docPr id="1516090785" name="Chart 1">
              <a:extLst xmlns:a="http://schemas.openxmlformats.org/drawingml/2006/main">
                <a:ext uri="{FF2B5EF4-FFF2-40B4-BE49-F238E27FC236}">
                  <a16:creationId xmlns:a16="http://schemas.microsoft.com/office/drawing/2014/main" id="{05ADD760-AD1C-4B3B-B89A-3B5C138F6C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15EB8D2F" wp14:editId="3E28329D">
            <wp:extent cx="3377465" cy="2037080"/>
            <wp:effectExtent l="0" t="0" r="13970" b="1270"/>
            <wp:docPr id="1361870421" name="Chart 2">
              <a:extLst xmlns:a="http://schemas.openxmlformats.org/drawingml/2006/main">
                <a:ext uri="{FF2B5EF4-FFF2-40B4-BE49-F238E27FC236}">
                  <a16:creationId xmlns:a16="http://schemas.microsoft.com/office/drawing/2014/main" id="{ED570DF0-D1C2-4958-8DCC-B8B3931B3E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EE1E3B" w14:textId="77777777" w:rsidR="00361C3A" w:rsidRPr="00E24DFC" w:rsidRDefault="00361C3A" w:rsidP="00361C3A">
      <w:r>
        <w:t xml:space="preserve">However, the outperformance was not present for all fixed income ETFs. Longer-dated and levered ETF products performed considerably worse than their short-medium maturity counterparts. Note VCLT and LQD in the charts below, both of which hold longer-dated corporate bonds. Not surprisingly, when trading levered products, the effects were magnified well beyond the leverage factor (note TBT, TMV and TMF). TBT is a Short 20yr+ Treasury ETF, TMV is a 3x levered short 20yr+ Treasury ETF and TBT is a 3x levered long 20yr+ Treasury ETF. </w:t>
      </w:r>
    </w:p>
    <w:p w14:paraId="4D5DA5A6" w14:textId="77777777" w:rsidR="00E24DFC" w:rsidRPr="00B1608E" w:rsidRDefault="00E24DFC" w:rsidP="00B1608E"/>
    <w:p w14:paraId="50E35C15" w14:textId="6D19AE0A" w:rsidR="00B1608E" w:rsidRDefault="00B1608E" w:rsidP="00B1608E">
      <w:pPr>
        <w:pStyle w:val="Heading4"/>
      </w:pPr>
      <w:r>
        <w:lastRenderedPageBreak/>
        <w:t>Equity ETFs</w:t>
      </w:r>
    </w:p>
    <w:p w14:paraId="1628566C" w14:textId="072416FD" w:rsidR="00B1608E" w:rsidRDefault="00B1608E" w:rsidP="00B1608E">
      <w:r>
        <w:rPr>
          <w:noProof/>
        </w:rPr>
        <w:drawing>
          <wp:inline distT="0" distB="0" distL="0" distR="0" wp14:anchorId="0E929505" wp14:editId="00BB052D">
            <wp:extent cx="3398608" cy="2037080"/>
            <wp:effectExtent l="0" t="0" r="11430" b="1270"/>
            <wp:docPr id="9434649" name="Chart 1">
              <a:extLst xmlns:a="http://schemas.openxmlformats.org/drawingml/2006/main">
                <a:ext uri="{FF2B5EF4-FFF2-40B4-BE49-F238E27FC236}">
                  <a16:creationId xmlns:a16="http://schemas.microsoft.com/office/drawing/2014/main" id="{5BD51958-062F-42E1-BC1D-67CF939A74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44247BE6" wp14:editId="65AC4A17">
            <wp:extent cx="3398520" cy="2037080"/>
            <wp:effectExtent l="0" t="0" r="11430" b="1270"/>
            <wp:docPr id="635567428" name="Chart 2">
              <a:extLst xmlns:a="http://schemas.openxmlformats.org/drawingml/2006/main">
                <a:ext uri="{FF2B5EF4-FFF2-40B4-BE49-F238E27FC236}">
                  <a16:creationId xmlns:a16="http://schemas.microsoft.com/office/drawing/2014/main" id="{4C3034A8-2CAC-4C75-B72C-C52111563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BF98A7" w14:textId="36C333C5" w:rsidR="00B1608E" w:rsidRDefault="00361C3A" w:rsidP="00B1608E">
      <w:r>
        <w:t xml:space="preserve">Equity strategies did not fare as well as fixed income with the logistic regression trading rule. </w:t>
      </w:r>
    </w:p>
    <w:p w14:paraId="2F301036" w14:textId="77777777" w:rsidR="00361C3A" w:rsidRDefault="00361C3A" w:rsidP="00B1608E"/>
    <w:p w14:paraId="7BC0BC4E" w14:textId="037FA140" w:rsidR="00B1608E" w:rsidRDefault="00B1608E" w:rsidP="00B1608E">
      <w:pPr>
        <w:pStyle w:val="Heading4"/>
      </w:pPr>
      <w:r>
        <w:t>Commodity ETFs</w:t>
      </w:r>
    </w:p>
    <w:p w14:paraId="5A877167" w14:textId="5F4A50F7" w:rsidR="00B1608E" w:rsidRDefault="00B1608E" w:rsidP="00B1608E">
      <w:r>
        <w:rPr>
          <w:noProof/>
        </w:rPr>
        <w:drawing>
          <wp:inline distT="0" distB="0" distL="0" distR="0" wp14:anchorId="41110FD0" wp14:editId="1C6DC24D">
            <wp:extent cx="3382751" cy="2037080"/>
            <wp:effectExtent l="0" t="0" r="8255" b="1270"/>
            <wp:docPr id="1703463045" name="Chart 1">
              <a:extLst xmlns:a="http://schemas.openxmlformats.org/drawingml/2006/main">
                <a:ext uri="{FF2B5EF4-FFF2-40B4-BE49-F238E27FC236}">
                  <a16:creationId xmlns:a16="http://schemas.microsoft.com/office/drawing/2014/main" id="{D4A1BF5F-DAB2-41EA-B88D-9BD8C9FC3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6124E68A" wp14:editId="254DA38F">
            <wp:extent cx="3372180" cy="2037080"/>
            <wp:effectExtent l="0" t="0" r="0" b="1270"/>
            <wp:docPr id="1819233838" name="Chart 2">
              <a:extLst xmlns:a="http://schemas.openxmlformats.org/drawingml/2006/main">
                <a:ext uri="{FF2B5EF4-FFF2-40B4-BE49-F238E27FC236}">
                  <a16:creationId xmlns:a16="http://schemas.microsoft.com/office/drawing/2014/main" id="{53826D4F-B718-40C0-9D4C-64FA32422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B68536" w14:textId="78A2BA40" w:rsidR="00B1608E" w:rsidRDefault="00B1608E"/>
    <w:p w14:paraId="6E0116D1" w14:textId="08C94E42" w:rsidR="002B4849" w:rsidRDefault="002B4849" w:rsidP="002B4849">
      <w:pPr>
        <w:pStyle w:val="Heading2"/>
      </w:pPr>
      <w:r>
        <w:t>Conclusion</w:t>
      </w:r>
    </w:p>
    <w:p w14:paraId="01EE7D80" w14:textId="721B3309" w:rsidR="002B4849" w:rsidRDefault="00187568" w:rsidP="002B4849">
      <w:r>
        <w:t xml:space="preserve">In this piece, we covered several classes of ETFs and examined whether inflation forecasts as well as proxies for GDP could inform asset class selection for future periods. Inflation was forecast directly via </w:t>
      </w:r>
      <w:proofErr w:type="spellStart"/>
      <w:r>
        <w:t>Turnleaf</w:t>
      </w:r>
      <w:proofErr w:type="spellEnd"/>
      <w:r>
        <w:t xml:space="preserve"> Analytics’ CPI forecasts, and GDP forecasts were proxied using </w:t>
      </w:r>
      <w:proofErr w:type="spellStart"/>
      <w:r>
        <w:t>Turnleaf</w:t>
      </w:r>
      <w:proofErr w:type="spellEnd"/>
      <w:r>
        <w:t xml:space="preserve"> Analytics’ forecasts for ISM PMI and ISM NMI. In order to combine multiple forecast periods into a singular trading rule, we used a logistic regression which was trained on the same feature set for all ETFs presented. </w:t>
      </w:r>
    </w:p>
    <w:p w14:paraId="234C2D94" w14:textId="427F66DD" w:rsidR="004678EB" w:rsidRDefault="00187568" w:rsidP="002B4849">
      <w:r>
        <w:t>The inflation and ISM PMI &amp; ISM NMI forecasts appear most informative with fixed income ETFs. This is not to say they are not informative in other asset classes, though on their own, they do not appear to be informative enough to create a trading strategy based exclusively on these forecasts.</w:t>
      </w:r>
    </w:p>
    <w:p w14:paraId="2CA8BD41" w14:textId="31515278" w:rsidR="004678EB" w:rsidRPr="002B4849" w:rsidRDefault="004678EB" w:rsidP="004678EB">
      <w:pPr>
        <w:pStyle w:val="Heading2"/>
      </w:pPr>
      <w:commentRangeStart w:id="6"/>
      <w:r>
        <w:t>Future Work</w:t>
      </w:r>
      <w:commentRangeEnd w:id="6"/>
      <w:r w:rsidR="006A6D76">
        <w:rPr>
          <w:rStyle w:val="CommentReference"/>
          <w:rFonts w:asciiTheme="minorHAnsi" w:eastAsiaTheme="minorHAnsi" w:hAnsiTheme="minorHAnsi" w:cstheme="minorBidi"/>
          <w:color w:val="auto"/>
        </w:rPr>
        <w:commentReference w:id="6"/>
      </w:r>
    </w:p>
    <w:p w14:paraId="08BE19F7" w14:textId="77777777" w:rsidR="00090682" w:rsidRPr="00090682" w:rsidRDefault="00090682" w:rsidP="00090682"/>
    <w:sectPr w:rsidR="00090682" w:rsidRPr="00090682" w:rsidSect="00154A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s Cota" w:date="2024-02-23T12:17:00Z" w:initials="LC">
    <w:p w14:paraId="3551450F" w14:textId="09CB20AB" w:rsidR="002B4849" w:rsidRDefault="002B4849">
      <w:pPr>
        <w:pStyle w:val="CommentText"/>
      </w:pPr>
      <w:r>
        <w:rPr>
          <w:rStyle w:val="CommentReference"/>
        </w:rPr>
        <w:annotationRef/>
      </w:r>
      <w:r>
        <w:t>Add plot of risk-adjusted returns using model trading rule as hook</w:t>
      </w:r>
    </w:p>
  </w:comment>
  <w:comment w:id="1" w:author="Luis Cota" w:date="2024-02-23T12:17:00Z" w:initials="LC">
    <w:p w14:paraId="50B0FCBD" w14:textId="1E004EC5" w:rsidR="002B4849" w:rsidRDefault="002B4849">
      <w:pPr>
        <w:pStyle w:val="CommentText"/>
      </w:pPr>
      <w:r>
        <w:rPr>
          <w:rStyle w:val="CommentReference"/>
        </w:rPr>
        <w:annotationRef/>
      </w:r>
      <w:r>
        <w:t>Update plot formatting using Excel for consistency</w:t>
      </w:r>
    </w:p>
  </w:comment>
  <w:comment w:id="2" w:author="Luis Cota" w:date="2024-02-23T12:10:00Z" w:initials="LC">
    <w:p w14:paraId="53D91946" w14:textId="24AFA331" w:rsidR="002B4849" w:rsidRDefault="002B4849">
      <w:pPr>
        <w:pStyle w:val="CommentText"/>
      </w:pPr>
      <w:r>
        <w:rPr>
          <w:rStyle w:val="CommentReference"/>
        </w:rPr>
        <w:annotationRef/>
      </w:r>
      <w:r>
        <w:t>Update plots for consistent colors &amp; fonts</w:t>
      </w:r>
    </w:p>
  </w:comment>
  <w:comment w:id="3" w:author="Luis Cota" w:date="2024-02-23T12:13:00Z" w:initials="LC">
    <w:p w14:paraId="2E0F130B" w14:textId="13F6CA98" w:rsidR="002B4849" w:rsidRDefault="002B4849">
      <w:pPr>
        <w:pStyle w:val="CommentText"/>
      </w:pPr>
      <w:r>
        <w:rPr>
          <w:rStyle w:val="CommentReference"/>
        </w:rPr>
        <w:annotationRef/>
      </w:r>
      <w:r>
        <w:t>Discuss impact of 0-transaction costs and how this differs for individual investors vs institutional (where sec lending can recover much of the revenue lost when shorting/borrowing)</w:t>
      </w:r>
    </w:p>
  </w:comment>
  <w:comment w:id="4" w:author="Luis Cota" w:date="2024-02-27T11:46:00Z" w:initials="LC">
    <w:p w14:paraId="1C7D163E" w14:textId="0F0C32A3" w:rsidR="00EB4CED" w:rsidRDefault="00EB4CED">
      <w:pPr>
        <w:pStyle w:val="CommentText"/>
      </w:pPr>
      <w:r>
        <w:rPr>
          <w:rStyle w:val="CommentReference"/>
        </w:rPr>
        <w:annotationRef/>
      </w:r>
      <w:r>
        <w:t>Flesh this out some – need to have a TLDR here</w:t>
      </w:r>
    </w:p>
  </w:comment>
  <w:comment w:id="5" w:author="Luis Cota" w:date="2024-02-23T12:14:00Z" w:initials="LC">
    <w:p w14:paraId="7DC6E0AA" w14:textId="39CFEC22" w:rsidR="002B4849" w:rsidRDefault="002B4849">
      <w:pPr>
        <w:pStyle w:val="CommentText"/>
      </w:pPr>
      <w:r>
        <w:rPr>
          <w:rStyle w:val="CommentReference"/>
        </w:rPr>
        <w:annotationRef/>
      </w:r>
      <w:r>
        <w:t>Add color about how Levered products, and ETNs broadly, are not meant for buy &amp; hold investing, but tactical short-term bets</w:t>
      </w:r>
    </w:p>
  </w:comment>
  <w:comment w:id="6" w:author="Luis Cota" w:date="2024-02-27T11:47:00Z" w:initials="LC">
    <w:p w14:paraId="080EE034" w14:textId="36A2BCD0" w:rsidR="006A6D76" w:rsidRDefault="006A6D76">
      <w:pPr>
        <w:pStyle w:val="CommentText"/>
      </w:pPr>
      <w:r>
        <w:rPr>
          <w:rStyle w:val="CommentReference"/>
        </w:rPr>
        <w:annotationRef/>
      </w:r>
      <w:r>
        <w:t xml:space="preserve">Is this necessary?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1450F" w15:done="0"/>
  <w15:commentEx w15:paraId="50B0FCBD" w15:done="0"/>
  <w15:commentEx w15:paraId="53D91946" w15:done="0"/>
  <w15:commentEx w15:paraId="2E0F130B" w15:done="0"/>
  <w15:commentEx w15:paraId="1C7D163E" w15:done="0"/>
  <w15:commentEx w15:paraId="7DC6E0AA" w15:done="0"/>
  <w15:commentEx w15:paraId="080EE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4195A1" w16cex:dateUtc="2024-02-23T17:17:00Z"/>
  <w16cex:commentExtensible w16cex:durableId="11DC4E64" w16cex:dateUtc="2024-02-23T17:17:00Z"/>
  <w16cex:commentExtensible w16cex:durableId="6450DCD4" w16cex:dateUtc="2024-02-23T17:10:00Z"/>
  <w16cex:commentExtensible w16cex:durableId="40E61424" w16cex:dateUtc="2024-02-23T17:13:00Z"/>
  <w16cex:commentExtensible w16cex:durableId="6DC6DFD1" w16cex:dateUtc="2024-02-27T16:46:00Z"/>
  <w16cex:commentExtensible w16cex:durableId="44DAA73E" w16cex:dateUtc="2024-02-23T17:14:00Z"/>
  <w16cex:commentExtensible w16cex:durableId="162241B2" w16cex:dateUtc="2024-02-27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1450F" w16cid:durableId="2D4195A1"/>
  <w16cid:commentId w16cid:paraId="50B0FCBD" w16cid:durableId="11DC4E64"/>
  <w16cid:commentId w16cid:paraId="53D91946" w16cid:durableId="6450DCD4"/>
  <w16cid:commentId w16cid:paraId="2E0F130B" w16cid:durableId="40E61424"/>
  <w16cid:commentId w16cid:paraId="1C7D163E" w16cid:durableId="6DC6DFD1"/>
  <w16cid:commentId w16cid:paraId="7DC6E0AA" w16cid:durableId="44DAA73E"/>
  <w16cid:commentId w16cid:paraId="080EE034" w16cid:durableId="162241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CE7"/>
    <w:multiLevelType w:val="hybridMultilevel"/>
    <w:tmpl w:val="69A691D6"/>
    <w:lvl w:ilvl="0" w:tplc="78C0CF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251C"/>
    <w:multiLevelType w:val="hybridMultilevel"/>
    <w:tmpl w:val="16E0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203416">
    <w:abstractNumId w:val="1"/>
  </w:num>
  <w:num w:numId="2" w16cid:durableId="13078585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Cota">
    <w15:presenceInfo w15:providerId="Windows Live" w15:userId="2d8c81a074751f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3B"/>
    <w:rsid w:val="00002969"/>
    <w:rsid w:val="000031D3"/>
    <w:rsid w:val="00006069"/>
    <w:rsid w:val="000127A5"/>
    <w:rsid w:val="000132B1"/>
    <w:rsid w:val="0001584D"/>
    <w:rsid w:val="00017D59"/>
    <w:rsid w:val="0002369D"/>
    <w:rsid w:val="00031C96"/>
    <w:rsid w:val="00032F26"/>
    <w:rsid w:val="00033FA6"/>
    <w:rsid w:val="00035B1E"/>
    <w:rsid w:val="00037D40"/>
    <w:rsid w:val="000401E2"/>
    <w:rsid w:val="000402F5"/>
    <w:rsid w:val="00044D25"/>
    <w:rsid w:val="00047C56"/>
    <w:rsid w:val="00051354"/>
    <w:rsid w:val="00053F28"/>
    <w:rsid w:val="00055E23"/>
    <w:rsid w:val="00056C65"/>
    <w:rsid w:val="00056FD8"/>
    <w:rsid w:val="00060026"/>
    <w:rsid w:val="00064083"/>
    <w:rsid w:val="00065B9B"/>
    <w:rsid w:val="00066AB5"/>
    <w:rsid w:val="00071D51"/>
    <w:rsid w:val="00073C6F"/>
    <w:rsid w:val="00074FEA"/>
    <w:rsid w:val="0007711D"/>
    <w:rsid w:val="00081E74"/>
    <w:rsid w:val="0008320F"/>
    <w:rsid w:val="000840C2"/>
    <w:rsid w:val="000845D0"/>
    <w:rsid w:val="00084E70"/>
    <w:rsid w:val="00086B26"/>
    <w:rsid w:val="000877E6"/>
    <w:rsid w:val="000878F1"/>
    <w:rsid w:val="00090682"/>
    <w:rsid w:val="00090C60"/>
    <w:rsid w:val="00095946"/>
    <w:rsid w:val="000A116B"/>
    <w:rsid w:val="000A2CE9"/>
    <w:rsid w:val="000A4FCA"/>
    <w:rsid w:val="000A58ED"/>
    <w:rsid w:val="000A7DCA"/>
    <w:rsid w:val="000B115D"/>
    <w:rsid w:val="000C0591"/>
    <w:rsid w:val="000C1A34"/>
    <w:rsid w:val="000C1F7E"/>
    <w:rsid w:val="000C236C"/>
    <w:rsid w:val="000C3A1F"/>
    <w:rsid w:val="000C3BB1"/>
    <w:rsid w:val="000C774F"/>
    <w:rsid w:val="000C7853"/>
    <w:rsid w:val="000D668B"/>
    <w:rsid w:val="000E0920"/>
    <w:rsid w:val="000E0DAC"/>
    <w:rsid w:val="000E113E"/>
    <w:rsid w:val="000E6C5F"/>
    <w:rsid w:val="000E7E10"/>
    <w:rsid w:val="000F12D6"/>
    <w:rsid w:val="000F3B40"/>
    <w:rsid w:val="000F47D1"/>
    <w:rsid w:val="000F5F11"/>
    <w:rsid w:val="000F626F"/>
    <w:rsid w:val="00101A06"/>
    <w:rsid w:val="00104D4B"/>
    <w:rsid w:val="00104DF7"/>
    <w:rsid w:val="001063C6"/>
    <w:rsid w:val="00114504"/>
    <w:rsid w:val="00117DAE"/>
    <w:rsid w:val="00120066"/>
    <w:rsid w:val="00122F1C"/>
    <w:rsid w:val="00127511"/>
    <w:rsid w:val="001279D3"/>
    <w:rsid w:val="00131C19"/>
    <w:rsid w:val="001339E5"/>
    <w:rsid w:val="00136340"/>
    <w:rsid w:val="0013650D"/>
    <w:rsid w:val="0013790C"/>
    <w:rsid w:val="001443AF"/>
    <w:rsid w:val="0014528D"/>
    <w:rsid w:val="00146459"/>
    <w:rsid w:val="00152BD1"/>
    <w:rsid w:val="001537EB"/>
    <w:rsid w:val="00154A59"/>
    <w:rsid w:val="00154C4F"/>
    <w:rsid w:val="00155A57"/>
    <w:rsid w:val="0015725D"/>
    <w:rsid w:val="00157C00"/>
    <w:rsid w:val="0016026C"/>
    <w:rsid w:val="0016622B"/>
    <w:rsid w:val="001664C6"/>
    <w:rsid w:val="0016746C"/>
    <w:rsid w:val="00170C03"/>
    <w:rsid w:val="00171FC5"/>
    <w:rsid w:val="00174389"/>
    <w:rsid w:val="001752B0"/>
    <w:rsid w:val="001820CA"/>
    <w:rsid w:val="00183831"/>
    <w:rsid w:val="00184936"/>
    <w:rsid w:val="001862CC"/>
    <w:rsid w:val="00187568"/>
    <w:rsid w:val="00190F4F"/>
    <w:rsid w:val="00193660"/>
    <w:rsid w:val="00194DB9"/>
    <w:rsid w:val="0019588A"/>
    <w:rsid w:val="001961C8"/>
    <w:rsid w:val="00196F1A"/>
    <w:rsid w:val="001A054E"/>
    <w:rsid w:val="001A07CE"/>
    <w:rsid w:val="001A0CC1"/>
    <w:rsid w:val="001A15B5"/>
    <w:rsid w:val="001A2F69"/>
    <w:rsid w:val="001A54D8"/>
    <w:rsid w:val="001A680A"/>
    <w:rsid w:val="001A7CAF"/>
    <w:rsid w:val="001B32A9"/>
    <w:rsid w:val="001B56D5"/>
    <w:rsid w:val="001C0A91"/>
    <w:rsid w:val="001C0E90"/>
    <w:rsid w:val="001C3413"/>
    <w:rsid w:val="001C3549"/>
    <w:rsid w:val="001C5ED3"/>
    <w:rsid w:val="001C6430"/>
    <w:rsid w:val="001C6D58"/>
    <w:rsid w:val="001C7D76"/>
    <w:rsid w:val="001D0D07"/>
    <w:rsid w:val="001D30F4"/>
    <w:rsid w:val="001D5411"/>
    <w:rsid w:val="001D679D"/>
    <w:rsid w:val="001D7F67"/>
    <w:rsid w:val="001E057A"/>
    <w:rsid w:val="001E4BBE"/>
    <w:rsid w:val="001E61E3"/>
    <w:rsid w:val="001F04C7"/>
    <w:rsid w:val="001F1A5F"/>
    <w:rsid w:val="001F2C95"/>
    <w:rsid w:val="001F364E"/>
    <w:rsid w:val="001F3F28"/>
    <w:rsid w:val="001F5BDF"/>
    <w:rsid w:val="002029BF"/>
    <w:rsid w:val="002076A1"/>
    <w:rsid w:val="00207821"/>
    <w:rsid w:val="002127A8"/>
    <w:rsid w:val="00212F6B"/>
    <w:rsid w:val="00213C61"/>
    <w:rsid w:val="002160C4"/>
    <w:rsid w:val="0022027A"/>
    <w:rsid w:val="002230D7"/>
    <w:rsid w:val="0022712F"/>
    <w:rsid w:val="00227C2C"/>
    <w:rsid w:val="00230C73"/>
    <w:rsid w:val="002331A2"/>
    <w:rsid w:val="0023612E"/>
    <w:rsid w:val="00240935"/>
    <w:rsid w:val="00242445"/>
    <w:rsid w:val="002442D1"/>
    <w:rsid w:val="00252749"/>
    <w:rsid w:val="00254568"/>
    <w:rsid w:val="002553F3"/>
    <w:rsid w:val="00257BA5"/>
    <w:rsid w:val="002609FB"/>
    <w:rsid w:val="0026257C"/>
    <w:rsid w:val="00264A88"/>
    <w:rsid w:val="00265AC6"/>
    <w:rsid w:val="00265F08"/>
    <w:rsid w:val="002673ED"/>
    <w:rsid w:val="00267A60"/>
    <w:rsid w:val="00267B25"/>
    <w:rsid w:val="00267F7B"/>
    <w:rsid w:val="00270F91"/>
    <w:rsid w:val="002721C1"/>
    <w:rsid w:val="00272CAF"/>
    <w:rsid w:val="0027377D"/>
    <w:rsid w:val="002763CD"/>
    <w:rsid w:val="00280327"/>
    <w:rsid w:val="0028115B"/>
    <w:rsid w:val="00283CC4"/>
    <w:rsid w:val="00283E9D"/>
    <w:rsid w:val="0028652C"/>
    <w:rsid w:val="00286E35"/>
    <w:rsid w:val="00290BFE"/>
    <w:rsid w:val="002956FB"/>
    <w:rsid w:val="00297610"/>
    <w:rsid w:val="0029763E"/>
    <w:rsid w:val="002A07C7"/>
    <w:rsid w:val="002A613B"/>
    <w:rsid w:val="002A6E4E"/>
    <w:rsid w:val="002A7121"/>
    <w:rsid w:val="002A7646"/>
    <w:rsid w:val="002B43BA"/>
    <w:rsid w:val="002B4849"/>
    <w:rsid w:val="002C0194"/>
    <w:rsid w:val="002C15F6"/>
    <w:rsid w:val="002C3259"/>
    <w:rsid w:val="002D06D7"/>
    <w:rsid w:val="002D3B8F"/>
    <w:rsid w:val="002D4B10"/>
    <w:rsid w:val="002D51C4"/>
    <w:rsid w:val="002D61E9"/>
    <w:rsid w:val="002E3792"/>
    <w:rsid w:val="002E78C1"/>
    <w:rsid w:val="002F59DC"/>
    <w:rsid w:val="0030395B"/>
    <w:rsid w:val="003043FB"/>
    <w:rsid w:val="003105D7"/>
    <w:rsid w:val="00314BE3"/>
    <w:rsid w:val="003152E7"/>
    <w:rsid w:val="003163D6"/>
    <w:rsid w:val="00320DC5"/>
    <w:rsid w:val="00323AAC"/>
    <w:rsid w:val="0032503F"/>
    <w:rsid w:val="003252C7"/>
    <w:rsid w:val="003256F4"/>
    <w:rsid w:val="00325ADA"/>
    <w:rsid w:val="003272C5"/>
    <w:rsid w:val="0032731E"/>
    <w:rsid w:val="0033151E"/>
    <w:rsid w:val="00331DC0"/>
    <w:rsid w:val="00335032"/>
    <w:rsid w:val="00335931"/>
    <w:rsid w:val="003374A3"/>
    <w:rsid w:val="00340E4B"/>
    <w:rsid w:val="00342C59"/>
    <w:rsid w:val="00343199"/>
    <w:rsid w:val="00346708"/>
    <w:rsid w:val="00351694"/>
    <w:rsid w:val="00353DCA"/>
    <w:rsid w:val="00357F98"/>
    <w:rsid w:val="00361A02"/>
    <w:rsid w:val="00361C3A"/>
    <w:rsid w:val="003643B4"/>
    <w:rsid w:val="003644C2"/>
    <w:rsid w:val="00365849"/>
    <w:rsid w:val="00367073"/>
    <w:rsid w:val="003736C2"/>
    <w:rsid w:val="0037380F"/>
    <w:rsid w:val="00373A28"/>
    <w:rsid w:val="00373FBE"/>
    <w:rsid w:val="00374DF2"/>
    <w:rsid w:val="003802E6"/>
    <w:rsid w:val="00383BF8"/>
    <w:rsid w:val="00387E86"/>
    <w:rsid w:val="0039187F"/>
    <w:rsid w:val="00391B7F"/>
    <w:rsid w:val="003935A6"/>
    <w:rsid w:val="00394154"/>
    <w:rsid w:val="003953CC"/>
    <w:rsid w:val="00397259"/>
    <w:rsid w:val="00397749"/>
    <w:rsid w:val="0039785E"/>
    <w:rsid w:val="003A2D0E"/>
    <w:rsid w:val="003B0B2D"/>
    <w:rsid w:val="003B0E91"/>
    <w:rsid w:val="003B3072"/>
    <w:rsid w:val="003B4647"/>
    <w:rsid w:val="003B5FC1"/>
    <w:rsid w:val="003B61FD"/>
    <w:rsid w:val="003B6AFD"/>
    <w:rsid w:val="003C01FA"/>
    <w:rsid w:val="003C04C0"/>
    <w:rsid w:val="003C0566"/>
    <w:rsid w:val="003C108B"/>
    <w:rsid w:val="003C51AE"/>
    <w:rsid w:val="003D28DF"/>
    <w:rsid w:val="003D31ED"/>
    <w:rsid w:val="003D3A4D"/>
    <w:rsid w:val="003D6285"/>
    <w:rsid w:val="003D75F9"/>
    <w:rsid w:val="003E5244"/>
    <w:rsid w:val="003F2703"/>
    <w:rsid w:val="003F31A6"/>
    <w:rsid w:val="003F3486"/>
    <w:rsid w:val="003F6B41"/>
    <w:rsid w:val="004008F7"/>
    <w:rsid w:val="00400A6B"/>
    <w:rsid w:val="0040226D"/>
    <w:rsid w:val="004022CB"/>
    <w:rsid w:val="00402E2C"/>
    <w:rsid w:val="00407323"/>
    <w:rsid w:val="00412028"/>
    <w:rsid w:val="00420F87"/>
    <w:rsid w:val="00421AEF"/>
    <w:rsid w:val="004224D4"/>
    <w:rsid w:val="004224FE"/>
    <w:rsid w:val="00423B04"/>
    <w:rsid w:val="004260D3"/>
    <w:rsid w:val="00430530"/>
    <w:rsid w:val="0043654C"/>
    <w:rsid w:val="00440777"/>
    <w:rsid w:val="00443273"/>
    <w:rsid w:val="0044403D"/>
    <w:rsid w:val="0044708C"/>
    <w:rsid w:val="004471F0"/>
    <w:rsid w:val="00447C4B"/>
    <w:rsid w:val="00450739"/>
    <w:rsid w:val="004510C9"/>
    <w:rsid w:val="00453FEF"/>
    <w:rsid w:val="004559C5"/>
    <w:rsid w:val="00466A79"/>
    <w:rsid w:val="004678EB"/>
    <w:rsid w:val="00471F1F"/>
    <w:rsid w:val="0047333A"/>
    <w:rsid w:val="00473EAE"/>
    <w:rsid w:val="004802B6"/>
    <w:rsid w:val="00483526"/>
    <w:rsid w:val="004835EA"/>
    <w:rsid w:val="00484A48"/>
    <w:rsid w:val="00485265"/>
    <w:rsid w:val="00485FCA"/>
    <w:rsid w:val="0048624C"/>
    <w:rsid w:val="00487759"/>
    <w:rsid w:val="00493814"/>
    <w:rsid w:val="00493E17"/>
    <w:rsid w:val="00496C75"/>
    <w:rsid w:val="00497918"/>
    <w:rsid w:val="004A306E"/>
    <w:rsid w:val="004A312D"/>
    <w:rsid w:val="004A324E"/>
    <w:rsid w:val="004B36C2"/>
    <w:rsid w:val="004B42C1"/>
    <w:rsid w:val="004B4CD5"/>
    <w:rsid w:val="004C0952"/>
    <w:rsid w:val="004C271C"/>
    <w:rsid w:val="004C43A8"/>
    <w:rsid w:val="004D4783"/>
    <w:rsid w:val="004D591F"/>
    <w:rsid w:val="004D76BC"/>
    <w:rsid w:val="004E1206"/>
    <w:rsid w:val="004E1460"/>
    <w:rsid w:val="004E599C"/>
    <w:rsid w:val="004F1D5D"/>
    <w:rsid w:val="004F20EA"/>
    <w:rsid w:val="004F48C5"/>
    <w:rsid w:val="004F75C8"/>
    <w:rsid w:val="004F7899"/>
    <w:rsid w:val="00500138"/>
    <w:rsid w:val="0050046B"/>
    <w:rsid w:val="005135B4"/>
    <w:rsid w:val="00515CE5"/>
    <w:rsid w:val="00517646"/>
    <w:rsid w:val="00520CD4"/>
    <w:rsid w:val="005222D8"/>
    <w:rsid w:val="00522C9B"/>
    <w:rsid w:val="00524CB4"/>
    <w:rsid w:val="00524E36"/>
    <w:rsid w:val="005251F1"/>
    <w:rsid w:val="00525CC7"/>
    <w:rsid w:val="00527933"/>
    <w:rsid w:val="00530147"/>
    <w:rsid w:val="00533BAA"/>
    <w:rsid w:val="00535518"/>
    <w:rsid w:val="00535F67"/>
    <w:rsid w:val="0053667B"/>
    <w:rsid w:val="00537C9A"/>
    <w:rsid w:val="005410FC"/>
    <w:rsid w:val="005413A6"/>
    <w:rsid w:val="005437AD"/>
    <w:rsid w:val="005453D7"/>
    <w:rsid w:val="005466E9"/>
    <w:rsid w:val="00553D84"/>
    <w:rsid w:val="005554FB"/>
    <w:rsid w:val="005567C0"/>
    <w:rsid w:val="00563153"/>
    <w:rsid w:val="005646CF"/>
    <w:rsid w:val="0056724C"/>
    <w:rsid w:val="00570837"/>
    <w:rsid w:val="00570C42"/>
    <w:rsid w:val="00571D4C"/>
    <w:rsid w:val="0057359B"/>
    <w:rsid w:val="00573FCA"/>
    <w:rsid w:val="005748F1"/>
    <w:rsid w:val="005764DF"/>
    <w:rsid w:val="00580DAD"/>
    <w:rsid w:val="00581DD5"/>
    <w:rsid w:val="005835FF"/>
    <w:rsid w:val="00586116"/>
    <w:rsid w:val="0058636D"/>
    <w:rsid w:val="0059127F"/>
    <w:rsid w:val="00594BCF"/>
    <w:rsid w:val="00594BD7"/>
    <w:rsid w:val="0059700A"/>
    <w:rsid w:val="005A0C7A"/>
    <w:rsid w:val="005A0E86"/>
    <w:rsid w:val="005A1C02"/>
    <w:rsid w:val="005A2379"/>
    <w:rsid w:val="005A5D9F"/>
    <w:rsid w:val="005B1624"/>
    <w:rsid w:val="005B687C"/>
    <w:rsid w:val="005B7D55"/>
    <w:rsid w:val="005C0321"/>
    <w:rsid w:val="005C0CE2"/>
    <w:rsid w:val="005C27B6"/>
    <w:rsid w:val="005C3BB4"/>
    <w:rsid w:val="005C424E"/>
    <w:rsid w:val="005C6AE9"/>
    <w:rsid w:val="005D0412"/>
    <w:rsid w:val="005D4B96"/>
    <w:rsid w:val="005D750E"/>
    <w:rsid w:val="005D784F"/>
    <w:rsid w:val="005E2F4D"/>
    <w:rsid w:val="005E4570"/>
    <w:rsid w:val="005E6D8A"/>
    <w:rsid w:val="005F0C4B"/>
    <w:rsid w:val="005F11B3"/>
    <w:rsid w:val="005F19D9"/>
    <w:rsid w:val="005F5777"/>
    <w:rsid w:val="005F5C34"/>
    <w:rsid w:val="005F65AD"/>
    <w:rsid w:val="005F7981"/>
    <w:rsid w:val="006008BA"/>
    <w:rsid w:val="00601D19"/>
    <w:rsid w:val="00602123"/>
    <w:rsid w:val="006024AB"/>
    <w:rsid w:val="006026EA"/>
    <w:rsid w:val="0060289E"/>
    <w:rsid w:val="00603602"/>
    <w:rsid w:val="0060577E"/>
    <w:rsid w:val="00612CA9"/>
    <w:rsid w:val="00612DB1"/>
    <w:rsid w:val="00615353"/>
    <w:rsid w:val="00615629"/>
    <w:rsid w:val="00620C2E"/>
    <w:rsid w:val="00624CF2"/>
    <w:rsid w:val="0062692B"/>
    <w:rsid w:val="00626D6E"/>
    <w:rsid w:val="00626F27"/>
    <w:rsid w:val="006271AF"/>
    <w:rsid w:val="006301CD"/>
    <w:rsid w:val="00631940"/>
    <w:rsid w:val="00632AC9"/>
    <w:rsid w:val="006340B2"/>
    <w:rsid w:val="00636AA3"/>
    <w:rsid w:val="00636F5E"/>
    <w:rsid w:val="00646663"/>
    <w:rsid w:val="00647081"/>
    <w:rsid w:val="00647B38"/>
    <w:rsid w:val="00647C85"/>
    <w:rsid w:val="0065071C"/>
    <w:rsid w:val="00650D0C"/>
    <w:rsid w:val="0065594D"/>
    <w:rsid w:val="006644CB"/>
    <w:rsid w:val="0067384F"/>
    <w:rsid w:val="0067591A"/>
    <w:rsid w:val="0067778B"/>
    <w:rsid w:val="00681944"/>
    <w:rsid w:val="0068446E"/>
    <w:rsid w:val="006849DA"/>
    <w:rsid w:val="0069132A"/>
    <w:rsid w:val="00691506"/>
    <w:rsid w:val="00692294"/>
    <w:rsid w:val="00692AE0"/>
    <w:rsid w:val="00692DEF"/>
    <w:rsid w:val="00695106"/>
    <w:rsid w:val="00695E0A"/>
    <w:rsid w:val="006A3A23"/>
    <w:rsid w:val="006A4B94"/>
    <w:rsid w:val="006A4C63"/>
    <w:rsid w:val="006A4D33"/>
    <w:rsid w:val="006A687E"/>
    <w:rsid w:val="006A6D76"/>
    <w:rsid w:val="006B0DEC"/>
    <w:rsid w:val="006B124C"/>
    <w:rsid w:val="006B1283"/>
    <w:rsid w:val="006B1E3D"/>
    <w:rsid w:val="006B21C4"/>
    <w:rsid w:val="006B28AB"/>
    <w:rsid w:val="006B33EA"/>
    <w:rsid w:val="006B43AB"/>
    <w:rsid w:val="006B549E"/>
    <w:rsid w:val="006B774B"/>
    <w:rsid w:val="006B7C3E"/>
    <w:rsid w:val="006C24C8"/>
    <w:rsid w:val="006C4032"/>
    <w:rsid w:val="006C5D0A"/>
    <w:rsid w:val="006C6A2C"/>
    <w:rsid w:val="006C70CF"/>
    <w:rsid w:val="006C7155"/>
    <w:rsid w:val="006D0EAB"/>
    <w:rsid w:val="006D2975"/>
    <w:rsid w:val="006D2DB4"/>
    <w:rsid w:val="006D37F1"/>
    <w:rsid w:val="006D3BA5"/>
    <w:rsid w:val="006D5808"/>
    <w:rsid w:val="006D7308"/>
    <w:rsid w:val="006E0195"/>
    <w:rsid w:val="006E11F8"/>
    <w:rsid w:val="006E2F2C"/>
    <w:rsid w:val="006E3D49"/>
    <w:rsid w:val="006E4A86"/>
    <w:rsid w:val="006E51FE"/>
    <w:rsid w:val="006E53F2"/>
    <w:rsid w:val="006E6D4C"/>
    <w:rsid w:val="006F27AF"/>
    <w:rsid w:val="006F44BD"/>
    <w:rsid w:val="006F75DD"/>
    <w:rsid w:val="00701205"/>
    <w:rsid w:val="0070196B"/>
    <w:rsid w:val="00704771"/>
    <w:rsid w:val="00705171"/>
    <w:rsid w:val="0070563F"/>
    <w:rsid w:val="00710FC2"/>
    <w:rsid w:val="00721A3B"/>
    <w:rsid w:val="00724BAF"/>
    <w:rsid w:val="007259DD"/>
    <w:rsid w:val="0072609C"/>
    <w:rsid w:val="00726C09"/>
    <w:rsid w:val="00726E7F"/>
    <w:rsid w:val="00731BF2"/>
    <w:rsid w:val="007353DF"/>
    <w:rsid w:val="00747B2A"/>
    <w:rsid w:val="00747F67"/>
    <w:rsid w:val="00750DAB"/>
    <w:rsid w:val="00752D1F"/>
    <w:rsid w:val="007563C6"/>
    <w:rsid w:val="00763A3D"/>
    <w:rsid w:val="00763CF5"/>
    <w:rsid w:val="007663C1"/>
    <w:rsid w:val="00770117"/>
    <w:rsid w:val="00770AE1"/>
    <w:rsid w:val="00771CE9"/>
    <w:rsid w:val="0077355E"/>
    <w:rsid w:val="0077494D"/>
    <w:rsid w:val="0077592D"/>
    <w:rsid w:val="007764DC"/>
    <w:rsid w:val="00782F66"/>
    <w:rsid w:val="007830C1"/>
    <w:rsid w:val="00783AC4"/>
    <w:rsid w:val="00783F73"/>
    <w:rsid w:val="0078725B"/>
    <w:rsid w:val="007874F0"/>
    <w:rsid w:val="00791108"/>
    <w:rsid w:val="007A08DD"/>
    <w:rsid w:val="007A1994"/>
    <w:rsid w:val="007A2D1C"/>
    <w:rsid w:val="007A303E"/>
    <w:rsid w:val="007A4389"/>
    <w:rsid w:val="007A560B"/>
    <w:rsid w:val="007A5D6A"/>
    <w:rsid w:val="007A6203"/>
    <w:rsid w:val="007B1E0A"/>
    <w:rsid w:val="007B2CEE"/>
    <w:rsid w:val="007B34A2"/>
    <w:rsid w:val="007B449B"/>
    <w:rsid w:val="007C014D"/>
    <w:rsid w:val="007C112F"/>
    <w:rsid w:val="007C11F4"/>
    <w:rsid w:val="007C234D"/>
    <w:rsid w:val="007C3F16"/>
    <w:rsid w:val="007D44C6"/>
    <w:rsid w:val="007D58B3"/>
    <w:rsid w:val="007E06F3"/>
    <w:rsid w:val="007E3B49"/>
    <w:rsid w:val="007E62D8"/>
    <w:rsid w:val="007E78BD"/>
    <w:rsid w:val="007E7E2B"/>
    <w:rsid w:val="007F6B82"/>
    <w:rsid w:val="007F6E84"/>
    <w:rsid w:val="00800B45"/>
    <w:rsid w:val="00801529"/>
    <w:rsid w:val="00801CEB"/>
    <w:rsid w:val="00801E90"/>
    <w:rsid w:val="0080488A"/>
    <w:rsid w:val="008114E1"/>
    <w:rsid w:val="00812E45"/>
    <w:rsid w:val="00814740"/>
    <w:rsid w:val="008156FD"/>
    <w:rsid w:val="0081691D"/>
    <w:rsid w:val="00816953"/>
    <w:rsid w:val="00817562"/>
    <w:rsid w:val="00824F9B"/>
    <w:rsid w:val="00825E99"/>
    <w:rsid w:val="00827511"/>
    <w:rsid w:val="00827DE6"/>
    <w:rsid w:val="00831FC5"/>
    <w:rsid w:val="008372D6"/>
    <w:rsid w:val="00837934"/>
    <w:rsid w:val="00840401"/>
    <w:rsid w:val="00840772"/>
    <w:rsid w:val="00841A37"/>
    <w:rsid w:val="0084365B"/>
    <w:rsid w:val="0084529F"/>
    <w:rsid w:val="00845817"/>
    <w:rsid w:val="00847D10"/>
    <w:rsid w:val="00847DB1"/>
    <w:rsid w:val="00847F77"/>
    <w:rsid w:val="00850ECF"/>
    <w:rsid w:val="00851DED"/>
    <w:rsid w:val="00851E53"/>
    <w:rsid w:val="00852060"/>
    <w:rsid w:val="00854EB2"/>
    <w:rsid w:val="00856EB0"/>
    <w:rsid w:val="00860597"/>
    <w:rsid w:val="00860B56"/>
    <w:rsid w:val="00862CB6"/>
    <w:rsid w:val="00865A63"/>
    <w:rsid w:val="008666AC"/>
    <w:rsid w:val="008673A2"/>
    <w:rsid w:val="00867FAD"/>
    <w:rsid w:val="0087514B"/>
    <w:rsid w:val="00876A05"/>
    <w:rsid w:val="00877CEA"/>
    <w:rsid w:val="00877F10"/>
    <w:rsid w:val="0088148E"/>
    <w:rsid w:val="00884907"/>
    <w:rsid w:val="00884E3C"/>
    <w:rsid w:val="008857C7"/>
    <w:rsid w:val="008863C7"/>
    <w:rsid w:val="00887215"/>
    <w:rsid w:val="00887614"/>
    <w:rsid w:val="008968EB"/>
    <w:rsid w:val="0089760B"/>
    <w:rsid w:val="008A1754"/>
    <w:rsid w:val="008A1E8F"/>
    <w:rsid w:val="008A2340"/>
    <w:rsid w:val="008A2784"/>
    <w:rsid w:val="008B298A"/>
    <w:rsid w:val="008B2F5D"/>
    <w:rsid w:val="008B3775"/>
    <w:rsid w:val="008B41D3"/>
    <w:rsid w:val="008B43AF"/>
    <w:rsid w:val="008B4D97"/>
    <w:rsid w:val="008B4EB9"/>
    <w:rsid w:val="008B6FD2"/>
    <w:rsid w:val="008B78E5"/>
    <w:rsid w:val="008C013C"/>
    <w:rsid w:val="008C29CA"/>
    <w:rsid w:val="008C6926"/>
    <w:rsid w:val="008D037D"/>
    <w:rsid w:val="008D21EA"/>
    <w:rsid w:val="008D6C6E"/>
    <w:rsid w:val="008D726B"/>
    <w:rsid w:val="008E1D2C"/>
    <w:rsid w:val="008E2471"/>
    <w:rsid w:val="008E4606"/>
    <w:rsid w:val="008E54EB"/>
    <w:rsid w:val="008E724C"/>
    <w:rsid w:val="008E74AC"/>
    <w:rsid w:val="008E7909"/>
    <w:rsid w:val="008F0878"/>
    <w:rsid w:val="008F0D0A"/>
    <w:rsid w:val="008F1DD4"/>
    <w:rsid w:val="008F587A"/>
    <w:rsid w:val="008F5976"/>
    <w:rsid w:val="008F5B97"/>
    <w:rsid w:val="008F5FEF"/>
    <w:rsid w:val="008F6F3B"/>
    <w:rsid w:val="0090049B"/>
    <w:rsid w:val="00902D59"/>
    <w:rsid w:val="0090328F"/>
    <w:rsid w:val="0090415D"/>
    <w:rsid w:val="00910449"/>
    <w:rsid w:val="00912F68"/>
    <w:rsid w:val="0091303C"/>
    <w:rsid w:val="00915CB1"/>
    <w:rsid w:val="00915FD0"/>
    <w:rsid w:val="00923B54"/>
    <w:rsid w:val="0092476F"/>
    <w:rsid w:val="00925D0E"/>
    <w:rsid w:val="00926443"/>
    <w:rsid w:val="009317B5"/>
    <w:rsid w:val="00932E1A"/>
    <w:rsid w:val="009331C0"/>
    <w:rsid w:val="00934477"/>
    <w:rsid w:val="00934CD8"/>
    <w:rsid w:val="00937EA7"/>
    <w:rsid w:val="009417A1"/>
    <w:rsid w:val="00943386"/>
    <w:rsid w:val="00943753"/>
    <w:rsid w:val="00945A04"/>
    <w:rsid w:val="0095311D"/>
    <w:rsid w:val="009539DE"/>
    <w:rsid w:val="00956BF8"/>
    <w:rsid w:val="009575C5"/>
    <w:rsid w:val="00961FF8"/>
    <w:rsid w:val="00962099"/>
    <w:rsid w:val="009623B3"/>
    <w:rsid w:val="00963E93"/>
    <w:rsid w:val="009642D5"/>
    <w:rsid w:val="00965B8F"/>
    <w:rsid w:val="00965EC1"/>
    <w:rsid w:val="0096600F"/>
    <w:rsid w:val="009663ED"/>
    <w:rsid w:val="0096673C"/>
    <w:rsid w:val="00967C76"/>
    <w:rsid w:val="00970E84"/>
    <w:rsid w:val="00971460"/>
    <w:rsid w:val="009728FF"/>
    <w:rsid w:val="00972CF6"/>
    <w:rsid w:val="00972F0B"/>
    <w:rsid w:val="0097325F"/>
    <w:rsid w:val="00973C8C"/>
    <w:rsid w:val="00974B56"/>
    <w:rsid w:val="009763CE"/>
    <w:rsid w:val="009766C8"/>
    <w:rsid w:val="0098064C"/>
    <w:rsid w:val="0098548E"/>
    <w:rsid w:val="00994BAE"/>
    <w:rsid w:val="009A0083"/>
    <w:rsid w:val="009A2D41"/>
    <w:rsid w:val="009A3AD4"/>
    <w:rsid w:val="009A6CAB"/>
    <w:rsid w:val="009B038E"/>
    <w:rsid w:val="009B15AC"/>
    <w:rsid w:val="009B1B62"/>
    <w:rsid w:val="009B518A"/>
    <w:rsid w:val="009B5F49"/>
    <w:rsid w:val="009B6664"/>
    <w:rsid w:val="009B76ED"/>
    <w:rsid w:val="009B79AE"/>
    <w:rsid w:val="009C3EE7"/>
    <w:rsid w:val="009C4C24"/>
    <w:rsid w:val="009C57DF"/>
    <w:rsid w:val="009C5B7C"/>
    <w:rsid w:val="009C6BD1"/>
    <w:rsid w:val="009C7B9D"/>
    <w:rsid w:val="009D0699"/>
    <w:rsid w:val="009D3D9C"/>
    <w:rsid w:val="009D5006"/>
    <w:rsid w:val="009D71B0"/>
    <w:rsid w:val="009D7620"/>
    <w:rsid w:val="009E07DC"/>
    <w:rsid w:val="009E109D"/>
    <w:rsid w:val="009E58F5"/>
    <w:rsid w:val="009F075E"/>
    <w:rsid w:val="009F10F5"/>
    <w:rsid w:val="009F3124"/>
    <w:rsid w:val="009F453D"/>
    <w:rsid w:val="009F4A3A"/>
    <w:rsid w:val="00A067BD"/>
    <w:rsid w:val="00A07313"/>
    <w:rsid w:val="00A125CB"/>
    <w:rsid w:val="00A1676D"/>
    <w:rsid w:val="00A2436F"/>
    <w:rsid w:val="00A265B0"/>
    <w:rsid w:val="00A27CD5"/>
    <w:rsid w:val="00A30B0C"/>
    <w:rsid w:val="00A30D8A"/>
    <w:rsid w:val="00A30DBF"/>
    <w:rsid w:val="00A320F9"/>
    <w:rsid w:val="00A35395"/>
    <w:rsid w:val="00A4066C"/>
    <w:rsid w:val="00A440FE"/>
    <w:rsid w:val="00A464F8"/>
    <w:rsid w:val="00A578D3"/>
    <w:rsid w:val="00A61576"/>
    <w:rsid w:val="00A61B28"/>
    <w:rsid w:val="00A7141D"/>
    <w:rsid w:val="00A74116"/>
    <w:rsid w:val="00A75A84"/>
    <w:rsid w:val="00A8042A"/>
    <w:rsid w:val="00A80DBE"/>
    <w:rsid w:val="00A81585"/>
    <w:rsid w:val="00A81D7B"/>
    <w:rsid w:val="00A82112"/>
    <w:rsid w:val="00A877E5"/>
    <w:rsid w:val="00A91B96"/>
    <w:rsid w:val="00A92B0C"/>
    <w:rsid w:val="00A939F1"/>
    <w:rsid w:val="00A967B5"/>
    <w:rsid w:val="00A97295"/>
    <w:rsid w:val="00AA5DB3"/>
    <w:rsid w:val="00AB149F"/>
    <w:rsid w:val="00AB3F2E"/>
    <w:rsid w:val="00AB5628"/>
    <w:rsid w:val="00AB5694"/>
    <w:rsid w:val="00AB56C7"/>
    <w:rsid w:val="00AB5A38"/>
    <w:rsid w:val="00AB6277"/>
    <w:rsid w:val="00AB75CD"/>
    <w:rsid w:val="00AC1B7A"/>
    <w:rsid w:val="00AC32A3"/>
    <w:rsid w:val="00AC39EB"/>
    <w:rsid w:val="00AC4FF3"/>
    <w:rsid w:val="00AD6134"/>
    <w:rsid w:val="00AD7069"/>
    <w:rsid w:val="00AE071F"/>
    <w:rsid w:val="00AE3DCF"/>
    <w:rsid w:val="00AE529D"/>
    <w:rsid w:val="00AF506A"/>
    <w:rsid w:val="00AF56AD"/>
    <w:rsid w:val="00AF629F"/>
    <w:rsid w:val="00AF7D5C"/>
    <w:rsid w:val="00B00FCA"/>
    <w:rsid w:val="00B0482D"/>
    <w:rsid w:val="00B0550B"/>
    <w:rsid w:val="00B056B8"/>
    <w:rsid w:val="00B063D8"/>
    <w:rsid w:val="00B071F7"/>
    <w:rsid w:val="00B11A3C"/>
    <w:rsid w:val="00B1291D"/>
    <w:rsid w:val="00B1608E"/>
    <w:rsid w:val="00B16F71"/>
    <w:rsid w:val="00B17B04"/>
    <w:rsid w:val="00B17CB8"/>
    <w:rsid w:val="00B200B7"/>
    <w:rsid w:val="00B22D1C"/>
    <w:rsid w:val="00B23059"/>
    <w:rsid w:val="00B2404A"/>
    <w:rsid w:val="00B241F7"/>
    <w:rsid w:val="00B242D8"/>
    <w:rsid w:val="00B25348"/>
    <w:rsid w:val="00B279A9"/>
    <w:rsid w:val="00B303C3"/>
    <w:rsid w:val="00B37D0C"/>
    <w:rsid w:val="00B40949"/>
    <w:rsid w:val="00B40D49"/>
    <w:rsid w:val="00B41485"/>
    <w:rsid w:val="00B43652"/>
    <w:rsid w:val="00B46A9C"/>
    <w:rsid w:val="00B46F6A"/>
    <w:rsid w:val="00B4756A"/>
    <w:rsid w:val="00B53CBC"/>
    <w:rsid w:val="00B55685"/>
    <w:rsid w:val="00B55B28"/>
    <w:rsid w:val="00B56900"/>
    <w:rsid w:val="00B61BD3"/>
    <w:rsid w:val="00B6241E"/>
    <w:rsid w:val="00B62688"/>
    <w:rsid w:val="00B62F56"/>
    <w:rsid w:val="00B646B1"/>
    <w:rsid w:val="00B67B3B"/>
    <w:rsid w:val="00B704D4"/>
    <w:rsid w:val="00B7092F"/>
    <w:rsid w:val="00B714E9"/>
    <w:rsid w:val="00B72D19"/>
    <w:rsid w:val="00B74165"/>
    <w:rsid w:val="00B74F48"/>
    <w:rsid w:val="00B76A4E"/>
    <w:rsid w:val="00B770AE"/>
    <w:rsid w:val="00B77A5C"/>
    <w:rsid w:val="00B77D52"/>
    <w:rsid w:val="00B80DE8"/>
    <w:rsid w:val="00B80ED8"/>
    <w:rsid w:val="00B84EFD"/>
    <w:rsid w:val="00B85A08"/>
    <w:rsid w:val="00B913CB"/>
    <w:rsid w:val="00B92EC1"/>
    <w:rsid w:val="00B93DBD"/>
    <w:rsid w:val="00B93E95"/>
    <w:rsid w:val="00B97205"/>
    <w:rsid w:val="00B97B70"/>
    <w:rsid w:val="00BA3C69"/>
    <w:rsid w:val="00BA6CB1"/>
    <w:rsid w:val="00BB1604"/>
    <w:rsid w:val="00BB187E"/>
    <w:rsid w:val="00BB1D94"/>
    <w:rsid w:val="00BB28B7"/>
    <w:rsid w:val="00BB3D50"/>
    <w:rsid w:val="00BB4489"/>
    <w:rsid w:val="00BB4783"/>
    <w:rsid w:val="00BB5259"/>
    <w:rsid w:val="00BB688B"/>
    <w:rsid w:val="00BB7A01"/>
    <w:rsid w:val="00BC1953"/>
    <w:rsid w:val="00BC3178"/>
    <w:rsid w:val="00BC4D2F"/>
    <w:rsid w:val="00BD1C1C"/>
    <w:rsid w:val="00BD296C"/>
    <w:rsid w:val="00BD644C"/>
    <w:rsid w:val="00BD6624"/>
    <w:rsid w:val="00BD6C3D"/>
    <w:rsid w:val="00BD7006"/>
    <w:rsid w:val="00BD7A82"/>
    <w:rsid w:val="00BE068C"/>
    <w:rsid w:val="00BE256B"/>
    <w:rsid w:val="00BE4275"/>
    <w:rsid w:val="00BE4E24"/>
    <w:rsid w:val="00BE5CDF"/>
    <w:rsid w:val="00BE762A"/>
    <w:rsid w:val="00BF0E3F"/>
    <w:rsid w:val="00BF786E"/>
    <w:rsid w:val="00C00123"/>
    <w:rsid w:val="00C004FB"/>
    <w:rsid w:val="00C01569"/>
    <w:rsid w:val="00C021E5"/>
    <w:rsid w:val="00C02AF6"/>
    <w:rsid w:val="00C0591C"/>
    <w:rsid w:val="00C05C12"/>
    <w:rsid w:val="00C1213C"/>
    <w:rsid w:val="00C12995"/>
    <w:rsid w:val="00C13282"/>
    <w:rsid w:val="00C1436A"/>
    <w:rsid w:val="00C14E70"/>
    <w:rsid w:val="00C20D9B"/>
    <w:rsid w:val="00C212FE"/>
    <w:rsid w:val="00C21772"/>
    <w:rsid w:val="00C22444"/>
    <w:rsid w:val="00C22867"/>
    <w:rsid w:val="00C23A4A"/>
    <w:rsid w:val="00C2610C"/>
    <w:rsid w:val="00C3036D"/>
    <w:rsid w:val="00C3205E"/>
    <w:rsid w:val="00C408B1"/>
    <w:rsid w:val="00C41C74"/>
    <w:rsid w:val="00C46599"/>
    <w:rsid w:val="00C46A69"/>
    <w:rsid w:val="00C5419C"/>
    <w:rsid w:val="00C5519B"/>
    <w:rsid w:val="00C56914"/>
    <w:rsid w:val="00C57288"/>
    <w:rsid w:val="00C63822"/>
    <w:rsid w:val="00C644BA"/>
    <w:rsid w:val="00C65A02"/>
    <w:rsid w:val="00C76904"/>
    <w:rsid w:val="00C8017E"/>
    <w:rsid w:val="00C82DCD"/>
    <w:rsid w:val="00C85173"/>
    <w:rsid w:val="00C91EE0"/>
    <w:rsid w:val="00C93E09"/>
    <w:rsid w:val="00C9477C"/>
    <w:rsid w:val="00C950F3"/>
    <w:rsid w:val="00C959BC"/>
    <w:rsid w:val="00C96096"/>
    <w:rsid w:val="00CA0B3C"/>
    <w:rsid w:val="00CA4F79"/>
    <w:rsid w:val="00CA692D"/>
    <w:rsid w:val="00CA6974"/>
    <w:rsid w:val="00CB1862"/>
    <w:rsid w:val="00CB298E"/>
    <w:rsid w:val="00CB3020"/>
    <w:rsid w:val="00CB64A2"/>
    <w:rsid w:val="00CB7E92"/>
    <w:rsid w:val="00CC0ED3"/>
    <w:rsid w:val="00CC2288"/>
    <w:rsid w:val="00CC3CBB"/>
    <w:rsid w:val="00CC5650"/>
    <w:rsid w:val="00CC569E"/>
    <w:rsid w:val="00CC6968"/>
    <w:rsid w:val="00CC7D65"/>
    <w:rsid w:val="00CD18A4"/>
    <w:rsid w:val="00CD1A76"/>
    <w:rsid w:val="00CD2887"/>
    <w:rsid w:val="00CD2D3D"/>
    <w:rsid w:val="00CD3F98"/>
    <w:rsid w:val="00CD441F"/>
    <w:rsid w:val="00CD4CAC"/>
    <w:rsid w:val="00CD608B"/>
    <w:rsid w:val="00CD7290"/>
    <w:rsid w:val="00CD7EFD"/>
    <w:rsid w:val="00CE0915"/>
    <w:rsid w:val="00CE16B6"/>
    <w:rsid w:val="00CE2499"/>
    <w:rsid w:val="00CE2861"/>
    <w:rsid w:val="00CE2C85"/>
    <w:rsid w:val="00CE6602"/>
    <w:rsid w:val="00CE70D6"/>
    <w:rsid w:val="00CE7C75"/>
    <w:rsid w:val="00CF5472"/>
    <w:rsid w:val="00CF5A6B"/>
    <w:rsid w:val="00CF76AC"/>
    <w:rsid w:val="00D01235"/>
    <w:rsid w:val="00D03C27"/>
    <w:rsid w:val="00D07663"/>
    <w:rsid w:val="00D12BC8"/>
    <w:rsid w:val="00D152D0"/>
    <w:rsid w:val="00D24F41"/>
    <w:rsid w:val="00D30BB0"/>
    <w:rsid w:val="00D34520"/>
    <w:rsid w:val="00D36042"/>
    <w:rsid w:val="00D368E8"/>
    <w:rsid w:val="00D44058"/>
    <w:rsid w:val="00D506E6"/>
    <w:rsid w:val="00D51121"/>
    <w:rsid w:val="00D51505"/>
    <w:rsid w:val="00D605C5"/>
    <w:rsid w:val="00D61FB1"/>
    <w:rsid w:val="00D63269"/>
    <w:rsid w:val="00D6400C"/>
    <w:rsid w:val="00D73EEE"/>
    <w:rsid w:val="00D74D35"/>
    <w:rsid w:val="00D74E7D"/>
    <w:rsid w:val="00D754B5"/>
    <w:rsid w:val="00D76168"/>
    <w:rsid w:val="00D778A1"/>
    <w:rsid w:val="00D81C92"/>
    <w:rsid w:val="00D81D39"/>
    <w:rsid w:val="00D84860"/>
    <w:rsid w:val="00D84EAC"/>
    <w:rsid w:val="00D8589D"/>
    <w:rsid w:val="00D861FC"/>
    <w:rsid w:val="00D86482"/>
    <w:rsid w:val="00D86685"/>
    <w:rsid w:val="00D902CE"/>
    <w:rsid w:val="00D9230D"/>
    <w:rsid w:val="00D947F0"/>
    <w:rsid w:val="00D95CB6"/>
    <w:rsid w:val="00D96BE5"/>
    <w:rsid w:val="00D97ADB"/>
    <w:rsid w:val="00DA5FC6"/>
    <w:rsid w:val="00DA72C4"/>
    <w:rsid w:val="00DB1AA0"/>
    <w:rsid w:val="00DB4875"/>
    <w:rsid w:val="00DB64D3"/>
    <w:rsid w:val="00DB67DF"/>
    <w:rsid w:val="00DB6964"/>
    <w:rsid w:val="00DC0B96"/>
    <w:rsid w:val="00DC18D5"/>
    <w:rsid w:val="00DC22D8"/>
    <w:rsid w:val="00DC2A05"/>
    <w:rsid w:val="00DC72CF"/>
    <w:rsid w:val="00DD03BB"/>
    <w:rsid w:val="00DD12C6"/>
    <w:rsid w:val="00DD141D"/>
    <w:rsid w:val="00DD1E9E"/>
    <w:rsid w:val="00DD657A"/>
    <w:rsid w:val="00DE0C04"/>
    <w:rsid w:val="00DE1D16"/>
    <w:rsid w:val="00DE2D53"/>
    <w:rsid w:val="00DE354A"/>
    <w:rsid w:val="00DE39B0"/>
    <w:rsid w:val="00DE3E91"/>
    <w:rsid w:val="00DE43BD"/>
    <w:rsid w:val="00DE5ED7"/>
    <w:rsid w:val="00DF2A93"/>
    <w:rsid w:val="00DF3686"/>
    <w:rsid w:val="00DF4672"/>
    <w:rsid w:val="00DF4A9A"/>
    <w:rsid w:val="00E0070F"/>
    <w:rsid w:val="00E12320"/>
    <w:rsid w:val="00E13966"/>
    <w:rsid w:val="00E15466"/>
    <w:rsid w:val="00E154B8"/>
    <w:rsid w:val="00E1603C"/>
    <w:rsid w:val="00E21F74"/>
    <w:rsid w:val="00E2369D"/>
    <w:rsid w:val="00E24DFC"/>
    <w:rsid w:val="00E26BEA"/>
    <w:rsid w:val="00E3660A"/>
    <w:rsid w:val="00E41B78"/>
    <w:rsid w:val="00E43DBD"/>
    <w:rsid w:val="00E44928"/>
    <w:rsid w:val="00E44BCA"/>
    <w:rsid w:val="00E50B6B"/>
    <w:rsid w:val="00E54591"/>
    <w:rsid w:val="00E552D7"/>
    <w:rsid w:val="00E5594D"/>
    <w:rsid w:val="00E55F69"/>
    <w:rsid w:val="00E568D2"/>
    <w:rsid w:val="00E609E9"/>
    <w:rsid w:val="00E61798"/>
    <w:rsid w:val="00E61FAC"/>
    <w:rsid w:val="00E62F4B"/>
    <w:rsid w:val="00E63E80"/>
    <w:rsid w:val="00E666F0"/>
    <w:rsid w:val="00E71491"/>
    <w:rsid w:val="00E75467"/>
    <w:rsid w:val="00E76FC3"/>
    <w:rsid w:val="00E81C40"/>
    <w:rsid w:val="00E82BF1"/>
    <w:rsid w:val="00E834E0"/>
    <w:rsid w:val="00E83B45"/>
    <w:rsid w:val="00E856EF"/>
    <w:rsid w:val="00E85C10"/>
    <w:rsid w:val="00E86452"/>
    <w:rsid w:val="00E8686B"/>
    <w:rsid w:val="00E86C78"/>
    <w:rsid w:val="00E930A6"/>
    <w:rsid w:val="00E950D5"/>
    <w:rsid w:val="00EA0120"/>
    <w:rsid w:val="00EA04F8"/>
    <w:rsid w:val="00EA341C"/>
    <w:rsid w:val="00EA4FDE"/>
    <w:rsid w:val="00EA5C57"/>
    <w:rsid w:val="00EA5CE8"/>
    <w:rsid w:val="00EB4765"/>
    <w:rsid w:val="00EB4CED"/>
    <w:rsid w:val="00EC22A8"/>
    <w:rsid w:val="00EC24E6"/>
    <w:rsid w:val="00EC26AB"/>
    <w:rsid w:val="00EC317F"/>
    <w:rsid w:val="00EC4F5B"/>
    <w:rsid w:val="00EC5534"/>
    <w:rsid w:val="00ED180E"/>
    <w:rsid w:val="00ED4FD6"/>
    <w:rsid w:val="00ED68C4"/>
    <w:rsid w:val="00EE0961"/>
    <w:rsid w:val="00EE2F0E"/>
    <w:rsid w:val="00EE5701"/>
    <w:rsid w:val="00EE57A0"/>
    <w:rsid w:val="00EF1672"/>
    <w:rsid w:val="00EF27B9"/>
    <w:rsid w:val="00EF642C"/>
    <w:rsid w:val="00EF7901"/>
    <w:rsid w:val="00F01ED7"/>
    <w:rsid w:val="00F01F41"/>
    <w:rsid w:val="00F028BB"/>
    <w:rsid w:val="00F07B06"/>
    <w:rsid w:val="00F10982"/>
    <w:rsid w:val="00F12924"/>
    <w:rsid w:val="00F12A60"/>
    <w:rsid w:val="00F13D27"/>
    <w:rsid w:val="00F141C2"/>
    <w:rsid w:val="00F15E4D"/>
    <w:rsid w:val="00F20B5F"/>
    <w:rsid w:val="00F20D89"/>
    <w:rsid w:val="00F23069"/>
    <w:rsid w:val="00F23079"/>
    <w:rsid w:val="00F23EA3"/>
    <w:rsid w:val="00F24C07"/>
    <w:rsid w:val="00F308B0"/>
    <w:rsid w:val="00F31626"/>
    <w:rsid w:val="00F3302A"/>
    <w:rsid w:val="00F360F4"/>
    <w:rsid w:val="00F36680"/>
    <w:rsid w:val="00F37045"/>
    <w:rsid w:val="00F40E20"/>
    <w:rsid w:val="00F41FD5"/>
    <w:rsid w:val="00F45149"/>
    <w:rsid w:val="00F45EC7"/>
    <w:rsid w:val="00F46E7D"/>
    <w:rsid w:val="00F47D61"/>
    <w:rsid w:val="00F52C8A"/>
    <w:rsid w:val="00F53A48"/>
    <w:rsid w:val="00F56762"/>
    <w:rsid w:val="00F6039E"/>
    <w:rsid w:val="00F60BAF"/>
    <w:rsid w:val="00F626E4"/>
    <w:rsid w:val="00F6643F"/>
    <w:rsid w:val="00F66C9F"/>
    <w:rsid w:val="00F67843"/>
    <w:rsid w:val="00F67A3F"/>
    <w:rsid w:val="00F704C2"/>
    <w:rsid w:val="00F71453"/>
    <w:rsid w:val="00F74565"/>
    <w:rsid w:val="00F7660A"/>
    <w:rsid w:val="00F77DAF"/>
    <w:rsid w:val="00F85385"/>
    <w:rsid w:val="00F86165"/>
    <w:rsid w:val="00F8621F"/>
    <w:rsid w:val="00F8645D"/>
    <w:rsid w:val="00F87FB1"/>
    <w:rsid w:val="00F901C0"/>
    <w:rsid w:val="00F90593"/>
    <w:rsid w:val="00F9161B"/>
    <w:rsid w:val="00FA01B6"/>
    <w:rsid w:val="00FA2CBA"/>
    <w:rsid w:val="00FA3E41"/>
    <w:rsid w:val="00FA4E61"/>
    <w:rsid w:val="00FA59C3"/>
    <w:rsid w:val="00FA7902"/>
    <w:rsid w:val="00FB06D4"/>
    <w:rsid w:val="00FB14EC"/>
    <w:rsid w:val="00FB2861"/>
    <w:rsid w:val="00FB2D24"/>
    <w:rsid w:val="00FB33E6"/>
    <w:rsid w:val="00FB46E0"/>
    <w:rsid w:val="00FB5D22"/>
    <w:rsid w:val="00FB67AA"/>
    <w:rsid w:val="00FB6DD2"/>
    <w:rsid w:val="00FC0016"/>
    <w:rsid w:val="00FC15EA"/>
    <w:rsid w:val="00FC19A4"/>
    <w:rsid w:val="00FC2229"/>
    <w:rsid w:val="00FC24A6"/>
    <w:rsid w:val="00FC5120"/>
    <w:rsid w:val="00FC5B42"/>
    <w:rsid w:val="00FD09D3"/>
    <w:rsid w:val="00FD1177"/>
    <w:rsid w:val="00FD2D0B"/>
    <w:rsid w:val="00FD39E1"/>
    <w:rsid w:val="00FD3C2A"/>
    <w:rsid w:val="00FD4FC9"/>
    <w:rsid w:val="00FD70F9"/>
    <w:rsid w:val="00FE15C7"/>
    <w:rsid w:val="00FE2FD9"/>
    <w:rsid w:val="00FE3910"/>
    <w:rsid w:val="00FE44BF"/>
    <w:rsid w:val="00FE47BB"/>
    <w:rsid w:val="00FE597F"/>
    <w:rsid w:val="00FE6F23"/>
    <w:rsid w:val="00FE70E9"/>
    <w:rsid w:val="00FE797E"/>
    <w:rsid w:val="00FF0F35"/>
    <w:rsid w:val="00FF21A0"/>
    <w:rsid w:val="00FF2915"/>
    <w:rsid w:val="00FF3303"/>
    <w:rsid w:val="00FF331F"/>
    <w:rsid w:val="00FF3940"/>
    <w:rsid w:val="00FF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74D6"/>
  <w15:chartTrackingRefBased/>
  <w15:docId w15:val="{DF756E7D-F187-4C72-9B94-88C7C278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F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0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05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F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6F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05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E057A"/>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3F3486"/>
    <w:rPr>
      <w:color w:val="666666"/>
    </w:rPr>
  </w:style>
  <w:style w:type="paragraph" w:styleId="Caption">
    <w:name w:val="caption"/>
    <w:basedOn w:val="Normal"/>
    <w:next w:val="Normal"/>
    <w:uiPriority w:val="35"/>
    <w:unhideWhenUsed/>
    <w:qFormat/>
    <w:rsid w:val="003C04C0"/>
    <w:pPr>
      <w:spacing w:after="200" w:line="240" w:lineRule="auto"/>
    </w:pPr>
    <w:rPr>
      <w:i/>
      <w:iCs/>
      <w:color w:val="44546A" w:themeColor="text2"/>
      <w:sz w:val="18"/>
      <w:szCs w:val="18"/>
    </w:rPr>
  </w:style>
  <w:style w:type="paragraph" w:styleId="ListParagraph">
    <w:name w:val="List Paragraph"/>
    <w:basedOn w:val="Normal"/>
    <w:uiPriority w:val="34"/>
    <w:qFormat/>
    <w:rsid w:val="00EA341C"/>
    <w:pPr>
      <w:ind w:left="720"/>
      <w:contextualSpacing/>
    </w:pPr>
  </w:style>
  <w:style w:type="character" w:styleId="CommentReference">
    <w:name w:val="annotation reference"/>
    <w:basedOn w:val="DefaultParagraphFont"/>
    <w:uiPriority w:val="99"/>
    <w:semiHidden/>
    <w:unhideWhenUsed/>
    <w:rsid w:val="00C408B1"/>
    <w:rPr>
      <w:sz w:val="16"/>
      <w:szCs w:val="16"/>
    </w:rPr>
  </w:style>
  <w:style w:type="paragraph" w:styleId="CommentText">
    <w:name w:val="annotation text"/>
    <w:basedOn w:val="Normal"/>
    <w:link w:val="CommentTextChar"/>
    <w:uiPriority w:val="99"/>
    <w:semiHidden/>
    <w:unhideWhenUsed/>
    <w:rsid w:val="00C408B1"/>
    <w:pPr>
      <w:spacing w:line="240" w:lineRule="auto"/>
    </w:pPr>
    <w:rPr>
      <w:sz w:val="20"/>
      <w:szCs w:val="20"/>
    </w:rPr>
  </w:style>
  <w:style w:type="character" w:customStyle="1" w:styleId="CommentTextChar">
    <w:name w:val="Comment Text Char"/>
    <w:basedOn w:val="DefaultParagraphFont"/>
    <w:link w:val="CommentText"/>
    <w:uiPriority w:val="99"/>
    <w:semiHidden/>
    <w:rsid w:val="00C408B1"/>
    <w:rPr>
      <w:sz w:val="20"/>
      <w:szCs w:val="20"/>
    </w:rPr>
  </w:style>
  <w:style w:type="paragraph" w:styleId="CommentSubject">
    <w:name w:val="annotation subject"/>
    <w:basedOn w:val="CommentText"/>
    <w:next w:val="CommentText"/>
    <w:link w:val="CommentSubjectChar"/>
    <w:uiPriority w:val="99"/>
    <w:semiHidden/>
    <w:unhideWhenUsed/>
    <w:rsid w:val="00C408B1"/>
    <w:rPr>
      <w:b/>
      <w:bCs/>
    </w:rPr>
  </w:style>
  <w:style w:type="character" w:customStyle="1" w:styleId="CommentSubjectChar">
    <w:name w:val="Comment Subject Char"/>
    <w:basedOn w:val="CommentTextChar"/>
    <w:link w:val="CommentSubject"/>
    <w:uiPriority w:val="99"/>
    <w:semiHidden/>
    <w:rsid w:val="00C408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1305">
      <w:bodyDiv w:val="1"/>
      <w:marLeft w:val="0"/>
      <w:marRight w:val="0"/>
      <w:marTop w:val="0"/>
      <w:marBottom w:val="0"/>
      <w:divBdr>
        <w:top w:val="none" w:sz="0" w:space="0" w:color="auto"/>
        <w:left w:val="none" w:sz="0" w:space="0" w:color="auto"/>
        <w:bottom w:val="none" w:sz="0" w:space="0" w:color="auto"/>
        <w:right w:val="none" w:sz="0" w:space="0" w:color="auto"/>
      </w:divBdr>
    </w:div>
    <w:div w:id="400063637">
      <w:bodyDiv w:val="1"/>
      <w:marLeft w:val="0"/>
      <w:marRight w:val="0"/>
      <w:marTop w:val="0"/>
      <w:marBottom w:val="0"/>
      <w:divBdr>
        <w:top w:val="none" w:sz="0" w:space="0" w:color="auto"/>
        <w:left w:val="none" w:sz="0" w:space="0" w:color="auto"/>
        <w:bottom w:val="none" w:sz="0" w:space="0" w:color="auto"/>
        <w:right w:val="none" w:sz="0" w:space="0" w:color="auto"/>
      </w:divBdr>
    </w:div>
    <w:div w:id="655034200">
      <w:bodyDiv w:val="1"/>
      <w:marLeft w:val="0"/>
      <w:marRight w:val="0"/>
      <w:marTop w:val="0"/>
      <w:marBottom w:val="0"/>
      <w:divBdr>
        <w:top w:val="none" w:sz="0" w:space="0" w:color="auto"/>
        <w:left w:val="none" w:sz="0" w:space="0" w:color="auto"/>
        <w:bottom w:val="none" w:sz="0" w:space="0" w:color="auto"/>
        <w:right w:val="none" w:sz="0" w:space="0" w:color="auto"/>
      </w:divBdr>
    </w:div>
    <w:div w:id="824976647">
      <w:bodyDiv w:val="1"/>
      <w:marLeft w:val="0"/>
      <w:marRight w:val="0"/>
      <w:marTop w:val="0"/>
      <w:marBottom w:val="0"/>
      <w:divBdr>
        <w:top w:val="none" w:sz="0" w:space="0" w:color="auto"/>
        <w:left w:val="none" w:sz="0" w:space="0" w:color="auto"/>
        <w:bottom w:val="none" w:sz="0" w:space="0" w:color="auto"/>
        <w:right w:val="none" w:sz="0" w:space="0" w:color="auto"/>
      </w:divBdr>
    </w:div>
    <w:div w:id="1946840664">
      <w:bodyDiv w:val="1"/>
      <w:marLeft w:val="0"/>
      <w:marRight w:val="0"/>
      <w:marTop w:val="0"/>
      <w:marBottom w:val="0"/>
      <w:divBdr>
        <w:top w:val="none" w:sz="0" w:space="0" w:color="auto"/>
        <w:left w:val="none" w:sz="0" w:space="0" w:color="auto"/>
        <w:bottom w:val="none" w:sz="0" w:space="0" w:color="auto"/>
        <w:right w:val="none" w:sz="0" w:space="0" w:color="auto"/>
      </w:divBdr>
    </w:div>
    <w:div w:id="19795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chart" Target="charts/chart5.xml"/><Relationship Id="rId23" Type="http://schemas.microsoft.com/office/2011/relationships/people" Target="people.xml"/><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cota\Dropbox\prj\Turnleaf_Analytics\rpt\model_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a:t>
            </a:r>
            <a:r>
              <a:rPr lang="en-US" baseline="0"/>
              <a:t> Sharpe ETFs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SelectETFs!$I$5:$I$11</c:f>
              <c:numCache>
                <c:formatCode>0.0_);[Red]\(0.0\)</c:formatCode>
                <c:ptCount val="7"/>
                <c:pt idx="0">
                  <c:v>0.30588736747711565</c:v>
                </c:pt>
                <c:pt idx="1">
                  <c:v>0.43328966973092214</c:v>
                </c:pt>
                <c:pt idx="2">
                  <c:v>0.54899024852689837</c:v>
                </c:pt>
                <c:pt idx="3">
                  <c:v>0.67015410666859532</c:v>
                </c:pt>
                <c:pt idx="4">
                  <c:v>0.52004415669187343</c:v>
                </c:pt>
                <c:pt idx="5">
                  <c:v>0.32749280310512008</c:v>
                </c:pt>
                <c:pt idx="6">
                  <c:v>0.37574189683281134</c:v>
                </c:pt>
              </c:numCache>
            </c:numRef>
          </c:val>
          <c:extLst>
            <c:ext xmlns:c16="http://schemas.microsoft.com/office/drawing/2014/chart" uri="{C3380CC4-5D6E-409C-BE32-E72D297353CC}">
              <c16:uniqueId val="{00000000-FFC6-4623-A6F7-0C17781D497D}"/>
            </c:ext>
          </c:extLst>
        </c:ser>
        <c:ser>
          <c:idx val="1"/>
          <c:order val="1"/>
          <c:tx>
            <c:v>Model-Driven Long Only</c:v>
          </c:tx>
          <c:spPr>
            <a:solidFill>
              <a:schemeClr val="accent2"/>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SelectETFs!$J$5:$J$11</c:f>
              <c:numCache>
                <c:formatCode>0.0_);[Red]\(0.0\)</c:formatCode>
                <c:ptCount val="7"/>
                <c:pt idx="0">
                  <c:v>0.34685189014889151</c:v>
                </c:pt>
                <c:pt idx="1">
                  <c:v>0.65652343235625044</c:v>
                </c:pt>
                <c:pt idx="2">
                  <c:v>0.673450357831478</c:v>
                </c:pt>
                <c:pt idx="3">
                  <c:v>0.7498944993981832</c:v>
                </c:pt>
                <c:pt idx="4">
                  <c:v>0.60063212908922614</c:v>
                </c:pt>
                <c:pt idx="5">
                  <c:v>0.19840528656887979</c:v>
                </c:pt>
                <c:pt idx="6">
                  <c:v>0.13647392886345144</c:v>
                </c:pt>
              </c:numCache>
            </c:numRef>
          </c:val>
          <c:extLst>
            <c:ext xmlns:c16="http://schemas.microsoft.com/office/drawing/2014/chart" uri="{C3380CC4-5D6E-409C-BE32-E72D297353CC}">
              <c16:uniqueId val="{00000001-FFC6-4623-A6F7-0C17781D497D}"/>
            </c:ext>
          </c:extLst>
        </c:ser>
        <c:ser>
          <c:idx val="2"/>
          <c:order val="2"/>
          <c:tx>
            <c:v>Model-Driven Long/Short</c:v>
          </c:tx>
          <c:spPr>
            <a:solidFill>
              <a:schemeClr val="accent3"/>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SelectETFs!$K$5:$K$11</c:f>
              <c:numCache>
                <c:formatCode>0.0_);[Red]\(0.0\)</c:formatCode>
                <c:ptCount val="7"/>
                <c:pt idx="0">
                  <c:v>0.50591463617537624</c:v>
                </c:pt>
                <c:pt idx="1">
                  <c:v>1.2811449620614535</c:v>
                </c:pt>
                <c:pt idx="2">
                  <c:v>1.152339479243057</c:v>
                </c:pt>
                <c:pt idx="3">
                  <c:v>1.2661327088562588</c:v>
                </c:pt>
                <c:pt idx="4">
                  <c:v>1.2037507105511691</c:v>
                </c:pt>
                <c:pt idx="5">
                  <c:v>3.542857090682297E-2</c:v>
                </c:pt>
                <c:pt idx="6">
                  <c:v>-0.15581902027814354</c:v>
                </c:pt>
              </c:numCache>
            </c:numRef>
          </c:val>
          <c:extLst>
            <c:ext xmlns:c16="http://schemas.microsoft.com/office/drawing/2014/chart" uri="{C3380CC4-5D6E-409C-BE32-E72D297353CC}">
              <c16:uniqueId val="{00000002-FFC6-4623-A6F7-0C17781D497D}"/>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CAGR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SelectETFs!$D$20:$D$23</c:f>
              <c:strCache>
                <c:ptCount val="4"/>
                <c:pt idx="0">
                  <c:v>DBC</c:v>
                </c:pt>
                <c:pt idx="1">
                  <c:v>GSG</c:v>
                </c:pt>
                <c:pt idx="2">
                  <c:v>UNG</c:v>
                </c:pt>
                <c:pt idx="3">
                  <c:v>XOP</c:v>
                </c:pt>
              </c:strCache>
            </c:strRef>
          </c:cat>
          <c:val>
            <c:numRef>
              <c:f>SelectETFs!$F$20:$F$23</c:f>
              <c:numCache>
                <c:formatCode>0.0_);[Red]\(0.0\)</c:formatCode>
                <c:ptCount val="4"/>
                <c:pt idx="0">
                  <c:v>8.339554314425035</c:v>
                </c:pt>
                <c:pt idx="1">
                  <c:v>5.2508378291487023</c:v>
                </c:pt>
                <c:pt idx="2">
                  <c:v>-14.900995657779026</c:v>
                </c:pt>
                <c:pt idx="3">
                  <c:v>0.20586704845120263</c:v>
                </c:pt>
              </c:numCache>
            </c:numRef>
          </c:val>
          <c:extLst>
            <c:ext xmlns:c16="http://schemas.microsoft.com/office/drawing/2014/chart" uri="{C3380CC4-5D6E-409C-BE32-E72D297353CC}">
              <c16:uniqueId val="{00000000-6467-4926-89DD-39C27885D17A}"/>
            </c:ext>
          </c:extLst>
        </c:ser>
        <c:ser>
          <c:idx val="1"/>
          <c:order val="1"/>
          <c:tx>
            <c:v>Model-Driven Long Only</c:v>
          </c:tx>
          <c:spPr>
            <a:solidFill>
              <a:schemeClr val="accent2"/>
            </a:solidFill>
            <a:ln>
              <a:noFill/>
            </a:ln>
            <a:effectLst/>
          </c:spPr>
          <c:invertIfNegative val="0"/>
          <c:cat>
            <c:strRef>
              <c:f>SelectETFs!$D$20:$D$23</c:f>
              <c:strCache>
                <c:ptCount val="4"/>
                <c:pt idx="0">
                  <c:v>DBC</c:v>
                </c:pt>
                <c:pt idx="1">
                  <c:v>GSG</c:v>
                </c:pt>
                <c:pt idx="2">
                  <c:v>UNG</c:v>
                </c:pt>
                <c:pt idx="3">
                  <c:v>XOP</c:v>
                </c:pt>
              </c:strCache>
            </c:strRef>
          </c:cat>
          <c:val>
            <c:numRef>
              <c:f>SelectETFs!$G$20:$G$23</c:f>
              <c:numCache>
                <c:formatCode>0.0_);[Red]\(0.0\)</c:formatCode>
                <c:ptCount val="4"/>
                <c:pt idx="0">
                  <c:v>6.8424154041313745</c:v>
                </c:pt>
                <c:pt idx="1">
                  <c:v>6.3556257299548502</c:v>
                </c:pt>
                <c:pt idx="2">
                  <c:v>-10.983146308611936</c:v>
                </c:pt>
                <c:pt idx="3">
                  <c:v>1.1228864407560879</c:v>
                </c:pt>
              </c:numCache>
            </c:numRef>
          </c:val>
          <c:extLst>
            <c:ext xmlns:c16="http://schemas.microsoft.com/office/drawing/2014/chart" uri="{C3380CC4-5D6E-409C-BE32-E72D297353CC}">
              <c16:uniqueId val="{00000001-6467-4926-89DD-39C27885D17A}"/>
            </c:ext>
          </c:extLst>
        </c:ser>
        <c:ser>
          <c:idx val="2"/>
          <c:order val="2"/>
          <c:tx>
            <c:v>Model-Driven Long/Short</c:v>
          </c:tx>
          <c:spPr>
            <a:solidFill>
              <a:schemeClr val="accent3"/>
            </a:solidFill>
            <a:ln>
              <a:noFill/>
            </a:ln>
            <a:effectLst/>
          </c:spPr>
          <c:invertIfNegative val="0"/>
          <c:cat>
            <c:strRef>
              <c:f>SelectETFs!$D$20:$D$23</c:f>
              <c:strCache>
                <c:ptCount val="4"/>
                <c:pt idx="0">
                  <c:v>DBC</c:v>
                </c:pt>
                <c:pt idx="1">
                  <c:v>GSG</c:v>
                </c:pt>
                <c:pt idx="2">
                  <c:v>UNG</c:v>
                </c:pt>
                <c:pt idx="3">
                  <c:v>XOP</c:v>
                </c:pt>
              </c:strCache>
            </c:strRef>
          </c:cat>
          <c:val>
            <c:numRef>
              <c:f>SelectETFs!$H$20:$H$23</c:f>
              <c:numCache>
                <c:formatCode>0.0_);[Red]\(0.0\)</c:formatCode>
                <c:ptCount val="4"/>
                <c:pt idx="0">
                  <c:v>3.8840942851172011</c:v>
                </c:pt>
                <c:pt idx="1">
                  <c:v>4.0097996219862431</c:v>
                </c:pt>
                <c:pt idx="2">
                  <c:v>-20.226169819255414</c:v>
                </c:pt>
                <c:pt idx="3">
                  <c:v>-19.471895516786631</c:v>
                </c:pt>
              </c:numCache>
            </c:numRef>
          </c:val>
          <c:extLst>
            <c:ext xmlns:c16="http://schemas.microsoft.com/office/drawing/2014/chart" uri="{C3380CC4-5D6E-409C-BE32-E72D297353CC}">
              <c16:uniqueId val="{00000002-6467-4926-89DD-39C27885D17A}"/>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Sharpe Ratios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SelectETFs!$D$20:$D$23</c:f>
              <c:strCache>
                <c:ptCount val="4"/>
                <c:pt idx="0">
                  <c:v>DBC</c:v>
                </c:pt>
                <c:pt idx="1">
                  <c:v>GSG</c:v>
                </c:pt>
                <c:pt idx="2">
                  <c:v>UNG</c:v>
                </c:pt>
                <c:pt idx="3">
                  <c:v>XOP</c:v>
                </c:pt>
              </c:strCache>
            </c:strRef>
          </c:cat>
          <c:val>
            <c:numRef>
              <c:f>SelectETFs!$I$20:$I$23</c:f>
              <c:numCache>
                <c:formatCode>0.0_);[Red]\(0.0\)</c:formatCode>
                <c:ptCount val="4"/>
                <c:pt idx="0">
                  <c:v>0.50238279002560449</c:v>
                </c:pt>
                <c:pt idx="1">
                  <c:v>0.24053311173379308</c:v>
                </c:pt>
                <c:pt idx="2">
                  <c:v>-0.29945730823510908</c:v>
                </c:pt>
                <c:pt idx="3">
                  <c:v>4.3829475931701648E-3</c:v>
                </c:pt>
              </c:numCache>
            </c:numRef>
          </c:val>
          <c:extLst>
            <c:ext xmlns:c16="http://schemas.microsoft.com/office/drawing/2014/chart" uri="{C3380CC4-5D6E-409C-BE32-E72D297353CC}">
              <c16:uniqueId val="{00000000-A834-42EC-A174-0CE4C7A9FBBF}"/>
            </c:ext>
          </c:extLst>
        </c:ser>
        <c:ser>
          <c:idx val="1"/>
          <c:order val="1"/>
          <c:tx>
            <c:v>Model-Driven Long Only</c:v>
          </c:tx>
          <c:spPr>
            <a:solidFill>
              <a:schemeClr val="accent2"/>
            </a:solidFill>
            <a:ln>
              <a:noFill/>
            </a:ln>
            <a:effectLst/>
          </c:spPr>
          <c:invertIfNegative val="0"/>
          <c:cat>
            <c:strRef>
              <c:f>SelectETFs!$D$20:$D$23</c:f>
              <c:strCache>
                <c:ptCount val="4"/>
                <c:pt idx="0">
                  <c:v>DBC</c:v>
                </c:pt>
                <c:pt idx="1">
                  <c:v>GSG</c:v>
                </c:pt>
                <c:pt idx="2">
                  <c:v>UNG</c:v>
                </c:pt>
                <c:pt idx="3">
                  <c:v>XOP</c:v>
                </c:pt>
              </c:strCache>
            </c:strRef>
          </c:cat>
          <c:val>
            <c:numRef>
              <c:f>SelectETFs!$J$20:$J$23</c:f>
              <c:numCache>
                <c:formatCode>0.0_);[Red]\(0.0\)</c:formatCode>
                <c:ptCount val="4"/>
                <c:pt idx="0">
                  <c:v>0.40923537106048891</c:v>
                </c:pt>
                <c:pt idx="1">
                  <c:v>0.29074225663105446</c:v>
                </c:pt>
                <c:pt idx="2">
                  <c:v>-0.22094440371377863</c:v>
                </c:pt>
                <c:pt idx="3">
                  <c:v>2.3860740347558178E-2</c:v>
                </c:pt>
              </c:numCache>
            </c:numRef>
          </c:val>
          <c:extLst>
            <c:ext xmlns:c16="http://schemas.microsoft.com/office/drawing/2014/chart" uri="{C3380CC4-5D6E-409C-BE32-E72D297353CC}">
              <c16:uniqueId val="{00000001-A834-42EC-A174-0CE4C7A9FBBF}"/>
            </c:ext>
          </c:extLst>
        </c:ser>
        <c:ser>
          <c:idx val="2"/>
          <c:order val="2"/>
          <c:tx>
            <c:v>Model-Driven Long/Short</c:v>
          </c:tx>
          <c:spPr>
            <a:solidFill>
              <a:schemeClr val="accent3"/>
            </a:solidFill>
            <a:ln>
              <a:noFill/>
            </a:ln>
            <a:effectLst/>
          </c:spPr>
          <c:invertIfNegative val="0"/>
          <c:cat>
            <c:strRef>
              <c:f>SelectETFs!$D$20:$D$23</c:f>
              <c:strCache>
                <c:ptCount val="4"/>
                <c:pt idx="0">
                  <c:v>DBC</c:v>
                </c:pt>
                <c:pt idx="1">
                  <c:v>GSG</c:v>
                </c:pt>
                <c:pt idx="2">
                  <c:v>UNG</c:v>
                </c:pt>
                <c:pt idx="3">
                  <c:v>XOP</c:v>
                </c:pt>
              </c:strCache>
            </c:strRef>
          </c:cat>
          <c:val>
            <c:numRef>
              <c:f>SelectETFs!$K$20:$K$23</c:f>
              <c:numCache>
                <c:formatCode>0.0_);[Red]\(0.0\)</c:formatCode>
                <c:ptCount val="4"/>
                <c:pt idx="0">
                  <c:v>0.31348622155909611</c:v>
                </c:pt>
                <c:pt idx="1">
                  <c:v>0.28641425871330306</c:v>
                </c:pt>
                <c:pt idx="2">
                  <c:v>-0.59576347037571176</c:v>
                </c:pt>
                <c:pt idx="3">
                  <c:v>-0.86773152926856645</c:v>
                </c:pt>
              </c:numCache>
            </c:numRef>
          </c:val>
          <c:extLst>
            <c:ext xmlns:c16="http://schemas.microsoft.com/office/drawing/2014/chart" uri="{C3380CC4-5D6E-409C-BE32-E72D297353CC}">
              <c16:uniqueId val="{00000002-A834-42EC-A174-0CE4C7A9FBBF}"/>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EDAPlots!$I$1</c:f>
              <c:strCache>
                <c:ptCount val="1"/>
                <c:pt idx="0">
                  <c:v>SPY TR</c:v>
                </c:pt>
              </c:strCache>
            </c:strRef>
          </c:tx>
          <c:spPr>
            <a:ln w="28575" cap="rnd">
              <a:solidFill>
                <a:schemeClr val="accent2"/>
              </a:solidFill>
              <a:round/>
            </a:ln>
            <a:effectLst/>
          </c:spPr>
          <c:marker>
            <c:symbol val="none"/>
          </c:marker>
          <c:cat>
            <c:strRef>
              <c:f>EDAPlots!$B$5:$B$136</c:f>
              <c:strCache>
                <c:ptCount val="132"/>
                <c:pt idx="0">
                  <c:v>JAN.2013</c:v>
                </c:pt>
                <c:pt idx="1">
                  <c:v>FEB.2013</c:v>
                </c:pt>
                <c:pt idx="2">
                  <c:v>MAR.2013</c:v>
                </c:pt>
                <c:pt idx="3">
                  <c:v>APR.2013</c:v>
                </c:pt>
                <c:pt idx="4">
                  <c:v>MAY.2013</c:v>
                </c:pt>
                <c:pt idx="5">
                  <c:v>JUN.2013</c:v>
                </c:pt>
                <c:pt idx="6">
                  <c:v>JUL.2013</c:v>
                </c:pt>
                <c:pt idx="7">
                  <c:v>AUG.2013</c:v>
                </c:pt>
                <c:pt idx="8">
                  <c:v>SEP.2013</c:v>
                </c:pt>
                <c:pt idx="9">
                  <c:v>OCT.2013</c:v>
                </c:pt>
                <c:pt idx="10">
                  <c:v>NOV.2013</c:v>
                </c:pt>
                <c:pt idx="11">
                  <c:v>DEC.2013</c:v>
                </c:pt>
                <c:pt idx="12">
                  <c:v>JAN.2014</c:v>
                </c:pt>
                <c:pt idx="13">
                  <c:v>FEB.2014</c:v>
                </c:pt>
                <c:pt idx="14">
                  <c:v>MAR.2014</c:v>
                </c:pt>
                <c:pt idx="15">
                  <c:v>APR.2014</c:v>
                </c:pt>
                <c:pt idx="16">
                  <c:v>MAY.2014</c:v>
                </c:pt>
                <c:pt idx="17">
                  <c:v>JUN.2014</c:v>
                </c:pt>
                <c:pt idx="18">
                  <c:v>JUL.2014</c:v>
                </c:pt>
                <c:pt idx="19">
                  <c:v>AUG.2014</c:v>
                </c:pt>
                <c:pt idx="20">
                  <c:v>SEP.2014</c:v>
                </c:pt>
                <c:pt idx="21">
                  <c:v>OCT.2014</c:v>
                </c:pt>
                <c:pt idx="22">
                  <c:v>NOV.2014</c:v>
                </c:pt>
                <c:pt idx="23">
                  <c:v>DEC.2014</c:v>
                </c:pt>
                <c:pt idx="24">
                  <c:v>JAN.2015</c:v>
                </c:pt>
                <c:pt idx="25">
                  <c:v>FEB.2015</c:v>
                </c:pt>
                <c:pt idx="26">
                  <c:v>MAR.2015</c:v>
                </c:pt>
                <c:pt idx="27">
                  <c:v>APR.2015</c:v>
                </c:pt>
                <c:pt idx="28">
                  <c:v>MAY.2015</c:v>
                </c:pt>
                <c:pt idx="29">
                  <c:v>JUN.2015</c:v>
                </c:pt>
                <c:pt idx="30">
                  <c:v>JUL.2015</c:v>
                </c:pt>
                <c:pt idx="31">
                  <c:v>AUG.2015</c:v>
                </c:pt>
                <c:pt idx="32">
                  <c:v>SEP.2015</c:v>
                </c:pt>
                <c:pt idx="33">
                  <c:v>OCT.2015</c:v>
                </c:pt>
                <c:pt idx="34">
                  <c:v>NOV.2015</c:v>
                </c:pt>
                <c:pt idx="35">
                  <c:v>DEC.2015</c:v>
                </c:pt>
                <c:pt idx="36">
                  <c:v>JAN.2016</c:v>
                </c:pt>
                <c:pt idx="37">
                  <c:v>FEB.2016</c:v>
                </c:pt>
                <c:pt idx="38">
                  <c:v>MAR.2016</c:v>
                </c:pt>
                <c:pt idx="39">
                  <c:v>APR.2016</c:v>
                </c:pt>
                <c:pt idx="40">
                  <c:v>MAY.2016</c:v>
                </c:pt>
                <c:pt idx="41">
                  <c:v>JUN.2016</c:v>
                </c:pt>
                <c:pt idx="42">
                  <c:v>JUL.2016</c:v>
                </c:pt>
                <c:pt idx="43">
                  <c:v>AUG.2016</c:v>
                </c:pt>
                <c:pt idx="44">
                  <c:v>SEP.2016</c:v>
                </c:pt>
                <c:pt idx="45">
                  <c:v>OCT.2016</c:v>
                </c:pt>
                <c:pt idx="46">
                  <c:v>NOV.2016</c:v>
                </c:pt>
                <c:pt idx="47">
                  <c:v>DEC.2016</c:v>
                </c:pt>
                <c:pt idx="48">
                  <c:v>JAN.2017</c:v>
                </c:pt>
                <c:pt idx="49">
                  <c:v>FEB.2017</c:v>
                </c:pt>
                <c:pt idx="50">
                  <c:v>MAR.2017</c:v>
                </c:pt>
                <c:pt idx="51">
                  <c:v>APR.2017</c:v>
                </c:pt>
                <c:pt idx="52">
                  <c:v>MAY.2017</c:v>
                </c:pt>
                <c:pt idx="53">
                  <c:v>JUN.2017</c:v>
                </c:pt>
                <c:pt idx="54">
                  <c:v>JUL.2017</c:v>
                </c:pt>
                <c:pt idx="55">
                  <c:v>AUG.2017</c:v>
                </c:pt>
                <c:pt idx="56">
                  <c:v>SEP.2017</c:v>
                </c:pt>
                <c:pt idx="57">
                  <c:v>OCT.2017</c:v>
                </c:pt>
                <c:pt idx="58">
                  <c:v>NOV.2017</c:v>
                </c:pt>
                <c:pt idx="59">
                  <c:v>DEC.2017</c:v>
                </c:pt>
                <c:pt idx="60">
                  <c:v>JAN.2018</c:v>
                </c:pt>
                <c:pt idx="61">
                  <c:v>FEB.2018</c:v>
                </c:pt>
                <c:pt idx="62">
                  <c:v>MAR.2018</c:v>
                </c:pt>
                <c:pt idx="63">
                  <c:v>APR.2018</c:v>
                </c:pt>
                <c:pt idx="64">
                  <c:v>MAY.2018</c:v>
                </c:pt>
                <c:pt idx="65">
                  <c:v>JUN.2018</c:v>
                </c:pt>
                <c:pt idx="66">
                  <c:v>JUL.2018</c:v>
                </c:pt>
                <c:pt idx="67">
                  <c:v>AUG.2018</c:v>
                </c:pt>
                <c:pt idx="68">
                  <c:v>SEP.2018</c:v>
                </c:pt>
                <c:pt idx="69">
                  <c:v>OCT.2018</c:v>
                </c:pt>
                <c:pt idx="70">
                  <c:v>NOV.2018</c:v>
                </c:pt>
                <c:pt idx="71">
                  <c:v>DEC.2018</c:v>
                </c:pt>
                <c:pt idx="72">
                  <c:v>JAN.2019</c:v>
                </c:pt>
                <c:pt idx="73">
                  <c:v>FEB.2019</c:v>
                </c:pt>
                <c:pt idx="74">
                  <c:v>MAR.2019</c:v>
                </c:pt>
                <c:pt idx="75">
                  <c:v>APR.2019</c:v>
                </c:pt>
                <c:pt idx="76">
                  <c:v>MAY.2019</c:v>
                </c:pt>
                <c:pt idx="77">
                  <c:v>JUN.2019</c:v>
                </c:pt>
                <c:pt idx="78">
                  <c:v>JUL.2019</c:v>
                </c:pt>
                <c:pt idx="79">
                  <c:v>AUG.2019</c:v>
                </c:pt>
                <c:pt idx="80">
                  <c:v>SEP.2019</c:v>
                </c:pt>
                <c:pt idx="81">
                  <c:v>OCT.2019</c:v>
                </c:pt>
                <c:pt idx="82">
                  <c:v>NOV.2019</c:v>
                </c:pt>
                <c:pt idx="83">
                  <c:v>DEC.2019</c:v>
                </c:pt>
                <c:pt idx="84">
                  <c:v>JAN.2020</c:v>
                </c:pt>
                <c:pt idx="85">
                  <c:v>FEB.2020</c:v>
                </c:pt>
                <c:pt idx="86">
                  <c:v>MAR.2020</c:v>
                </c:pt>
                <c:pt idx="87">
                  <c:v>APR.2020</c:v>
                </c:pt>
                <c:pt idx="88">
                  <c:v>MAY.2020</c:v>
                </c:pt>
                <c:pt idx="89">
                  <c:v>JUN.2020</c:v>
                </c:pt>
                <c:pt idx="90">
                  <c:v>JUL.2020</c:v>
                </c:pt>
                <c:pt idx="91">
                  <c:v>AUG.2020</c:v>
                </c:pt>
                <c:pt idx="92">
                  <c:v>SEP.2020</c:v>
                </c:pt>
                <c:pt idx="93">
                  <c:v>OCT.2020</c:v>
                </c:pt>
                <c:pt idx="94">
                  <c:v>NOV.2020</c:v>
                </c:pt>
                <c:pt idx="95">
                  <c:v>DEC.2020</c:v>
                </c:pt>
                <c:pt idx="96">
                  <c:v>JAN.2021</c:v>
                </c:pt>
                <c:pt idx="97">
                  <c:v>FEB.2021</c:v>
                </c:pt>
                <c:pt idx="98">
                  <c:v>MAR.2021</c:v>
                </c:pt>
                <c:pt idx="99">
                  <c:v>APR.2021</c:v>
                </c:pt>
                <c:pt idx="100">
                  <c:v>MAY.2021</c:v>
                </c:pt>
                <c:pt idx="101">
                  <c:v>JUN.2021</c:v>
                </c:pt>
                <c:pt idx="102">
                  <c:v>JUL.2021</c:v>
                </c:pt>
                <c:pt idx="103">
                  <c:v>AUG.2021</c:v>
                </c:pt>
                <c:pt idx="104">
                  <c:v>SEP.2021</c:v>
                </c:pt>
                <c:pt idx="105">
                  <c:v>OCT.2021</c:v>
                </c:pt>
                <c:pt idx="106">
                  <c:v>NOV.2021</c:v>
                </c:pt>
                <c:pt idx="107">
                  <c:v>DEC.2021</c:v>
                </c:pt>
                <c:pt idx="108">
                  <c:v>JAN.2022</c:v>
                </c:pt>
                <c:pt idx="109">
                  <c:v>FEB.2022</c:v>
                </c:pt>
                <c:pt idx="110">
                  <c:v>MAR.2022</c:v>
                </c:pt>
                <c:pt idx="111">
                  <c:v>APR.2022</c:v>
                </c:pt>
                <c:pt idx="112">
                  <c:v>MAY.2022</c:v>
                </c:pt>
                <c:pt idx="113">
                  <c:v>JUN.2022</c:v>
                </c:pt>
                <c:pt idx="114">
                  <c:v>JUL.2022</c:v>
                </c:pt>
                <c:pt idx="115">
                  <c:v>AUG.2022</c:v>
                </c:pt>
                <c:pt idx="116">
                  <c:v>SEP.2022</c:v>
                </c:pt>
                <c:pt idx="117">
                  <c:v>OCT.2022</c:v>
                </c:pt>
                <c:pt idx="118">
                  <c:v>NOV.2022</c:v>
                </c:pt>
                <c:pt idx="119">
                  <c:v>DEC.2022</c:v>
                </c:pt>
                <c:pt idx="120">
                  <c:v>JAN.2023</c:v>
                </c:pt>
                <c:pt idx="121">
                  <c:v>FEB.2023</c:v>
                </c:pt>
                <c:pt idx="122">
                  <c:v>MAR.2023</c:v>
                </c:pt>
                <c:pt idx="123">
                  <c:v>APR.2023</c:v>
                </c:pt>
                <c:pt idx="124">
                  <c:v>MAY.2023</c:v>
                </c:pt>
                <c:pt idx="125">
                  <c:v>JUN.2023</c:v>
                </c:pt>
                <c:pt idx="126">
                  <c:v>JUL.2023</c:v>
                </c:pt>
                <c:pt idx="127">
                  <c:v>AUG.2023</c:v>
                </c:pt>
                <c:pt idx="128">
                  <c:v>SEP.2023</c:v>
                </c:pt>
                <c:pt idx="129">
                  <c:v>OCT.2023</c:v>
                </c:pt>
                <c:pt idx="130">
                  <c:v>NOV.2023</c:v>
                </c:pt>
                <c:pt idx="131">
                  <c:v>DEC.2023</c:v>
                </c:pt>
              </c:strCache>
            </c:strRef>
          </c:cat>
          <c:val>
            <c:numRef>
              <c:f>EDAPlots!$I$5:$I$136</c:f>
              <c:numCache>
                <c:formatCode>General</c:formatCode>
                <c:ptCount val="132"/>
                <c:pt idx="0">
                  <c:v>112.346015828501</c:v>
                </c:pt>
                <c:pt idx="1">
                  <c:v>112.620862386558</c:v>
                </c:pt>
                <c:pt idx="2">
                  <c:v>116.51300220038</c:v>
                </c:pt>
                <c:pt idx="3">
                  <c:v>119.223306885176</c:v>
                </c:pt>
                <c:pt idx="4">
                  <c:v>123.117555884886</c:v>
                </c:pt>
                <c:pt idx="5">
                  <c:v>120.809356356801</c:v>
                </c:pt>
                <c:pt idx="6">
                  <c:v>126.312282142819</c:v>
                </c:pt>
                <c:pt idx="7">
                  <c:v>121.123865648308</c:v>
                </c:pt>
                <c:pt idx="8">
                  <c:v>124.394513421102</c:v>
                </c:pt>
                <c:pt idx="9">
                  <c:v>129.13255652121401</c:v>
                </c:pt>
                <c:pt idx="10">
                  <c:v>132.642830774083</c:v>
                </c:pt>
                <c:pt idx="11">
                  <c:v>136.43609921006799</c:v>
                </c:pt>
                <c:pt idx="12">
                  <c:v>132.90060382424099</c:v>
                </c:pt>
                <c:pt idx="13">
                  <c:v>142.14868736711401</c:v>
                </c:pt>
                <c:pt idx="14">
                  <c:v>144.34300103778099</c:v>
                </c:pt>
                <c:pt idx="15">
                  <c:v>144.388959954554</c:v>
                </c:pt>
                <c:pt idx="16">
                  <c:v>147.72408234809899</c:v>
                </c:pt>
                <c:pt idx="17">
                  <c:v>150.60186295201601</c:v>
                </c:pt>
                <c:pt idx="18">
                  <c:v>147.59032250472401</c:v>
                </c:pt>
                <c:pt idx="19">
                  <c:v>153.88503425811899</c:v>
                </c:pt>
                <c:pt idx="20">
                  <c:v>151.837633043404</c:v>
                </c:pt>
                <c:pt idx="21">
                  <c:v>157.54869966198399</c:v>
                </c:pt>
                <c:pt idx="22">
                  <c:v>161.78864181893999</c:v>
                </c:pt>
                <c:pt idx="23">
                  <c:v>162.5076311201</c:v>
                </c:pt>
                <c:pt idx="24">
                  <c:v>157.77712160273899</c:v>
                </c:pt>
                <c:pt idx="25">
                  <c:v>164.60637301184201</c:v>
                </c:pt>
                <c:pt idx="26">
                  <c:v>161.00459952034501</c:v>
                </c:pt>
                <c:pt idx="27">
                  <c:v>163.16492398311399</c:v>
                </c:pt>
                <c:pt idx="28">
                  <c:v>163.49013146026101</c:v>
                </c:pt>
                <c:pt idx="29">
                  <c:v>159.84377676787699</c:v>
                </c:pt>
                <c:pt idx="30">
                  <c:v>162.154715201491</c:v>
                </c:pt>
                <c:pt idx="31">
                  <c:v>152.786714077434</c:v>
                </c:pt>
                <c:pt idx="32">
                  <c:v>153.46886706702401</c:v>
                </c:pt>
                <c:pt idx="33">
                  <c:v>166.08949431819599</c:v>
                </c:pt>
                <c:pt idx="34">
                  <c:v>164.747482054675</c:v>
                </c:pt>
                <c:pt idx="35">
                  <c:v>160.37096276802899</c:v>
                </c:pt>
                <c:pt idx="36">
                  <c:v>154.547110086706</c:v>
                </c:pt>
                <c:pt idx="37">
                  <c:v>154.47527729430601</c:v>
                </c:pt>
                <c:pt idx="38">
                  <c:v>161.079726418886</c:v>
                </c:pt>
                <c:pt idx="39">
                  <c:v>160.620439060406</c:v>
                </c:pt>
                <c:pt idx="40">
                  <c:v>162.06466686903701</c:v>
                </c:pt>
                <c:pt idx="41">
                  <c:v>162.29538818207601</c:v>
                </c:pt>
                <c:pt idx="42">
                  <c:v>167.86190839608801</c:v>
                </c:pt>
                <c:pt idx="43">
                  <c:v>168.20234441681899</c:v>
                </c:pt>
                <c:pt idx="44">
                  <c:v>168.20437601395301</c:v>
                </c:pt>
                <c:pt idx="45">
                  <c:v>165.68655555767401</c:v>
                </c:pt>
                <c:pt idx="46">
                  <c:v>173.04392779358901</c:v>
                </c:pt>
                <c:pt idx="47">
                  <c:v>177.20318501074701</c:v>
                </c:pt>
                <c:pt idx="48">
                  <c:v>179.004787504295</c:v>
                </c:pt>
                <c:pt idx="49">
                  <c:v>185.964587725527</c:v>
                </c:pt>
                <c:pt idx="50">
                  <c:v>183.62677074816401</c:v>
                </c:pt>
                <c:pt idx="51">
                  <c:v>185.772546695204</c:v>
                </c:pt>
                <c:pt idx="52">
                  <c:v>187.92075261948901</c:v>
                </c:pt>
                <c:pt idx="53">
                  <c:v>187.62668707095099</c:v>
                </c:pt>
                <c:pt idx="54">
                  <c:v>191.15907152477601</c:v>
                </c:pt>
                <c:pt idx="55">
                  <c:v>191.29049268913499</c:v>
                </c:pt>
                <c:pt idx="56">
                  <c:v>194.869276094935</c:v>
                </c:pt>
                <c:pt idx="57">
                  <c:v>198.59951974258701</c:v>
                </c:pt>
                <c:pt idx="58">
                  <c:v>204.399630323064</c:v>
                </c:pt>
                <c:pt idx="59">
                  <c:v>207.30883675662</c:v>
                </c:pt>
                <c:pt idx="60">
                  <c:v>217.43634622761999</c:v>
                </c:pt>
                <c:pt idx="61">
                  <c:v>209.76841180930899</c:v>
                </c:pt>
                <c:pt idx="62">
                  <c:v>207.02891998364299</c:v>
                </c:pt>
                <c:pt idx="63">
                  <c:v>212.68968802734901</c:v>
                </c:pt>
                <c:pt idx="64">
                  <c:v>217.47344195191701</c:v>
                </c:pt>
                <c:pt idx="65">
                  <c:v>216.59760187514701</c:v>
                </c:pt>
                <c:pt idx="66">
                  <c:v>224.14251970177901</c:v>
                </c:pt>
                <c:pt idx="67">
                  <c:v>231.68414886621201</c:v>
                </c:pt>
                <c:pt idx="68">
                  <c:v>233.46363489737899</c:v>
                </c:pt>
                <c:pt idx="69">
                  <c:v>216.57778722066001</c:v>
                </c:pt>
                <c:pt idx="70">
                  <c:v>218.27227703570699</c:v>
                </c:pt>
                <c:pt idx="71">
                  <c:v>196.45241982385201</c:v>
                </c:pt>
                <c:pt idx="72">
                  <c:v>211.96100365381801</c:v>
                </c:pt>
                <c:pt idx="73">
                  <c:v>218.72646515341199</c:v>
                </c:pt>
                <c:pt idx="74">
                  <c:v>221.30378355058701</c:v>
                </c:pt>
                <c:pt idx="75">
                  <c:v>227.644861126975</c:v>
                </c:pt>
                <c:pt idx="76">
                  <c:v>214.74177519615401</c:v>
                </c:pt>
                <c:pt idx="77">
                  <c:v>230.270438187297</c:v>
                </c:pt>
                <c:pt idx="78">
                  <c:v>231.64895604646799</c:v>
                </c:pt>
                <c:pt idx="79">
                  <c:v>229.771096583358</c:v>
                </c:pt>
                <c:pt idx="80">
                  <c:v>235.61970621767901</c:v>
                </c:pt>
                <c:pt idx="81">
                  <c:v>243.72708548546299</c:v>
                </c:pt>
                <c:pt idx="82">
                  <c:v>250.23147390729801</c:v>
                </c:pt>
                <c:pt idx="83">
                  <c:v>259.70819713200501</c:v>
                </c:pt>
                <c:pt idx="84">
                  <c:v>257.19800927654398</c:v>
                </c:pt>
                <c:pt idx="85">
                  <c:v>235.09032020981201</c:v>
                </c:pt>
                <c:pt idx="86">
                  <c:v>197.19445693881599</c:v>
                </c:pt>
                <c:pt idx="87">
                  <c:v>232.70784717821601</c:v>
                </c:pt>
                <c:pt idx="88">
                  <c:v>250.42490098910301</c:v>
                </c:pt>
                <c:pt idx="89">
                  <c:v>253.84005995502699</c:v>
                </c:pt>
                <c:pt idx="90">
                  <c:v>266.91961205476599</c:v>
                </c:pt>
                <c:pt idx="91">
                  <c:v>283.57824017803699</c:v>
                </c:pt>
                <c:pt idx="92">
                  <c:v>270.41308635540599</c:v>
                </c:pt>
                <c:pt idx="93">
                  <c:v>261.98876418702201</c:v>
                </c:pt>
                <c:pt idx="94">
                  <c:v>287.26731097664998</c:v>
                </c:pt>
                <c:pt idx="95">
                  <c:v>294.68695393842597</c:v>
                </c:pt>
                <c:pt idx="96">
                  <c:v>295.70971197069503</c:v>
                </c:pt>
                <c:pt idx="97">
                  <c:v>298.95578785460799</c:v>
                </c:pt>
                <c:pt idx="98">
                  <c:v>305.131680689706</c:v>
                </c:pt>
                <c:pt idx="99">
                  <c:v>317.84390921734899</c:v>
                </c:pt>
                <c:pt idx="100">
                  <c:v>319.24235069527401</c:v>
                </c:pt>
                <c:pt idx="101">
                  <c:v>326.68987950330302</c:v>
                </c:pt>
                <c:pt idx="102">
                  <c:v>332.82247957393798</c:v>
                </c:pt>
                <c:pt idx="103">
                  <c:v>343.44782399824902</c:v>
                </c:pt>
                <c:pt idx="104">
                  <c:v>327.26736400484901</c:v>
                </c:pt>
                <c:pt idx="105">
                  <c:v>346.11626151809901</c:v>
                </c:pt>
                <c:pt idx="106">
                  <c:v>342.74573565555499</c:v>
                </c:pt>
                <c:pt idx="107">
                  <c:v>362.624713285653</c:v>
                </c:pt>
                <c:pt idx="108">
                  <c:v>341.52203311275503</c:v>
                </c:pt>
                <c:pt idx="109">
                  <c:v>329.216814601171</c:v>
                </c:pt>
                <c:pt idx="110">
                  <c:v>346.87520938370602</c:v>
                </c:pt>
                <c:pt idx="111">
                  <c:v>315.53605701634899</c:v>
                </c:pt>
                <c:pt idx="112">
                  <c:v>314.356052656423</c:v>
                </c:pt>
                <c:pt idx="113">
                  <c:v>290.786171867262</c:v>
                </c:pt>
                <c:pt idx="114">
                  <c:v>314.240358138359</c:v>
                </c:pt>
                <c:pt idx="115">
                  <c:v>302.31395155745003</c:v>
                </c:pt>
                <c:pt idx="116">
                  <c:v>273.508022917934</c:v>
                </c:pt>
                <c:pt idx="117">
                  <c:v>288.13051265486899</c:v>
                </c:pt>
                <c:pt idx="118">
                  <c:v>305.48490415892502</c:v>
                </c:pt>
                <c:pt idx="119">
                  <c:v>288.09233985566198</c:v>
                </c:pt>
                <c:pt idx="120">
                  <c:v>307.504295134632</c:v>
                </c:pt>
                <c:pt idx="121">
                  <c:v>296.62039718031599</c:v>
                </c:pt>
                <c:pt idx="122">
                  <c:v>308.80297602897002</c:v>
                </c:pt>
                <c:pt idx="123">
                  <c:v>312.54510685164098</c:v>
                </c:pt>
                <c:pt idx="124">
                  <c:v>314.305259410877</c:v>
                </c:pt>
                <c:pt idx="125">
                  <c:v>331.52237960304399</c:v>
                </c:pt>
                <c:pt idx="126">
                  <c:v>341.98074433596798</c:v>
                </c:pt>
                <c:pt idx="127">
                  <c:v>337.38832672663602</c:v>
                </c:pt>
                <c:pt idx="128">
                  <c:v>320.78616048897999</c:v>
                </c:pt>
                <c:pt idx="129">
                  <c:v>313.94718793901097</c:v>
                </c:pt>
                <c:pt idx="130">
                  <c:v>339.00889061311199</c:v>
                </c:pt>
                <c:pt idx="131">
                  <c:v>353.29139039472102</c:v>
                </c:pt>
              </c:numCache>
            </c:numRef>
          </c:val>
          <c:smooth val="0"/>
          <c:extLst>
            <c:ext xmlns:c16="http://schemas.microsoft.com/office/drawing/2014/chart" uri="{C3380CC4-5D6E-409C-BE32-E72D297353CC}">
              <c16:uniqueId val="{00000000-130F-4DF7-9435-FACDB011155B}"/>
            </c:ext>
          </c:extLst>
        </c:ser>
        <c:dLbls>
          <c:showLegendKey val="0"/>
          <c:showVal val="0"/>
          <c:showCatName val="0"/>
          <c:showSerName val="0"/>
          <c:showPercent val="0"/>
          <c:showBubbleSize val="0"/>
        </c:dLbls>
        <c:marker val="1"/>
        <c:smooth val="0"/>
        <c:axId val="1219703007"/>
        <c:axId val="769473871"/>
      </c:lineChart>
      <c:lineChart>
        <c:grouping val="standard"/>
        <c:varyColors val="0"/>
        <c:ser>
          <c:idx val="0"/>
          <c:order val="0"/>
          <c:tx>
            <c:strRef>
              <c:f>EDAPlots!$C$1</c:f>
              <c:strCache>
                <c:ptCount val="1"/>
                <c:pt idx="0">
                  <c:v>CPI YoY (RHS)</c:v>
                </c:pt>
              </c:strCache>
            </c:strRef>
          </c:tx>
          <c:spPr>
            <a:ln w="22225" cap="rnd">
              <a:solidFill>
                <a:schemeClr val="accent1"/>
              </a:solidFill>
              <a:prstDash val="sysDash"/>
              <a:round/>
            </a:ln>
            <a:effectLst/>
          </c:spPr>
          <c:marker>
            <c:symbol val="none"/>
          </c:marker>
          <c:cat>
            <c:strRef>
              <c:f>EDAPlots!$B$5:$B$136</c:f>
              <c:strCache>
                <c:ptCount val="132"/>
                <c:pt idx="0">
                  <c:v>JAN.2013</c:v>
                </c:pt>
                <c:pt idx="1">
                  <c:v>FEB.2013</c:v>
                </c:pt>
                <c:pt idx="2">
                  <c:v>MAR.2013</c:v>
                </c:pt>
                <c:pt idx="3">
                  <c:v>APR.2013</c:v>
                </c:pt>
                <c:pt idx="4">
                  <c:v>MAY.2013</c:v>
                </c:pt>
                <c:pt idx="5">
                  <c:v>JUN.2013</c:v>
                </c:pt>
                <c:pt idx="6">
                  <c:v>JUL.2013</c:v>
                </c:pt>
                <c:pt idx="7">
                  <c:v>AUG.2013</c:v>
                </c:pt>
                <c:pt idx="8">
                  <c:v>SEP.2013</c:v>
                </c:pt>
                <c:pt idx="9">
                  <c:v>OCT.2013</c:v>
                </c:pt>
                <c:pt idx="10">
                  <c:v>NOV.2013</c:v>
                </c:pt>
                <c:pt idx="11">
                  <c:v>DEC.2013</c:v>
                </c:pt>
                <c:pt idx="12">
                  <c:v>JAN.2014</c:v>
                </c:pt>
                <c:pt idx="13">
                  <c:v>FEB.2014</c:v>
                </c:pt>
                <c:pt idx="14">
                  <c:v>MAR.2014</c:v>
                </c:pt>
                <c:pt idx="15">
                  <c:v>APR.2014</c:v>
                </c:pt>
                <c:pt idx="16">
                  <c:v>MAY.2014</c:v>
                </c:pt>
                <c:pt idx="17">
                  <c:v>JUN.2014</c:v>
                </c:pt>
                <c:pt idx="18">
                  <c:v>JUL.2014</c:v>
                </c:pt>
                <c:pt idx="19">
                  <c:v>AUG.2014</c:v>
                </c:pt>
                <c:pt idx="20">
                  <c:v>SEP.2014</c:v>
                </c:pt>
                <c:pt idx="21">
                  <c:v>OCT.2014</c:v>
                </c:pt>
                <c:pt idx="22">
                  <c:v>NOV.2014</c:v>
                </c:pt>
                <c:pt idx="23">
                  <c:v>DEC.2014</c:v>
                </c:pt>
                <c:pt idx="24">
                  <c:v>JAN.2015</c:v>
                </c:pt>
                <c:pt idx="25">
                  <c:v>FEB.2015</c:v>
                </c:pt>
                <c:pt idx="26">
                  <c:v>MAR.2015</c:v>
                </c:pt>
                <c:pt idx="27">
                  <c:v>APR.2015</c:v>
                </c:pt>
                <c:pt idx="28">
                  <c:v>MAY.2015</c:v>
                </c:pt>
                <c:pt idx="29">
                  <c:v>JUN.2015</c:v>
                </c:pt>
                <c:pt idx="30">
                  <c:v>JUL.2015</c:v>
                </c:pt>
                <c:pt idx="31">
                  <c:v>AUG.2015</c:v>
                </c:pt>
                <c:pt idx="32">
                  <c:v>SEP.2015</c:v>
                </c:pt>
                <c:pt idx="33">
                  <c:v>OCT.2015</c:v>
                </c:pt>
                <c:pt idx="34">
                  <c:v>NOV.2015</c:v>
                </c:pt>
                <c:pt idx="35">
                  <c:v>DEC.2015</c:v>
                </c:pt>
                <c:pt idx="36">
                  <c:v>JAN.2016</c:v>
                </c:pt>
                <c:pt idx="37">
                  <c:v>FEB.2016</c:v>
                </c:pt>
                <c:pt idx="38">
                  <c:v>MAR.2016</c:v>
                </c:pt>
                <c:pt idx="39">
                  <c:v>APR.2016</c:v>
                </c:pt>
                <c:pt idx="40">
                  <c:v>MAY.2016</c:v>
                </c:pt>
                <c:pt idx="41">
                  <c:v>JUN.2016</c:v>
                </c:pt>
                <c:pt idx="42">
                  <c:v>JUL.2016</c:v>
                </c:pt>
                <c:pt idx="43">
                  <c:v>AUG.2016</c:v>
                </c:pt>
                <c:pt idx="44">
                  <c:v>SEP.2016</c:v>
                </c:pt>
                <c:pt idx="45">
                  <c:v>OCT.2016</c:v>
                </c:pt>
                <c:pt idx="46">
                  <c:v>NOV.2016</c:v>
                </c:pt>
                <c:pt idx="47">
                  <c:v>DEC.2016</c:v>
                </c:pt>
                <c:pt idx="48">
                  <c:v>JAN.2017</c:v>
                </c:pt>
                <c:pt idx="49">
                  <c:v>FEB.2017</c:v>
                </c:pt>
                <c:pt idx="50">
                  <c:v>MAR.2017</c:v>
                </c:pt>
                <c:pt idx="51">
                  <c:v>APR.2017</c:v>
                </c:pt>
                <c:pt idx="52">
                  <c:v>MAY.2017</c:v>
                </c:pt>
                <c:pt idx="53">
                  <c:v>JUN.2017</c:v>
                </c:pt>
                <c:pt idx="54">
                  <c:v>JUL.2017</c:v>
                </c:pt>
                <c:pt idx="55">
                  <c:v>AUG.2017</c:v>
                </c:pt>
                <c:pt idx="56">
                  <c:v>SEP.2017</c:v>
                </c:pt>
                <c:pt idx="57">
                  <c:v>OCT.2017</c:v>
                </c:pt>
                <c:pt idx="58">
                  <c:v>NOV.2017</c:v>
                </c:pt>
                <c:pt idx="59">
                  <c:v>DEC.2017</c:v>
                </c:pt>
                <c:pt idx="60">
                  <c:v>JAN.2018</c:v>
                </c:pt>
                <c:pt idx="61">
                  <c:v>FEB.2018</c:v>
                </c:pt>
                <c:pt idx="62">
                  <c:v>MAR.2018</c:v>
                </c:pt>
                <c:pt idx="63">
                  <c:v>APR.2018</c:v>
                </c:pt>
                <c:pt idx="64">
                  <c:v>MAY.2018</c:v>
                </c:pt>
                <c:pt idx="65">
                  <c:v>JUN.2018</c:v>
                </c:pt>
                <c:pt idx="66">
                  <c:v>JUL.2018</c:v>
                </c:pt>
                <c:pt idx="67">
                  <c:v>AUG.2018</c:v>
                </c:pt>
                <c:pt idx="68">
                  <c:v>SEP.2018</c:v>
                </c:pt>
                <c:pt idx="69">
                  <c:v>OCT.2018</c:v>
                </c:pt>
                <c:pt idx="70">
                  <c:v>NOV.2018</c:v>
                </c:pt>
                <c:pt idx="71">
                  <c:v>DEC.2018</c:v>
                </c:pt>
                <c:pt idx="72">
                  <c:v>JAN.2019</c:v>
                </c:pt>
                <c:pt idx="73">
                  <c:v>FEB.2019</c:v>
                </c:pt>
                <c:pt idx="74">
                  <c:v>MAR.2019</c:v>
                </c:pt>
                <c:pt idx="75">
                  <c:v>APR.2019</c:v>
                </c:pt>
                <c:pt idx="76">
                  <c:v>MAY.2019</c:v>
                </c:pt>
                <c:pt idx="77">
                  <c:v>JUN.2019</c:v>
                </c:pt>
                <c:pt idx="78">
                  <c:v>JUL.2019</c:v>
                </c:pt>
                <c:pt idx="79">
                  <c:v>AUG.2019</c:v>
                </c:pt>
                <c:pt idx="80">
                  <c:v>SEP.2019</c:v>
                </c:pt>
                <c:pt idx="81">
                  <c:v>OCT.2019</c:v>
                </c:pt>
                <c:pt idx="82">
                  <c:v>NOV.2019</c:v>
                </c:pt>
                <c:pt idx="83">
                  <c:v>DEC.2019</c:v>
                </c:pt>
                <c:pt idx="84">
                  <c:v>JAN.2020</c:v>
                </c:pt>
                <c:pt idx="85">
                  <c:v>FEB.2020</c:v>
                </c:pt>
                <c:pt idx="86">
                  <c:v>MAR.2020</c:v>
                </c:pt>
                <c:pt idx="87">
                  <c:v>APR.2020</c:v>
                </c:pt>
                <c:pt idx="88">
                  <c:v>MAY.2020</c:v>
                </c:pt>
                <c:pt idx="89">
                  <c:v>JUN.2020</c:v>
                </c:pt>
                <c:pt idx="90">
                  <c:v>JUL.2020</c:v>
                </c:pt>
                <c:pt idx="91">
                  <c:v>AUG.2020</c:v>
                </c:pt>
                <c:pt idx="92">
                  <c:v>SEP.2020</c:v>
                </c:pt>
                <c:pt idx="93">
                  <c:v>OCT.2020</c:v>
                </c:pt>
                <c:pt idx="94">
                  <c:v>NOV.2020</c:v>
                </c:pt>
                <c:pt idx="95">
                  <c:v>DEC.2020</c:v>
                </c:pt>
                <c:pt idx="96">
                  <c:v>JAN.2021</c:v>
                </c:pt>
                <c:pt idx="97">
                  <c:v>FEB.2021</c:v>
                </c:pt>
                <c:pt idx="98">
                  <c:v>MAR.2021</c:v>
                </c:pt>
                <c:pt idx="99">
                  <c:v>APR.2021</c:v>
                </c:pt>
                <c:pt idx="100">
                  <c:v>MAY.2021</c:v>
                </c:pt>
                <c:pt idx="101">
                  <c:v>JUN.2021</c:v>
                </c:pt>
                <c:pt idx="102">
                  <c:v>JUL.2021</c:v>
                </c:pt>
                <c:pt idx="103">
                  <c:v>AUG.2021</c:v>
                </c:pt>
                <c:pt idx="104">
                  <c:v>SEP.2021</c:v>
                </c:pt>
                <c:pt idx="105">
                  <c:v>OCT.2021</c:v>
                </c:pt>
                <c:pt idx="106">
                  <c:v>NOV.2021</c:v>
                </c:pt>
                <c:pt idx="107">
                  <c:v>DEC.2021</c:v>
                </c:pt>
                <c:pt idx="108">
                  <c:v>JAN.2022</c:v>
                </c:pt>
                <c:pt idx="109">
                  <c:v>FEB.2022</c:v>
                </c:pt>
                <c:pt idx="110">
                  <c:v>MAR.2022</c:v>
                </c:pt>
                <c:pt idx="111">
                  <c:v>APR.2022</c:v>
                </c:pt>
                <c:pt idx="112">
                  <c:v>MAY.2022</c:v>
                </c:pt>
                <c:pt idx="113">
                  <c:v>JUN.2022</c:v>
                </c:pt>
                <c:pt idx="114">
                  <c:v>JUL.2022</c:v>
                </c:pt>
                <c:pt idx="115">
                  <c:v>AUG.2022</c:v>
                </c:pt>
                <c:pt idx="116">
                  <c:v>SEP.2022</c:v>
                </c:pt>
                <c:pt idx="117">
                  <c:v>OCT.2022</c:v>
                </c:pt>
                <c:pt idx="118">
                  <c:v>NOV.2022</c:v>
                </c:pt>
                <c:pt idx="119">
                  <c:v>DEC.2022</c:v>
                </c:pt>
                <c:pt idx="120">
                  <c:v>JAN.2023</c:v>
                </c:pt>
                <c:pt idx="121">
                  <c:v>FEB.2023</c:v>
                </c:pt>
                <c:pt idx="122">
                  <c:v>MAR.2023</c:v>
                </c:pt>
                <c:pt idx="123">
                  <c:v>APR.2023</c:v>
                </c:pt>
                <c:pt idx="124">
                  <c:v>MAY.2023</c:v>
                </c:pt>
                <c:pt idx="125">
                  <c:v>JUN.2023</c:v>
                </c:pt>
                <c:pt idx="126">
                  <c:v>JUL.2023</c:v>
                </c:pt>
                <c:pt idx="127">
                  <c:v>AUG.2023</c:v>
                </c:pt>
                <c:pt idx="128">
                  <c:v>SEP.2023</c:v>
                </c:pt>
                <c:pt idx="129">
                  <c:v>OCT.2023</c:v>
                </c:pt>
                <c:pt idx="130">
                  <c:v>NOV.2023</c:v>
                </c:pt>
                <c:pt idx="131">
                  <c:v>DEC.2023</c:v>
                </c:pt>
              </c:strCache>
            </c:strRef>
          </c:cat>
          <c:val>
            <c:numRef>
              <c:f>EDAPlots!$C$5:$C$136</c:f>
              <c:numCache>
                <c:formatCode>General</c:formatCode>
                <c:ptCount val="132"/>
                <c:pt idx="0">
                  <c:v>1.6</c:v>
                </c:pt>
                <c:pt idx="1">
                  <c:v>2</c:v>
                </c:pt>
                <c:pt idx="2">
                  <c:v>1.5</c:v>
                </c:pt>
                <c:pt idx="3">
                  <c:v>1.1000000000000001</c:v>
                </c:pt>
                <c:pt idx="4">
                  <c:v>1.4</c:v>
                </c:pt>
                <c:pt idx="5">
                  <c:v>1.8</c:v>
                </c:pt>
                <c:pt idx="6">
                  <c:v>2</c:v>
                </c:pt>
                <c:pt idx="7">
                  <c:v>1.5</c:v>
                </c:pt>
                <c:pt idx="8">
                  <c:v>1.2</c:v>
                </c:pt>
                <c:pt idx="9">
                  <c:v>1</c:v>
                </c:pt>
                <c:pt idx="10">
                  <c:v>1.2</c:v>
                </c:pt>
                <c:pt idx="11">
                  <c:v>1.5</c:v>
                </c:pt>
                <c:pt idx="12">
                  <c:v>1.6</c:v>
                </c:pt>
                <c:pt idx="13">
                  <c:v>1.1000000000000001</c:v>
                </c:pt>
                <c:pt idx="14">
                  <c:v>1.5</c:v>
                </c:pt>
                <c:pt idx="15">
                  <c:v>2</c:v>
                </c:pt>
                <c:pt idx="16">
                  <c:v>2.1</c:v>
                </c:pt>
                <c:pt idx="17">
                  <c:v>2.1</c:v>
                </c:pt>
                <c:pt idx="18">
                  <c:v>2</c:v>
                </c:pt>
                <c:pt idx="19">
                  <c:v>1.7</c:v>
                </c:pt>
                <c:pt idx="20">
                  <c:v>1.7</c:v>
                </c:pt>
                <c:pt idx="21">
                  <c:v>1.7</c:v>
                </c:pt>
                <c:pt idx="22">
                  <c:v>1.3</c:v>
                </c:pt>
                <c:pt idx="23">
                  <c:v>0.8</c:v>
                </c:pt>
                <c:pt idx="24">
                  <c:v>-0.1</c:v>
                </c:pt>
                <c:pt idx="25">
                  <c:v>0</c:v>
                </c:pt>
                <c:pt idx="26">
                  <c:v>-0.1</c:v>
                </c:pt>
                <c:pt idx="27">
                  <c:v>-0.2</c:v>
                </c:pt>
                <c:pt idx="28">
                  <c:v>0</c:v>
                </c:pt>
                <c:pt idx="29">
                  <c:v>0.1</c:v>
                </c:pt>
                <c:pt idx="30">
                  <c:v>0.2</c:v>
                </c:pt>
                <c:pt idx="31">
                  <c:v>0.2</c:v>
                </c:pt>
                <c:pt idx="32">
                  <c:v>0</c:v>
                </c:pt>
                <c:pt idx="33">
                  <c:v>0.2</c:v>
                </c:pt>
                <c:pt idx="34">
                  <c:v>0.5</c:v>
                </c:pt>
                <c:pt idx="35">
                  <c:v>0.7</c:v>
                </c:pt>
                <c:pt idx="36">
                  <c:v>1.4</c:v>
                </c:pt>
                <c:pt idx="37">
                  <c:v>1</c:v>
                </c:pt>
                <c:pt idx="38">
                  <c:v>0.9</c:v>
                </c:pt>
                <c:pt idx="39">
                  <c:v>1.1000000000000001</c:v>
                </c:pt>
                <c:pt idx="40">
                  <c:v>1</c:v>
                </c:pt>
                <c:pt idx="41">
                  <c:v>1</c:v>
                </c:pt>
                <c:pt idx="42">
                  <c:v>0.8</c:v>
                </c:pt>
                <c:pt idx="43">
                  <c:v>1.1000000000000001</c:v>
                </c:pt>
                <c:pt idx="44">
                  <c:v>1.5</c:v>
                </c:pt>
                <c:pt idx="45">
                  <c:v>1.6</c:v>
                </c:pt>
                <c:pt idx="46">
                  <c:v>1.7</c:v>
                </c:pt>
                <c:pt idx="47">
                  <c:v>2.1</c:v>
                </c:pt>
                <c:pt idx="48">
                  <c:v>2.5</c:v>
                </c:pt>
                <c:pt idx="49">
                  <c:v>2.7</c:v>
                </c:pt>
                <c:pt idx="50">
                  <c:v>2.4</c:v>
                </c:pt>
                <c:pt idx="51">
                  <c:v>2.2000000000000002</c:v>
                </c:pt>
                <c:pt idx="52">
                  <c:v>1.9</c:v>
                </c:pt>
                <c:pt idx="53">
                  <c:v>1.6</c:v>
                </c:pt>
                <c:pt idx="54">
                  <c:v>1.7</c:v>
                </c:pt>
                <c:pt idx="55">
                  <c:v>1.9</c:v>
                </c:pt>
                <c:pt idx="56">
                  <c:v>2.2000000000000002</c:v>
                </c:pt>
                <c:pt idx="57">
                  <c:v>2</c:v>
                </c:pt>
                <c:pt idx="58">
                  <c:v>2.2000000000000002</c:v>
                </c:pt>
                <c:pt idx="59">
                  <c:v>2.1</c:v>
                </c:pt>
                <c:pt idx="60">
                  <c:v>2.1</c:v>
                </c:pt>
                <c:pt idx="61">
                  <c:v>2.2000000000000002</c:v>
                </c:pt>
                <c:pt idx="62">
                  <c:v>2.4</c:v>
                </c:pt>
                <c:pt idx="63">
                  <c:v>2.5</c:v>
                </c:pt>
                <c:pt idx="64">
                  <c:v>2.8</c:v>
                </c:pt>
                <c:pt idx="65">
                  <c:v>2.9</c:v>
                </c:pt>
                <c:pt idx="66">
                  <c:v>2.9</c:v>
                </c:pt>
                <c:pt idx="67">
                  <c:v>2.7</c:v>
                </c:pt>
                <c:pt idx="68">
                  <c:v>2.2999999999999998</c:v>
                </c:pt>
                <c:pt idx="69">
                  <c:v>2.5</c:v>
                </c:pt>
                <c:pt idx="70">
                  <c:v>2.2000000000000002</c:v>
                </c:pt>
                <c:pt idx="71">
                  <c:v>1.9</c:v>
                </c:pt>
                <c:pt idx="72">
                  <c:v>1.6</c:v>
                </c:pt>
                <c:pt idx="73">
                  <c:v>1.5</c:v>
                </c:pt>
                <c:pt idx="74">
                  <c:v>1.9</c:v>
                </c:pt>
                <c:pt idx="75">
                  <c:v>2</c:v>
                </c:pt>
                <c:pt idx="76">
                  <c:v>1.8</c:v>
                </c:pt>
                <c:pt idx="77">
                  <c:v>1.6</c:v>
                </c:pt>
                <c:pt idx="78">
                  <c:v>1.8</c:v>
                </c:pt>
                <c:pt idx="79">
                  <c:v>1.7</c:v>
                </c:pt>
                <c:pt idx="80">
                  <c:v>1.7</c:v>
                </c:pt>
                <c:pt idx="81">
                  <c:v>1.8</c:v>
                </c:pt>
                <c:pt idx="82">
                  <c:v>2.1</c:v>
                </c:pt>
                <c:pt idx="83">
                  <c:v>2.2999999999999998</c:v>
                </c:pt>
                <c:pt idx="84">
                  <c:v>2.5</c:v>
                </c:pt>
                <c:pt idx="85">
                  <c:v>2.2999999999999998</c:v>
                </c:pt>
                <c:pt idx="86">
                  <c:v>1.5</c:v>
                </c:pt>
                <c:pt idx="87">
                  <c:v>0.3</c:v>
                </c:pt>
                <c:pt idx="88">
                  <c:v>0.1</c:v>
                </c:pt>
                <c:pt idx="89">
                  <c:v>0.6</c:v>
                </c:pt>
                <c:pt idx="90">
                  <c:v>1</c:v>
                </c:pt>
                <c:pt idx="91">
                  <c:v>1.3</c:v>
                </c:pt>
                <c:pt idx="92">
                  <c:v>1.4</c:v>
                </c:pt>
                <c:pt idx="93">
                  <c:v>1.2</c:v>
                </c:pt>
                <c:pt idx="94">
                  <c:v>1.2</c:v>
                </c:pt>
                <c:pt idx="95">
                  <c:v>1.4</c:v>
                </c:pt>
                <c:pt idx="96">
                  <c:v>1.4</c:v>
                </c:pt>
                <c:pt idx="97">
                  <c:v>1.7</c:v>
                </c:pt>
                <c:pt idx="98">
                  <c:v>2.6</c:v>
                </c:pt>
                <c:pt idx="99">
                  <c:v>4.2</c:v>
                </c:pt>
                <c:pt idx="100">
                  <c:v>5</c:v>
                </c:pt>
                <c:pt idx="101">
                  <c:v>5.4</c:v>
                </c:pt>
                <c:pt idx="102">
                  <c:v>5.4</c:v>
                </c:pt>
                <c:pt idx="103">
                  <c:v>5.3</c:v>
                </c:pt>
                <c:pt idx="104">
                  <c:v>5.4</c:v>
                </c:pt>
                <c:pt idx="105">
                  <c:v>6.2</c:v>
                </c:pt>
                <c:pt idx="106">
                  <c:v>6.8</c:v>
                </c:pt>
                <c:pt idx="107">
                  <c:v>7</c:v>
                </c:pt>
                <c:pt idx="108">
                  <c:v>7.5</c:v>
                </c:pt>
                <c:pt idx="109">
                  <c:v>7.9</c:v>
                </c:pt>
                <c:pt idx="110">
                  <c:v>8.5</c:v>
                </c:pt>
                <c:pt idx="111">
                  <c:v>8.3000000000000007</c:v>
                </c:pt>
                <c:pt idx="112">
                  <c:v>8.6</c:v>
                </c:pt>
                <c:pt idx="113">
                  <c:v>9.1</c:v>
                </c:pt>
                <c:pt idx="114">
                  <c:v>8.5</c:v>
                </c:pt>
                <c:pt idx="115">
                  <c:v>8.3000000000000007</c:v>
                </c:pt>
                <c:pt idx="116">
                  <c:v>8.1999999999999993</c:v>
                </c:pt>
                <c:pt idx="117">
                  <c:v>7.7</c:v>
                </c:pt>
                <c:pt idx="118">
                  <c:v>7.1</c:v>
                </c:pt>
                <c:pt idx="119">
                  <c:v>6.5</c:v>
                </c:pt>
                <c:pt idx="120">
                  <c:v>6.4</c:v>
                </c:pt>
                <c:pt idx="121">
                  <c:v>6</c:v>
                </c:pt>
                <c:pt idx="122">
                  <c:v>5</c:v>
                </c:pt>
                <c:pt idx="123">
                  <c:v>4.9000000000000004</c:v>
                </c:pt>
                <c:pt idx="124">
                  <c:v>4</c:v>
                </c:pt>
                <c:pt idx="125">
                  <c:v>3</c:v>
                </c:pt>
                <c:pt idx="126">
                  <c:v>3.2</c:v>
                </c:pt>
                <c:pt idx="127">
                  <c:v>3.7</c:v>
                </c:pt>
                <c:pt idx="128">
                  <c:v>3.7</c:v>
                </c:pt>
                <c:pt idx="129">
                  <c:v>3.2</c:v>
                </c:pt>
                <c:pt idx="130">
                  <c:v>3.1</c:v>
                </c:pt>
              </c:numCache>
            </c:numRef>
          </c:val>
          <c:smooth val="0"/>
          <c:extLst>
            <c:ext xmlns:c16="http://schemas.microsoft.com/office/drawing/2014/chart" uri="{C3380CC4-5D6E-409C-BE32-E72D297353CC}">
              <c16:uniqueId val="{00000001-130F-4DF7-9435-FACDB011155B}"/>
            </c:ext>
          </c:extLst>
        </c:ser>
        <c:dLbls>
          <c:showLegendKey val="0"/>
          <c:showVal val="0"/>
          <c:showCatName val="0"/>
          <c:showSerName val="0"/>
          <c:showPercent val="0"/>
          <c:showBubbleSize val="0"/>
        </c:dLbls>
        <c:marker val="1"/>
        <c:smooth val="0"/>
        <c:axId val="1219699167"/>
        <c:axId val="818380143"/>
      </c:lineChart>
      <c:catAx>
        <c:axId val="1219703007"/>
        <c:scaling>
          <c:orientation val="minMax"/>
        </c:scaling>
        <c:delete val="0"/>
        <c:axPos val="b"/>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73871"/>
        <c:crosses val="autoZero"/>
        <c:auto val="1"/>
        <c:lblAlgn val="ctr"/>
        <c:lblOffset val="100"/>
        <c:tickMarkSkip val="3"/>
        <c:noMultiLvlLbl val="0"/>
      </c:catAx>
      <c:valAx>
        <c:axId val="769473871"/>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703007"/>
        <c:crosses val="autoZero"/>
        <c:crossBetween val="midCat"/>
      </c:valAx>
      <c:valAx>
        <c:axId val="818380143"/>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699167"/>
        <c:crosses val="max"/>
        <c:crossBetween val="between"/>
      </c:valAx>
      <c:catAx>
        <c:axId val="1219699167"/>
        <c:scaling>
          <c:orientation val="minMax"/>
        </c:scaling>
        <c:delete val="1"/>
        <c:axPos val="b"/>
        <c:numFmt formatCode="General" sourceLinked="1"/>
        <c:majorTickMark val="out"/>
        <c:minorTickMark val="none"/>
        <c:tickLblPos val="nextTo"/>
        <c:crossAx val="818380143"/>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EDAPlots!$K$1</c:f>
              <c:strCache>
                <c:ptCount val="1"/>
                <c:pt idx="0">
                  <c:v>NAIVEVOL TR</c:v>
                </c:pt>
              </c:strCache>
            </c:strRef>
          </c:tx>
          <c:spPr>
            <a:ln w="28575" cap="rnd">
              <a:solidFill>
                <a:schemeClr val="accent2"/>
              </a:solidFill>
              <a:round/>
            </a:ln>
            <a:effectLst/>
          </c:spPr>
          <c:marker>
            <c:symbol val="none"/>
          </c:marker>
          <c:cat>
            <c:strRef>
              <c:f>EDAPlots!$B$5:$B$136</c:f>
              <c:strCache>
                <c:ptCount val="132"/>
                <c:pt idx="0">
                  <c:v>JAN.2013</c:v>
                </c:pt>
                <c:pt idx="1">
                  <c:v>FEB.2013</c:v>
                </c:pt>
                <c:pt idx="2">
                  <c:v>MAR.2013</c:v>
                </c:pt>
                <c:pt idx="3">
                  <c:v>APR.2013</c:v>
                </c:pt>
                <c:pt idx="4">
                  <c:v>MAY.2013</c:v>
                </c:pt>
                <c:pt idx="5">
                  <c:v>JUN.2013</c:v>
                </c:pt>
                <c:pt idx="6">
                  <c:v>JUL.2013</c:v>
                </c:pt>
                <c:pt idx="7">
                  <c:v>AUG.2013</c:v>
                </c:pt>
                <c:pt idx="8">
                  <c:v>SEP.2013</c:v>
                </c:pt>
                <c:pt idx="9">
                  <c:v>OCT.2013</c:v>
                </c:pt>
                <c:pt idx="10">
                  <c:v>NOV.2013</c:v>
                </c:pt>
                <c:pt idx="11">
                  <c:v>DEC.2013</c:v>
                </c:pt>
                <c:pt idx="12">
                  <c:v>JAN.2014</c:v>
                </c:pt>
                <c:pt idx="13">
                  <c:v>FEB.2014</c:v>
                </c:pt>
                <c:pt idx="14">
                  <c:v>MAR.2014</c:v>
                </c:pt>
                <c:pt idx="15">
                  <c:v>APR.2014</c:v>
                </c:pt>
                <c:pt idx="16">
                  <c:v>MAY.2014</c:v>
                </c:pt>
                <c:pt idx="17">
                  <c:v>JUN.2014</c:v>
                </c:pt>
                <c:pt idx="18">
                  <c:v>JUL.2014</c:v>
                </c:pt>
                <c:pt idx="19">
                  <c:v>AUG.2014</c:v>
                </c:pt>
                <c:pt idx="20">
                  <c:v>SEP.2014</c:v>
                </c:pt>
                <c:pt idx="21">
                  <c:v>OCT.2014</c:v>
                </c:pt>
                <c:pt idx="22">
                  <c:v>NOV.2014</c:v>
                </c:pt>
                <c:pt idx="23">
                  <c:v>DEC.2014</c:v>
                </c:pt>
                <c:pt idx="24">
                  <c:v>JAN.2015</c:v>
                </c:pt>
                <c:pt idx="25">
                  <c:v>FEB.2015</c:v>
                </c:pt>
                <c:pt idx="26">
                  <c:v>MAR.2015</c:v>
                </c:pt>
                <c:pt idx="27">
                  <c:v>APR.2015</c:v>
                </c:pt>
                <c:pt idx="28">
                  <c:v>MAY.2015</c:v>
                </c:pt>
                <c:pt idx="29">
                  <c:v>JUN.2015</c:v>
                </c:pt>
                <c:pt idx="30">
                  <c:v>JUL.2015</c:v>
                </c:pt>
                <c:pt idx="31">
                  <c:v>AUG.2015</c:v>
                </c:pt>
                <c:pt idx="32">
                  <c:v>SEP.2015</c:v>
                </c:pt>
                <c:pt idx="33">
                  <c:v>OCT.2015</c:v>
                </c:pt>
                <c:pt idx="34">
                  <c:v>NOV.2015</c:v>
                </c:pt>
                <c:pt idx="35">
                  <c:v>DEC.2015</c:v>
                </c:pt>
                <c:pt idx="36">
                  <c:v>JAN.2016</c:v>
                </c:pt>
                <c:pt idx="37">
                  <c:v>FEB.2016</c:v>
                </c:pt>
                <c:pt idx="38">
                  <c:v>MAR.2016</c:v>
                </c:pt>
                <c:pt idx="39">
                  <c:v>APR.2016</c:v>
                </c:pt>
                <c:pt idx="40">
                  <c:v>MAY.2016</c:v>
                </c:pt>
                <c:pt idx="41">
                  <c:v>JUN.2016</c:v>
                </c:pt>
                <c:pt idx="42">
                  <c:v>JUL.2016</c:v>
                </c:pt>
                <c:pt idx="43">
                  <c:v>AUG.2016</c:v>
                </c:pt>
                <c:pt idx="44">
                  <c:v>SEP.2016</c:v>
                </c:pt>
                <c:pt idx="45">
                  <c:v>OCT.2016</c:v>
                </c:pt>
                <c:pt idx="46">
                  <c:v>NOV.2016</c:v>
                </c:pt>
                <c:pt idx="47">
                  <c:v>DEC.2016</c:v>
                </c:pt>
                <c:pt idx="48">
                  <c:v>JAN.2017</c:v>
                </c:pt>
                <c:pt idx="49">
                  <c:v>FEB.2017</c:v>
                </c:pt>
                <c:pt idx="50">
                  <c:v>MAR.2017</c:v>
                </c:pt>
                <c:pt idx="51">
                  <c:v>APR.2017</c:v>
                </c:pt>
                <c:pt idx="52">
                  <c:v>MAY.2017</c:v>
                </c:pt>
                <c:pt idx="53">
                  <c:v>JUN.2017</c:v>
                </c:pt>
                <c:pt idx="54">
                  <c:v>JUL.2017</c:v>
                </c:pt>
                <c:pt idx="55">
                  <c:v>AUG.2017</c:v>
                </c:pt>
                <c:pt idx="56">
                  <c:v>SEP.2017</c:v>
                </c:pt>
                <c:pt idx="57">
                  <c:v>OCT.2017</c:v>
                </c:pt>
                <c:pt idx="58">
                  <c:v>NOV.2017</c:v>
                </c:pt>
                <c:pt idx="59">
                  <c:v>DEC.2017</c:v>
                </c:pt>
                <c:pt idx="60">
                  <c:v>JAN.2018</c:v>
                </c:pt>
                <c:pt idx="61">
                  <c:v>FEB.2018</c:v>
                </c:pt>
                <c:pt idx="62">
                  <c:v>MAR.2018</c:v>
                </c:pt>
                <c:pt idx="63">
                  <c:v>APR.2018</c:v>
                </c:pt>
                <c:pt idx="64">
                  <c:v>MAY.2018</c:v>
                </c:pt>
                <c:pt idx="65">
                  <c:v>JUN.2018</c:v>
                </c:pt>
                <c:pt idx="66">
                  <c:v>JUL.2018</c:v>
                </c:pt>
                <c:pt idx="67">
                  <c:v>AUG.2018</c:v>
                </c:pt>
                <c:pt idx="68">
                  <c:v>SEP.2018</c:v>
                </c:pt>
                <c:pt idx="69">
                  <c:v>OCT.2018</c:v>
                </c:pt>
                <c:pt idx="70">
                  <c:v>NOV.2018</c:v>
                </c:pt>
                <c:pt idx="71">
                  <c:v>DEC.2018</c:v>
                </c:pt>
                <c:pt idx="72">
                  <c:v>JAN.2019</c:v>
                </c:pt>
                <c:pt idx="73">
                  <c:v>FEB.2019</c:v>
                </c:pt>
                <c:pt idx="74">
                  <c:v>MAR.2019</c:v>
                </c:pt>
                <c:pt idx="75">
                  <c:v>APR.2019</c:v>
                </c:pt>
                <c:pt idx="76">
                  <c:v>MAY.2019</c:v>
                </c:pt>
                <c:pt idx="77">
                  <c:v>JUN.2019</c:v>
                </c:pt>
                <c:pt idx="78">
                  <c:v>JUL.2019</c:v>
                </c:pt>
                <c:pt idx="79">
                  <c:v>AUG.2019</c:v>
                </c:pt>
                <c:pt idx="80">
                  <c:v>SEP.2019</c:v>
                </c:pt>
                <c:pt idx="81">
                  <c:v>OCT.2019</c:v>
                </c:pt>
                <c:pt idx="82">
                  <c:v>NOV.2019</c:v>
                </c:pt>
                <c:pt idx="83">
                  <c:v>DEC.2019</c:v>
                </c:pt>
                <c:pt idx="84">
                  <c:v>JAN.2020</c:v>
                </c:pt>
                <c:pt idx="85">
                  <c:v>FEB.2020</c:v>
                </c:pt>
                <c:pt idx="86">
                  <c:v>MAR.2020</c:v>
                </c:pt>
                <c:pt idx="87">
                  <c:v>APR.2020</c:v>
                </c:pt>
                <c:pt idx="88">
                  <c:v>MAY.2020</c:v>
                </c:pt>
                <c:pt idx="89">
                  <c:v>JUN.2020</c:v>
                </c:pt>
                <c:pt idx="90">
                  <c:v>JUL.2020</c:v>
                </c:pt>
                <c:pt idx="91">
                  <c:v>AUG.2020</c:v>
                </c:pt>
                <c:pt idx="92">
                  <c:v>SEP.2020</c:v>
                </c:pt>
                <c:pt idx="93">
                  <c:v>OCT.2020</c:v>
                </c:pt>
                <c:pt idx="94">
                  <c:v>NOV.2020</c:v>
                </c:pt>
                <c:pt idx="95">
                  <c:v>DEC.2020</c:v>
                </c:pt>
                <c:pt idx="96">
                  <c:v>JAN.2021</c:v>
                </c:pt>
                <c:pt idx="97">
                  <c:v>FEB.2021</c:v>
                </c:pt>
                <c:pt idx="98">
                  <c:v>MAR.2021</c:v>
                </c:pt>
                <c:pt idx="99">
                  <c:v>APR.2021</c:v>
                </c:pt>
                <c:pt idx="100">
                  <c:v>MAY.2021</c:v>
                </c:pt>
                <c:pt idx="101">
                  <c:v>JUN.2021</c:v>
                </c:pt>
                <c:pt idx="102">
                  <c:v>JUL.2021</c:v>
                </c:pt>
                <c:pt idx="103">
                  <c:v>AUG.2021</c:v>
                </c:pt>
                <c:pt idx="104">
                  <c:v>SEP.2021</c:v>
                </c:pt>
                <c:pt idx="105">
                  <c:v>OCT.2021</c:v>
                </c:pt>
                <c:pt idx="106">
                  <c:v>NOV.2021</c:v>
                </c:pt>
                <c:pt idx="107">
                  <c:v>DEC.2021</c:v>
                </c:pt>
                <c:pt idx="108">
                  <c:v>JAN.2022</c:v>
                </c:pt>
                <c:pt idx="109">
                  <c:v>FEB.2022</c:v>
                </c:pt>
                <c:pt idx="110">
                  <c:v>MAR.2022</c:v>
                </c:pt>
                <c:pt idx="111">
                  <c:v>APR.2022</c:v>
                </c:pt>
                <c:pt idx="112">
                  <c:v>MAY.2022</c:v>
                </c:pt>
                <c:pt idx="113">
                  <c:v>JUN.2022</c:v>
                </c:pt>
                <c:pt idx="114">
                  <c:v>JUL.2022</c:v>
                </c:pt>
                <c:pt idx="115">
                  <c:v>AUG.2022</c:v>
                </c:pt>
                <c:pt idx="116">
                  <c:v>SEP.2022</c:v>
                </c:pt>
                <c:pt idx="117">
                  <c:v>OCT.2022</c:v>
                </c:pt>
                <c:pt idx="118">
                  <c:v>NOV.2022</c:v>
                </c:pt>
                <c:pt idx="119">
                  <c:v>DEC.2022</c:v>
                </c:pt>
                <c:pt idx="120">
                  <c:v>JAN.2023</c:v>
                </c:pt>
                <c:pt idx="121">
                  <c:v>FEB.2023</c:v>
                </c:pt>
                <c:pt idx="122">
                  <c:v>MAR.2023</c:v>
                </c:pt>
                <c:pt idx="123">
                  <c:v>APR.2023</c:v>
                </c:pt>
                <c:pt idx="124">
                  <c:v>MAY.2023</c:v>
                </c:pt>
                <c:pt idx="125">
                  <c:v>JUN.2023</c:v>
                </c:pt>
                <c:pt idx="126">
                  <c:v>JUL.2023</c:v>
                </c:pt>
                <c:pt idx="127">
                  <c:v>AUG.2023</c:v>
                </c:pt>
                <c:pt idx="128">
                  <c:v>SEP.2023</c:v>
                </c:pt>
                <c:pt idx="129">
                  <c:v>OCT.2023</c:v>
                </c:pt>
                <c:pt idx="130">
                  <c:v>NOV.2023</c:v>
                </c:pt>
                <c:pt idx="131">
                  <c:v>DEC.2023</c:v>
                </c:pt>
              </c:strCache>
            </c:strRef>
          </c:cat>
          <c:val>
            <c:numRef>
              <c:f>EDAPlots!$K$5:$K$136</c:f>
              <c:numCache>
                <c:formatCode>General</c:formatCode>
                <c:ptCount val="132"/>
                <c:pt idx="0">
                  <c:v>102.104886945244</c:v>
                </c:pt>
                <c:pt idx="1">
                  <c:v>102.466543842927</c:v>
                </c:pt>
                <c:pt idx="2">
                  <c:v>103.120504604985</c:v>
                </c:pt>
                <c:pt idx="3">
                  <c:v>103.987817853802</c:v>
                </c:pt>
                <c:pt idx="4">
                  <c:v>104.17152959453</c:v>
                </c:pt>
                <c:pt idx="5">
                  <c:v>101.084858142607</c:v>
                </c:pt>
                <c:pt idx="6">
                  <c:v>105.107469900444</c:v>
                </c:pt>
                <c:pt idx="7">
                  <c:v>102.63489714367</c:v>
                </c:pt>
                <c:pt idx="8">
                  <c:v>104.988674024205</c:v>
                </c:pt>
                <c:pt idx="9">
                  <c:v>102.810947398183</c:v>
                </c:pt>
                <c:pt idx="10">
                  <c:v>105.467416228407</c:v>
                </c:pt>
                <c:pt idx="11">
                  <c:v>104.96715400947799</c:v>
                </c:pt>
                <c:pt idx="12">
                  <c:v>103.534170730464</c:v>
                </c:pt>
                <c:pt idx="13">
                  <c:v>104.601001915268</c:v>
                </c:pt>
                <c:pt idx="14">
                  <c:v>107.27907069739101</c:v>
                </c:pt>
                <c:pt idx="15">
                  <c:v>104.85901941741101</c:v>
                </c:pt>
                <c:pt idx="16">
                  <c:v>108.43551030933899</c:v>
                </c:pt>
                <c:pt idx="17">
                  <c:v>113.864425646711</c:v>
                </c:pt>
                <c:pt idx="18">
                  <c:v>110.201346990584</c:v>
                </c:pt>
                <c:pt idx="19">
                  <c:v>109.928919119041</c:v>
                </c:pt>
                <c:pt idx="20">
                  <c:v>108.17018289717601</c:v>
                </c:pt>
                <c:pt idx="21">
                  <c:v>105.58382371083</c:v>
                </c:pt>
                <c:pt idx="22">
                  <c:v>114.031023413866</c:v>
                </c:pt>
                <c:pt idx="23">
                  <c:v>112.225351484171</c:v>
                </c:pt>
                <c:pt idx="24">
                  <c:v>110.622823205269</c:v>
                </c:pt>
                <c:pt idx="25">
                  <c:v>113.891527421134</c:v>
                </c:pt>
                <c:pt idx="26">
                  <c:v>111.35056798381</c:v>
                </c:pt>
                <c:pt idx="27">
                  <c:v>112.636325355295</c:v>
                </c:pt>
                <c:pt idx="28">
                  <c:v>113.873657590555</c:v>
                </c:pt>
                <c:pt idx="29">
                  <c:v>108.74984672545899</c:v>
                </c:pt>
                <c:pt idx="30">
                  <c:v>108.95245693141899</c:v>
                </c:pt>
                <c:pt idx="31">
                  <c:v>103.199757081923</c:v>
                </c:pt>
                <c:pt idx="32">
                  <c:v>103.572225065532</c:v>
                </c:pt>
                <c:pt idx="33">
                  <c:v>109.935157139548</c:v>
                </c:pt>
                <c:pt idx="34">
                  <c:v>108.39850843669799</c:v>
                </c:pt>
                <c:pt idx="35">
                  <c:v>107.918632913735</c:v>
                </c:pt>
                <c:pt idx="36">
                  <c:v>105.983606353875</c:v>
                </c:pt>
                <c:pt idx="37">
                  <c:v>108.957379835266</c:v>
                </c:pt>
                <c:pt idx="38">
                  <c:v>114.450966062999</c:v>
                </c:pt>
                <c:pt idx="39">
                  <c:v>116.95829280899601</c:v>
                </c:pt>
                <c:pt idx="40">
                  <c:v>115.52380061268499</c:v>
                </c:pt>
                <c:pt idx="41">
                  <c:v>115.793856402836</c:v>
                </c:pt>
                <c:pt idx="42">
                  <c:v>117.654847614906</c:v>
                </c:pt>
                <c:pt idx="43">
                  <c:v>127.80686466642899</c:v>
                </c:pt>
                <c:pt idx="44">
                  <c:v>115.417896329613</c:v>
                </c:pt>
                <c:pt idx="45">
                  <c:v>118.475565543543</c:v>
                </c:pt>
                <c:pt idx="46">
                  <c:v>121.188118709573</c:v>
                </c:pt>
                <c:pt idx="47">
                  <c:v>124.961719449437</c:v>
                </c:pt>
                <c:pt idx="48">
                  <c:v>126.87245449526399</c:v>
                </c:pt>
                <c:pt idx="49">
                  <c:v>131.266561676175</c:v>
                </c:pt>
                <c:pt idx="50">
                  <c:v>128.460205950687</c:v>
                </c:pt>
                <c:pt idx="51">
                  <c:v>126.392693199682</c:v>
                </c:pt>
                <c:pt idx="52">
                  <c:v>128.02302888614</c:v>
                </c:pt>
                <c:pt idx="53">
                  <c:v>127.00156470186499</c:v>
                </c:pt>
                <c:pt idx="54">
                  <c:v>127.43768029816</c:v>
                </c:pt>
                <c:pt idx="55">
                  <c:v>124.83811960396299</c:v>
                </c:pt>
                <c:pt idx="56">
                  <c:v>133.70661863023</c:v>
                </c:pt>
                <c:pt idx="57">
                  <c:v>136.86667059572099</c:v>
                </c:pt>
                <c:pt idx="58">
                  <c:v>131.23830922647701</c:v>
                </c:pt>
                <c:pt idx="59">
                  <c:v>132.07053527415201</c:v>
                </c:pt>
                <c:pt idx="60">
                  <c:v>128.042999140988</c:v>
                </c:pt>
                <c:pt idx="61">
                  <c:v>112.81387297232899</c:v>
                </c:pt>
                <c:pt idx="62">
                  <c:v>114.08774755357599</c:v>
                </c:pt>
                <c:pt idx="63">
                  <c:v>113.220355835031</c:v>
                </c:pt>
                <c:pt idx="64">
                  <c:v>121.953280046694</c:v>
                </c:pt>
                <c:pt idx="65">
                  <c:v>122.256404199214</c:v>
                </c:pt>
                <c:pt idx="66">
                  <c:v>121.320512822723</c:v>
                </c:pt>
                <c:pt idx="67">
                  <c:v>129.75625240995399</c:v>
                </c:pt>
                <c:pt idx="68">
                  <c:v>138.369836960557</c:v>
                </c:pt>
                <c:pt idx="69">
                  <c:v>114.88687437901901</c:v>
                </c:pt>
                <c:pt idx="70">
                  <c:v>111.060318639877</c:v>
                </c:pt>
                <c:pt idx="71">
                  <c:v>109.692024402877</c:v>
                </c:pt>
                <c:pt idx="72">
                  <c:v>113.78089877599901</c:v>
                </c:pt>
                <c:pt idx="73">
                  <c:v>125.577429081415</c:v>
                </c:pt>
                <c:pt idx="74">
                  <c:v>129.520938021793</c:v>
                </c:pt>
                <c:pt idx="75">
                  <c:v>130.18463326642899</c:v>
                </c:pt>
                <c:pt idx="76">
                  <c:v>121.122501080408</c:v>
                </c:pt>
                <c:pt idx="77">
                  <c:v>130.31946117955101</c:v>
                </c:pt>
                <c:pt idx="78">
                  <c:v>141.07561946576701</c:v>
                </c:pt>
                <c:pt idx="79">
                  <c:v>125.123224524363</c:v>
                </c:pt>
                <c:pt idx="80">
                  <c:v>135.75796614900199</c:v>
                </c:pt>
                <c:pt idx="81">
                  <c:v>134.73955535790699</c:v>
                </c:pt>
                <c:pt idx="82">
                  <c:v>152.96000147570501</c:v>
                </c:pt>
                <c:pt idx="83">
                  <c:v>147.476035667736</c:v>
                </c:pt>
                <c:pt idx="84">
                  <c:v>137.949569024412</c:v>
                </c:pt>
                <c:pt idx="85">
                  <c:v>131.78855270195999</c:v>
                </c:pt>
                <c:pt idx="86">
                  <c:v>126.70297299400799</c:v>
                </c:pt>
                <c:pt idx="87">
                  <c:v>137.02460218136599</c:v>
                </c:pt>
                <c:pt idx="88">
                  <c:v>139.15014000247899</c:v>
                </c:pt>
                <c:pt idx="89">
                  <c:v>137.49695745454699</c:v>
                </c:pt>
                <c:pt idx="90">
                  <c:v>139.60806629631699</c:v>
                </c:pt>
                <c:pt idx="91">
                  <c:v>164.57215063566201</c:v>
                </c:pt>
                <c:pt idx="92">
                  <c:v>143.08287763751599</c:v>
                </c:pt>
                <c:pt idx="93">
                  <c:v>140.34585144000999</c:v>
                </c:pt>
                <c:pt idx="94">
                  <c:v>150.886339160977</c:v>
                </c:pt>
                <c:pt idx="95">
                  <c:v>157.15699249576701</c:v>
                </c:pt>
                <c:pt idx="96">
                  <c:v>151.030928915321</c:v>
                </c:pt>
                <c:pt idx="97">
                  <c:v>158.64528249515701</c:v>
                </c:pt>
                <c:pt idx="98">
                  <c:v>162.63239730463201</c:v>
                </c:pt>
                <c:pt idx="99">
                  <c:v>165.544407559663</c:v>
                </c:pt>
                <c:pt idx="100">
                  <c:v>154.074718360682</c:v>
                </c:pt>
                <c:pt idx="101">
                  <c:v>181.001225628442</c:v>
                </c:pt>
                <c:pt idx="102">
                  <c:v>167.90534205734301</c:v>
                </c:pt>
                <c:pt idx="103">
                  <c:v>182.007050402743</c:v>
                </c:pt>
                <c:pt idx="104">
                  <c:v>163.783784030509</c:v>
                </c:pt>
                <c:pt idx="105">
                  <c:v>164.75427025939999</c:v>
                </c:pt>
                <c:pt idx="106">
                  <c:v>178.01910846595101</c:v>
                </c:pt>
                <c:pt idx="107">
                  <c:v>159.88185913348801</c:v>
                </c:pt>
                <c:pt idx="108">
                  <c:v>154.460764093314</c:v>
                </c:pt>
                <c:pt idx="109">
                  <c:v>153.917707373783</c:v>
                </c:pt>
                <c:pt idx="110">
                  <c:v>163.337611924454</c:v>
                </c:pt>
                <c:pt idx="111">
                  <c:v>146.84251041710499</c:v>
                </c:pt>
                <c:pt idx="112">
                  <c:v>137.29571849388401</c:v>
                </c:pt>
                <c:pt idx="113">
                  <c:v>136.74503137985499</c:v>
                </c:pt>
                <c:pt idx="114">
                  <c:v>140.403816842287</c:v>
                </c:pt>
                <c:pt idx="115">
                  <c:v>139.623495650633</c:v>
                </c:pt>
                <c:pt idx="116">
                  <c:v>130.80375146610999</c:v>
                </c:pt>
                <c:pt idx="117">
                  <c:v>130.44142528996801</c:v>
                </c:pt>
                <c:pt idx="118">
                  <c:v>138.907066942462</c:v>
                </c:pt>
                <c:pt idx="119">
                  <c:v>139.2844837701</c:v>
                </c:pt>
                <c:pt idx="120">
                  <c:v>148.39104518390701</c:v>
                </c:pt>
                <c:pt idx="121">
                  <c:v>140.73283654757799</c:v>
                </c:pt>
                <c:pt idx="122">
                  <c:v>154.56410193108999</c:v>
                </c:pt>
                <c:pt idx="123">
                  <c:v>158.78842164003501</c:v>
                </c:pt>
                <c:pt idx="124">
                  <c:v>152.94095385761699</c:v>
                </c:pt>
                <c:pt idx="125">
                  <c:v>158.95669120120601</c:v>
                </c:pt>
                <c:pt idx="126">
                  <c:v>175.38859232780999</c:v>
                </c:pt>
                <c:pt idx="127">
                  <c:v>157.26566970463401</c:v>
                </c:pt>
                <c:pt idx="128">
                  <c:v>144.489925840404</c:v>
                </c:pt>
                <c:pt idx="129">
                  <c:v>155.25638762999799</c:v>
                </c:pt>
                <c:pt idx="130">
                  <c:v>157.06365493877101</c:v>
                </c:pt>
                <c:pt idx="131">
                  <c:v>183.35877230303899</c:v>
                </c:pt>
              </c:numCache>
            </c:numRef>
          </c:val>
          <c:smooth val="0"/>
          <c:extLst>
            <c:ext xmlns:c16="http://schemas.microsoft.com/office/drawing/2014/chart" uri="{C3380CC4-5D6E-409C-BE32-E72D297353CC}">
              <c16:uniqueId val="{00000000-4B72-4C6E-BA5F-622719541C8D}"/>
            </c:ext>
          </c:extLst>
        </c:ser>
        <c:ser>
          <c:idx val="2"/>
          <c:order val="2"/>
          <c:tx>
            <c:strRef>
              <c:f>EDAPlots!$L$1</c:f>
              <c:strCache>
                <c:ptCount val="1"/>
                <c:pt idx="0">
                  <c:v>6040 TR</c:v>
                </c:pt>
              </c:strCache>
            </c:strRef>
          </c:tx>
          <c:spPr>
            <a:ln w="28575" cap="rnd">
              <a:solidFill>
                <a:schemeClr val="accent3"/>
              </a:solidFill>
              <a:round/>
            </a:ln>
            <a:effectLst/>
          </c:spPr>
          <c:marker>
            <c:symbol val="none"/>
          </c:marker>
          <c:val>
            <c:numRef>
              <c:f>EDAPlots!$L$5:$L$136</c:f>
              <c:numCache>
                <c:formatCode>General</c:formatCode>
                <c:ptCount val="132"/>
                <c:pt idx="0">
                  <c:v>108.535285274004</c:v>
                </c:pt>
                <c:pt idx="1">
                  <c:v>109.022611620048</c:v>
                </c:pt>
                <c:pt idx="2">
                  <c:v>111.449991049066</c:v>
                </c:pt>
                <c:pt idx="3">
                  <c:v>113.46791442549601</c:v>
                </c:pt>
                <c:pt idx="4">
                  <c:v>115.03580315487</c:v>
                </c:pt>
                <c:pt idx="5">
                  <c:v>112.981159319615</c:v>
                </c:pt>
                <c:pt idx="6">
                  <c:v>116.422087899481</c:v>
                </c:pt>
                <c:pt idx="7">
                  <c:v>113.106851197737</c:v>
                </c:pt>
                <c:pt idx="8">
                  <c:v>115.65758470048399</c:v>
                </c:pt>
                <c:pt idx="9">
                  <c:v>118.955033907226</c:v>
                </c:pt>
                <c:pt idx="10">
                  <c:v>121.141296367641</c:v>
                </c:pt>
                <c:pt idx="11">
                  <c:v>123.44034778904</c:v>
                </c:pt>
                <c:pt idx="12">
                  <c:v>121.809558428012</c:v>
                </c:pt>
                <c:pt idx="13">
                  <c:v>127.528759030259</c:v>
                </c:pt>
                <c:pt idx="14">
                  <c:v>128.71530316817601</c:v>
                </c:pt>
                <c:pt idx="15">
                  <c:v>129.13150638468099</c:v>
                </c:pt>
                <c:pt idx="16">
                  <c:v>131.60107884745099</c:v>
                </c:pt>
                <c:pt idx="17">
                  <c:v>133.476878865749</c:v>
                </c:pt>
                <c:pt idx="18">
                  <c:v>131.56237762480299</c:v>
                </c:pt>
                <c:pt idx="19">
                  <c:v>135.75914961691899</c:v>
                </c:pt>
                <c:pt idx="20">
                  <c:v>134.368011462628</c:v>
                </c:pt>
                <c:pt idx="21">
                  <c:v>138.08174976560699</c:v>
                </c:pt>
                <c:pt idx="22">
                  <c:v>141.037305626929</c:v>
                </c:pt>
                <c:pt idx="23">
                  <c:v>141.63436687667601</c:v>
                </c:pt>
                <c:pt idx="24">
                  <c:v>139.47577556023001</c:v>
                </c:pt>
                <c:pt idx="25">
                  <c:v>143.30085804250299</c:v>
                </c:pt>
                <c:pt idx="26">
                  <c:v>141.44657893087501</c:v>
                </c:pt>
                <c:pt idx="27">
                  <c:v>142.50527635098399</c:v>
                </c:pt>
                <c:pt idx="28">
                  <c:v>142.64243222092099</c:v>
                </c:pt>
                <c:pt idx="29">
                  <c:v>140.05153118249299</c:v>
                </c:pt>
                <c:pt idx="30">
                  <c:v>141.94259867745001</c:v>
                </c:pt>
                <c:pt idx="31">
                  <c:v>135.947167591153</c:v>
                </c:pt>
                <c:pt idx="32">
                  <c:v>136.58241505764801</c:v>
                </c:pt>
                <c:pt idx="33">
                  <c:v>144.33658391332901</c:v>
                </c:pt>
                <c:pt idx="34">
                  <c:v>143.42772636107199</c:v>
                </c:pt>
                <c:pt idx="35">
                  <c:v>140.49736746356601</c:v>
                </c:pt>
                <c:pt idx="36">
                  <c:v>137.44497456834799</c:v>
                </c:pt>
                <c:pt idx="37">
                  <c:v>137.82723839082001</c:v>
                </c:pt>
                <c:pt idx="38">
                  <c:v>142.42149240801001</c:v>
                </c:pt>
                <c:pt idx="39">
                  <c:v>142.28071545158099</c:v>
                </c:pt>
                <c:pt idx="40">
                  <c:v>143.21599892322001</c:v>
                </c:pt>
                <c:pt idx="41">
                  <c:v>144.19740020551399</c:v>
                </c:pt>
                <c:pt idx="42">
                  <c:v>147.81371678766001</c:v>
                </c:pt>
                <c:pt idx="43">
                  <c:v>148.03398601555401</c:v>
                </c:pt>
                <c:pt idx="44">
                  <c:v>148.019960951857</c:v>
                </c:pt>
                <c:pt idx="45">
                  <c:v>146.145017060714</c:v>
                </c:pt>
                <c:pt idx="46">
                  <c:v>149.650371377358</c:v>
                </c:pt>
                <c:pt idx="47">
                  <c:v>152.486464752117</c:v>
                </c:pt>
                <c:pt idx="48">
                  <c:v>153.657293683234</c:v>
                </c:pt>
                <c:pt idx="49">
                  <c:v>158.33289737360801</c:v>
                </c:pt>
                <c:pt idx="50">
                  <c:v>157.03941319309101</c:v>
                </c:pt>
                <c:pt idx="51">
                  <c:v>158.60799994428999</c:v>
                </c:pt>
                <c:pt idx="52">
                  <c:v>160.35416529821899</c:v>
                </c:pt>
                <c:pt idx="53">
                  <c:v>160.180833146802</c:v>
                </c:pt>
                <c:pt idx="54">
                  <c:v>162.620144951051</c:v>
                </c:pt>
                <c:pt idx="55">
                  <c:v>162.98444033820101</c:v>
                </c:pt>
                <c:pt idx="56">
                  <c:v>165.09191877702401</c:v>
                </c:pt>
                <c:pt idx="57">
                  <c:v>167.459312407027</c:v>
                </c:pt>
                <c:pt idx="58">
                  <c:v>171.036021104334</c:v>
                </c:pt>
                <c:pt idx="59">
                  <c:v>172.94833686122499</c:v>
                </c:pt>
                <c:pt idx="60">
                  <c:v>178.92829282564099</c:v>
                </c:pt>
                <c:pt idx="61">
                  <c:v>173.795723208444</c:v>
                </c:pt>
                <c:pt idx="62">
                  <c:v>172.31532286414799</c:v>
                </c:pt>
                <c:pt idx="63">
                  <c:v>175.49888913583399</c:v>
                </c:pt>
                <c:pt idx="64">
                  <c:v>178.811248481543</c:v>
                </c:pt>
                <c:pt idx="65">
                  <c:v>178.35680831314099</c:v>
                </c:pt>
                <c:pt idx="66">
                  <c:v>183.126176488407</c:v>
                </c:pt>
                <c:pt idx="67">
                  <c:v>188.14894248659201</c:v>
                </c:pt>
                <c:pt idx="68">
                  <c:v>189.05005401572001</c:v>
                </c:pt>
                <c:pt idx="69">
                  <c:v>178.17160833966801</c:v>
                </c:pt>
                <c:pt idx="70">
                  <c:v>179.45507560807499</c:v>
                </c:pt>
                <c:pt idx="71">
                  <c:v>166.42684636737701</c:v>
                </c:pt>
                <c:pt idx="72">
                  <c:v>176.57726015359199</c:v>
                </c:pt>
                <c:pt idx="73">
                  <c:v>180.893530734969</c:v>
                </c:pt>
                <c:pt idx="74">
                  <c:v>183.49545202604699</c:v>
                </c:pt>
                <c:pt idx="75">
                  <c:v>187.637195448667</c:v>
                </c:pt>
                <c:pt idx="76">
                  <c:v>180.24693925755801</c:v>
                </c:pt>
                <c:pt idx="77">
                  <c:v>190.46818782695601</c:v>
                </c:pt>
                <c:pt idx="78">
                  <c:v>191.39129189331101</c:v>
                </c:pt>
                <c:pt idx="79">
                  <c:v>191.09347659302901</c:v>
                </c:pt>
                <c:pt idx="80">
                  <c:v>194.517494782412</c:v>
                </c:pt>
                <c:pt idx="81">
                  <c:v>199.634379951737</c:v>
                </c:pt>
                <c:pt idx="82">
                  <c:v>203.70976843708101</c:v>
                </c:pt>
                <c:pt idx="83">
                  <c:v>209.708143034805</c:v>
                </c:pt>
                <c:pt idx="84">
                  <c:v>208.92705675554299</c:v>
                </c:pt>
                <c:pt idx="85">
                  <c:v>195.70867518798499</c:v>
                </c:pt>
                <c:pt idx="86">
                  <c:v>171.29517587825401</c:v>
                </c:pt>
                <c:pt idx="87">
                  <c:v>194.67262396737399</c:v>
                </c:pt>
                <c:pt idx="88">
                  <c:v>206.103714660854</c:v>
                </c:pt>
                <c:pt idx="89">
                  <c:v>208.59715160689399</c:v>
                </c:pt>
                <c:pt idx="90">
                  <c:v>217.444734162191</c:v>
                </c:pt>
                <c:pt idx="91">
                  <c:v>227.50302660962799</c:v>
                </c:pt>
                <c:pt idx="92">
                  <c:v>219.05576531454099</c:v>
                </c:pt>
                <c:pt idx="93">
                  <c:v>213.403011675269</c:v>
                </c:pt>
                <c:pt idx="94">
                  <c:v>229.87788273338199</c:v>
                </c:pt>
                <c:pt idx="95">
                  <c:v>234.77619817462499</c:v>
                </c:pt>
                <c:pt idx="96">
                  <c:v>235.124276770368</c:v>
                </c:pt>
                <c:pt idx="97">
                  <c:v>236.41935815717201</c:v>
                </c:pt>
                <c:pt idx="98">
                  <c:v>239.85653529779299</c:v>
                </c:pt>
                <c:pt idx="99">
                  <c:v>248.15191808748901</c:v>
                </c:pt>
                <c:pt idx="100">
                  <c:v>249.10830139053499</c:v>
                </c:pt>
                <c:pt idx="101">
                  <c:v>254.260502074882</c:v>
                </c:pt>
                <c:pt idx="102">
                  <c:v>258.71384278343203</c:v>
                </c:pt>
                <c:pt idx="103">
                  <c:v>265.312908709412</c:v>
                </c:pt>
                <c:pt idx="104">
                  <c:v>254.53922063578199</c:v>
                </c:pt>
                <c:pt idx="105">
                  <c:v>266.46027850119702</c:v>
                </c:pt>
                <c:pt idx="106">
                  <c:v>264.451573046497</c:v>
                </c:pt>
                <c:pt idx="107">
                  <c:v>276.981581721429</c:v>
                </c:pt>
                <c:pt idx="108">
                  <c:v>262.877034986176</c:v>
                </c:pt>
                <c:pt idx="109">
                  <c:v>254.50069070882699</c:v>
                </c:pt>
                <c:pt idx="110">
                  <c:v>264.29489453913499</c:v>
                </c:pt>
                <c:pt idx="111">
                  <c:v>242.71568891386701</c:v>
                </c:pt>
                <c:pt idx="112">
                  <c:v>242.49317925973</c:v>
                </c:pt>
                <c:pt idx="113">
                  <c:v>226.934805225199</c:v>
                </c:pt>
                <c:pt idx="114">
                  <c:v>242.640265088451</c:v>
                </c:pt>
                <c:pt idx="115">
                  <c:v>233.605564684218</c:v>
                </c:pt>
                <c:pt idx="116">
                  <c:v>213.66779681016999</c:v>
                </c:pt>
                <c:pt idx="117">
                  <c:v>222.274351775334</c:v>
                </c:pt>
                <c:pt idx="118">
                  <c:v>234.76268530642099</c:v>
                </c:pt>
                <c:pt idx="119">
                  <c:v>222.95891704612799</c:v>
                </c:pt>
                <c:pt idx="120">
                  <c:v>236.43077898536299</c:v>
                </c:pt>
                <c:pt idx="121">
                  <c:v>228.13860773776801</c:v>
                </c:pt>
                <c:pt idx="122">
                  <c:v>237.174245624024</c:v>
                </c:pt>
                <c:pt idx="123">
                  <c:v>239.62536347891799</c:v>
                </c:pt>
                <c:pt idx="124">
                  <c:v>240.706257086541</c:v>
                </c:pt>
                <c:pt idx="125">
                  <c:v>251.49635887529701</c:v>
                </c:pt>
                <c:pt idx="126">
                  <c:v>258.25111660343998</c:v>
                </c:pt>
                <c:pt idx="127">
                  <c:v>255.31267419487901</c:v>
                </c:pt>
                <c:pt idx="128">
                  <c:v>243.837139270638</c:v>
                </c:pt>
                <c:pt idx="129">
                  <c:v>239.10572265501</c:v>
                </c:pt>
                <c:pt idx="130">
                  <c:v>256.51559960093402</c:v>
                </c:pt>
                <c:pt idx="131">
                  <c:v>266.94098441789498</c:v>
                </c:pt>
              </c:numCache>
            </c:numRef>
          </c:val>
          <c:smooth val="0"/>
          <c:extLst>
            <c:ext xmlns:c16="http://schemas.microsoft.com/office/drawing/2014/chart" uri="{C3380CC4-5D6E-409C-BE32-E72D297353CC}">
              <c16:uniqueId val="{00000001-4B72-4C6E-BA5F-622719541C8D}"/>
            </c:ext>
          </c:extLst>
        </c:ser>
        <c:dLbls>
          <c:showLegendKey val="0"/>
          <c:showVal val="0"/>
          <c:showCatName val="0"/>
          <c:showSerName val="0"/>
          <c:showPercent val="0"/>
          <c:showBubbleSize val="0"/>
        </c:dLbls>
        <c:marker val="1"/>
        <c:smooth val="0"/>
        <c:axId val="1219703007"/>
        <c:axId val="769473871"/>
      </c:lineChart>
      <c:lineChart>
        <c:grouping val="standard"/>
        <c:varyColors val="0"/>
        <c:ser>
          <c:idx val="0"/>
          <c:order val="0"/>
          <c:tx>
            <c:strRef>
              <c:f>EDAPlots!$C$1</c:f>
              <c:strCache>
                <c:ptCount val="1"/>
                <c:pt idx="0">
                  <c:v>CPI YoY (RHS)</c:v>
                </c:pt>
              </c:strCache>
            </c:strRef>
          </c:tx>
          <c:spPr>
            <a:ln w="22225" cap="rnd">
              <a:solidFill>
                <a:schemeClr val="accent1"/>
              </a:solidFill>
              <a:prstDash val="sysDash"/>
              <a:round/>
            </a:ln>
            <a:effectLst/>
          </c:spPr>
          <c:marker>
            <c:symbol val="none"/>
          </c:marker>
          <c:cat>
            <c:strRef>
              <c:f>EDAPlots!$B$5:$B$136</c:f>
              <c:strCache>
                <c:ptCount val="132"/>
                <c:pt idx="0">
                  <c:v>JAN.2013</c:v>
                </c:pt>
                <c:pt idx="1">
                  <c:v>FEB.2013</c:v>
                </c:pt>
                <c:pt idx="2">
                  <c:v>MAR.2013</c:v>
                </c:pt>
                <c:pt idx="3">
                  <c:v>APR.2013</c:v>
                </c:pt>
                <c:pt idx="4">
                  <c:v>MAY.2013</c:v>
                </c:pt>
                <c:pt idx="5">
                  <c:v>JUN.2013</c:v>
                </c:pt>
                <c:pt idx="6">
                  <c:v>JUL.2013</c:v>
                </c:pt>
                <c:pt idx="7">
                  <c:v>AUG.2013</c:v>
                </c:pt>
                <c:pt idx="8">
                  <c:v>SEP.2013</c:v>
                </c:pt>
                <c:pt idx="9">
                  <c:v>OCT.2013</c:v>
                </c:pt>
                <c:pt idx="10">
                  <c:v>NOV.2013</c:v>
                </c:pt>
                <c:pt idx="11">
                  <c:v>DEC.2013</c:v>
                </c:pt>
                <c:pt idx="12">
                  <c:v>JAN.2014</c:v>
                </c:pt>
                <c:pt idx="13">
                  <c:v>FEB.2014</c:v>
                </c:pt>
                <c:pt idx="14">
                  <c:v>MAR.2014</c:v>
                </c:pt>
                <c:pt idx="15">
                  <c:v>APR.2014</c:v>
                </c:pt>
                <c:pt idx="16">
                  <c:v>MAY.2014</c:v>
                </c:pt>
                <c:pt idx="17">
                  <c:v>JUN.2014</c:v>
                </c:pt>
                <c:pt idx="18">
                  <c:v>JUL.2014</c:v>
                </c:pt>
                <c:pt idx="19">
                  <c:v>AUG.2014</c:v>
                </c:pt>
                <c:pt idx="20">
                  <c:v>SEP.2014</c:v>
                </c:pt>
                <c:pt idx="21">
                  <c:v>OCT.2014</c:v>
                </c:pt>
                <c:pt idx="22">
                  <c:v>NOV.2014</c:v>
                </c:pt>
                <c:pt idx="23">
                  <c:v>DEC.2014</c:v>
                </c:pt>
                <c:pt idx="24">
                  <c:v>JAN.2015</c:v>
                </c:pt>
                <c:pt idx="25">
                  <c:v>FEB.2015</c:v>
                </c:pt>
                <c:pt idx="26">
                  <c:v>MAR.2015</c:v>
                </c:pt>
                <c:pt idx="27">
                  <c:v>APR.2015</c:v>
                </c:pt>
                <c:pt idx="28">
                  <c:v>MAY.2015</c:v>
                </c:pt>
                <c:pt idx="29">
                  <c:v>JUN.2015</c:v>
                </c:pt>
                <c:pt idx="30">
                  <c:v>JUL.2015</c:v>
                </c:pt>
                <c:pt idx="31">
                  <c:v>AUG.2015</c:v>
                </c:pt>
                <c:pt idx="32">
                  <c:v>SEP.2015</c:v>
                </c:pt>
                <c:pt idx="33">
                  <c:v>OCT.2015</c:v>
                </c:pt>
                <c:pt idx="34">
                  <c:v>NOV.2015</c:v>
                </c:pt>
                <c:pt idx="35">
                  <c:v>DEC.2015</c:v>
                </c:pt>
                <c:pt idx="36">
                  <c:v>JAN.2016</c:v>
                </c:pt>
                <c:pt idx="37">
                  <c:v>FEB.2016</c:v>
                </c:pt>
                <c:pt idx="38">
                  <c:v>MAR.2016</c:v>
                </c:pt>
                <c:pt idx="39">
                  <c:v>APR.2016</c:v>
                </c:pt>
                <c:pt idx="40">
                  <c:v>MAY.2016</c:v>
                </c:pt>
                <c:pt idx="41">
                  <c:v>JUN.2016</c:v>
                </c:pt>
                <c:pt idx="42">
                  <c:v>JUL.2016</c:v>
                </c:pt>
                <c:pt idx="43">
                  <c:v>AUG.2016</c:v>
                </c:pt>
                <c:pt idx="44">
                  <c:v>SEP.2016</c:v>
                </c:pt>
                <c:pt idx="45">
                  <c:v>OCT.2016</c:v>
                </c:pt>
                <c:pt idx="46">
                  <c:v>NOV.2016</c:v>
                </c:pt>
                <c:pt idx="47">
                  <c:v>DEC.2016</c:v>
                </c:pt>
                <c:pt idx="48">
                  <c:v>JAN.2017</c:v>
                </c:pt>
                <c:pt idx="49">
                  <c:v>FEB.2017</c:v>
                </c:pt>
                <c:pt idx="50">
                  <c:v>MAR.2017</c:v>
                </c:pt>
                <c:pt idx="51">
                  <c:v>APR.2017</c:v>
                </c:pt>
                <c:pt idx="52">
                  <c:v>MAY.2017</c:v>
                </c:pt>
                <c:pt idx="53">
                  <c:v>JUN.2017</c:v>
                </c:pt>
                <c:pt idx="54">
                  <c:v>JUL.2017</c:v>
                </c:pt>
                <c:pt idx="55">
                  <c:v>AUG.2017</c:v>
                </c:pt>
                <c:pt idx="56">
                  <c:v>SEP.2017</c:v>
                </c:pt>
                <c:pt idx="57">
                  <c:v>OCT.2017</c:v>
                </c:pt>
                <c:pt idx="58">
                  <c:v>NOV.2017</c:v>
                </c:pt>
                <c:pt idx="59">
                  <c:v>DEC.2017</c:v>
                </c:pt>
                <c:pt idx="60">
                  <c:v>JAN.2018</c:v>
                </c:pt>
                <c:pt idx="61">
                  <c:v>FEB.2018</c:v>
                </c:pt>
                <c:pt idx="62">
                  <c:v>MAR.2018</c:v>
                </c:pt>
                <c:pt idx="63">
                  <c:v>APR.2018</c:v>
                </c:pt>
                <c:pt idx="64">
                  <c:v>MAY.2018</c:v>
                </c:pt>
                <c:pt idx="65">
                  <c:v>JUN.2018</c:v>
                </c:pt>
                <c:pt idx="66">
                  <c:v>JUL.2018</c:v>
                </c:pt>
                <c:pt idx="67">
                  <c:v>AUG.2018</c:v>
                </c:pt>
                <c:pt idx="68">
                  <c:v>SEP.2018</c:v>
                </c:pt>
                <c:pt idx="69">
                  <c:v>OCT.2018</c:v>
                </c:pt>
                <c:pt idx="70">
                  <c:v>NOV.2018</c:v>
                </c:pt>
                <c:pt idx="71">
                  <c:v>DEC.2018</c:v>
                </c:pt>
                <c:pt idx="72">
                  <c:v>JAN.2019</c:v>
                </c:pt>
                <c:pt idx="73">
                  <c:v>FEB.2019</c:v>
                </c:pt>
                <c:pt idx="74">
                  <c:v>MAR.2019</c:v>
                </c:pt>
                <c:pt idx="75">
                  <c:v>APR.2019</c:v>
                </c:pt>
                <c:pt idx="76">
                  <c:v>MAY.2019</c:v>
                </c:pt>
                <c:pt idx="77">
                  <c:v>JUN.2019</c:v>
                </c:pt>
                <c:pt idx="78">
                  <c:v>JUL.2019</c:v>
                </c:pt>
                <c:pt idx="79">
                  <c:v>AUG.2019</c:v>
                </c:pt>
                <c:pt idx="80">
                  <c:v>SEP.2019</c:v>
                </c:pt>
                <c:pt idx="81">
                  <c:v>OCT.2019</c:v>
                </c:pt>
                <c:pt idx="82">
                  <c:v>NOV.2019</c:v>
                </c:pt>
                <c:pt idx="83">
                  <c:v>DEC.2019</c:v>
                </c:pt>
                <c:pt idx="84">
                  <c:v>JAN.2020</c:v>
                </c:pt>
                <c:pt idx="85">
                  <c:v>FEB.2020</c:v>
                </c:pt>
                <c:pt idx="86">
                  <c:v>MAR.2020</c:v>
                </c:pt>
                <c:pt idx="87">
                  <c:v>APR.2020</c:v>
                </c:pt>
                <c:pt idx="88">
                  <c:v>MAY.2020</c:v>
                </c:pt>
                <c:pt idx="89">
                  <c:v>JUN.2020</c:v>
                </c:pt>
                <c:pt idx="90">
                  <c:v>JUL.2020</c:v>
                </c:pt>
                <c:pt idx="91">
                  <c:v>AUG.2020</c:v>
                </c:pt>
                <c:pt idx="92">
                  <c:v>SEP.2020</c:v>
                </c:pt>
                <c:pt idx="93">
                  <c:v>OCT.2020</c:v>
                </c:pt>
                <c:pt idx="94">
                  <c:v>NOV.2020</c:v>
                </c:pt>
                <c:pt idx="95">
                  <c:v>DEC.2020</c:v>
                </c:pt>
                <c:pt idx="96">
                  <c:v>JAN.2021</c:v>
                </c:pt>
                <c:pt idx="97">
                  <c:v>FEB.2021</c:v>
                </c:pt>
                <c:pt idx="98">
                  <c:v>MAR.2021</c:v>
                </c:pt>
                <c:pt idx="99">
                  <c:v>APR.2021</c:v>
                </c:pt>
                <c:pt idx="100">
                  <c:v>MAY.2021</c:v>
                </c:pt>
                <c:pt idx="101">
                  <c:v>JUN.2021</c:v>
                </c:pt>
                <c:pt idx="102">
                  <c:v>JUL.2021</c:v>
                </c:pt>
                <c:pt idx="103">
                  <c:v>AUG.2021</c:v>
                </c:pt>
                <c:pt idx="104">
                  <c:v>SEP.2021</c:v>
                </c:pt>
                <c:pt idx="105">
                  <c:v>OCT.2021</c:v>
                </c:pt>
                <c:pt idx="106">
                  <c:v>NOV.2021</c:v>
                </c:pt>
                <c:pt idx="107">
                  <c:v>DEC.2021</c:v>
                </c:pt>
                <c:pt idx="108">
                  <c:v>JAN.2022</c:v>
                </c:pt>
                <c:pt idx="109">
                  <c:v>FEB.2022</c:v>
                </c:pt>
                <c:pt idx="110">
                  <c:v>MAR.2022</c:v>
                </c:pt>
                <c:pt idx="111">
                  <c:v>APR.2022</c:v>
                </c:pt>
                <c:pt idx="112">
                  <c:v>MAY.2022</c:v>
                </c:pt>
                <c:pt idx="113">
                  <c:v>JUN.2022</c:v>
                </c:pt>
                <c:pt idx="114">
                  <c:v>JUL.2022</c:v>
                </c:pt>
                <c:pt idx="115">
                  <c:v>AUG.2022</c:v>
                </c:pt>
                <c:pt idx="116">
                  <c:v>SEP.2022</c:v>
                </c:pt>
                <c:pt idx="117">
                  <c:v>OCT.2022</c:v>
                </c:pt>
                <c:pt idx="118">
                  <c:v>NOV.2022</c:v>
                </c:pt>
                <c:pt idx="119">
                  <c:v>DEC.2022</c:v>
                </c:pt>
                <c:pt idx="120">
                  <c:v>JAN.2023</c:v>
                </c:pt>
                <c:pt idx="121">
                  <c:v>FEB.2023</c:v>
                </c:pt>
                <c:pt idx="122">
                  <c:v>MAR.2023</c:v>
                </c:pt>
                <c:pt idx="123">
                  <c:v>APR.2023</c:v>
                </c:pt>
                <c:pt idx="124">
                  <c:v>MAY.2023</c:v>
                </c:pt>
                <c:pt idx="125">
                  <c:v>JUN.2023</c:v>
                </c:pt>
                <c:pt idx="126">
                  <c:v>JUL.2023</c:v>
                </c:pt>
                <c:pt idx="127">
                  <c:v>AUG.2023</c:v>
                </c:pt>
                <c:pt idx="128">
                  <c:v>SEP.2023</c:v>
                </c:pt>
                <c:pt idx="129">
                  <c:v>OCT.2023</c:v>
                </c:pt>
                <c:pt idx="130">
                  <c:v>NOV.2023</c:v>
                </c:pt>
                <c:pt idx="131">
                  <c:v>DEC.2023</c:v>
                </c:pt>
              </c:strCache>
            </c:strRef>
          </c:cat>
          <c:val>
            <c:numRef>
              <c:f>EDAPlots!$C$5:$C$136</c:f>
              <c:numCache>
                <c:formatCode>General</c:formatCode>
                <c:ptCount val="132"/>
                <c:pt idx="0">
                  <c:v>1.6</c:v>
                </c:pt>
                <c:pt idx="1">
                  <c:v>2</c:v>
                </c:pt>
                <c:pt idx="2">
                  <c:v>1.5</c:v>
                </c:pt>
                <c:pt idx="3">
                  <c:v>1.1000000000000001</c:v>
                </c:pt>
                <c:pt idx="4">
                  <c:v>1.4</c:v>
                </c:pt>
                <c:pt idx="5">
                  <c:v>1.8</c:v>
                </c:pt>
                <c:pt idx="6">
                  <c:v>2</c:v>
                </c:pt>
                <c:pt idx="7">
                  <c:v>1.5</c:v>
                </c:pt>
                <c:pt idx="8">
                  <c:v>1.2</c:v>
                </c:pt>
                <c:pt idx="9">
                  <c:v>1</c:v>
                </c:pt>
                <c:pt idx="10">
                  <c:v>1.2</c:v>
                </c:pt>
                <c:pt idx="11">
                  <c:v>1.5</c:v>
                </c:pt>
                <c:pt idx="12">
                  <c:v>1.6</c:v>
                </c:pt>
                <c:pt idx="13">
                  <c:v>1.1000000000000001</c:v>
                </c:pt>
                <c:pt idx="14">
                  <c:v>1.5</c:v>
                </c:pt>
                <c:pt idx="15">
                  <c:v>2</c:v>
                </c:pt>
                <c:pt idx="16">
                  <c:v>2.1</c:v>
                </c:pt>
                <c:pt idx="17">
                  <c:v>2.1</c:v>
                </c:pt>
                <c:pt idx="18">
                  <c:v>2</c:v>
                </c:pt>
                <c:pt idx="19">
                  <c:v>1.7</c:v>
                </c:pt>
                <c:pt idx="20">
                  <c:v>1.7</c:v>
                </c:pt>
                <c:pt idx="21">
                  <c:v>1.7</c:v>
                </c:pt>
                <c:pt idx="22">
                  <c:v>1.3</c:v>
                </c:pt>
                <c:pt idx="23">
                  <c:v>0.8</c:v>
                </c:pt>
                <c:pt idx="24">
                  <c:v>-0.1</c:v>
                </c:pt>
                <c:pt idx="25">
                  <c:v>0</c:v>
                </c:pt>
                <c:pt idx="26">
                  <c:v>-0.1</c:v>
                </c:pt>
                <c:pt idx="27">
                  <c:v>-0.2</c:v>
                </c:pt>
                <c:pt idx="28">
                  <c:v>0</c:v>
                </c:pt>
                <c:pt idx="29">
                  <c:v>0.1</c:v>
                </c:pt>
                <c:pt idx="30">
                  <c:v>0.2</c:v>
                </c:pt>
                <c:pt idx="31">
                  <c:v>0.2</c:v>
                </c:pt>
                <c:pt idx="32">
                  <c:v>0</c:v>
                </c:pt>
                <c:pt idx="33">
                  <c:v>0.2</c:v>
                </c:pt>
                <c:pt idx="34">
                  <c:v>0.5</c:v>
                </c:pt>
                <c:pt idx="35">
                  <c:v>0.7</c:v>
                </c:pt>
                <c:pt idx="36">
                  <c:v>1.4</c:v>
                </c:pt>
                <c:pt idx="37">
                  <c:v>1</c:v>
                </c:pt>
                <c:pt idx="38">
                  <c:v>0.9</c:v>
                </c:pt>
                <c:pt idx="39">
                  <c:v>1.1000000000000001</c:v>
                </c:pt>
                <c:pt idx="40">
                  <c:v>1</c:v>
                </c:pt>
                <c:pt idx="41">
                  <c:v>1</c:v>
                </c:pt>
                <c:pt idx="42">
                  <c:v>0.8</c:v>
                </c:pt>
                <c:pt idx="43">
                  <c:v>1.1000000000000001</c:v>
                </c:pt>
                <c:pt idx="44">
                  <c:v>1.5</c:v>
                </c:pt>
                <c:pt idx="45">
                  <c:v>1.6</c:v>
                </c:pt>
                <c:pt idx="46">
                  <c:v>1.7</c:v>
                </c:pt>
                <c:pt idx="47">
                  <c:v>2.1</c:v>
                </c:pt>
                <c:pt idx="48">
                  <c:v>2.5</c:v>
                </c:pt>
                <c:pt idx="49">
                  <c:v>2.7</c:v>
                </c:pt>
                <c:pt idx="50">
                  <c:v>2.4</c:v>
                </c:pt>
                <c:pt idx="51">
                  <c:v>2.2000000000000002</c:v>
                </c:pt>
                <c:pt idx="52">
                  <c:v>1.9</c:v>
                </c:pt>
                <c:pt idx="53">
                  <c:v>1.6</c:v>
                </c:pt>
                <c:pt idx="54">
                  <c:v>1.7</c:v>
                </c:pt>
                <c:pt idx="55">
                  <c:v>1.9</c:v>
                </c:pt>
                <c:pt idx="56">
                  <c:v>2.2000000000000002</c:v>
                </c:pt>
                <c:pt idx="57">
                  <c:v>2</c:v>
                </c:pt>
                <c:pt idx="58">
                  <c:v>2.2000000000000002</c:v>
                </c:pt>
                <c:pt idx="59">
                  <c:v>2.1</c:v>
                </c:pt>
                <c:pt idx="60">
                  <c:v>2.1</c:v>
                </c:pt>
                <c:pt idx="61">
                  <c:v>2.2000000000000002</c:v>
                </c:pt>
                <c:pt idx="62">
                  <c:v>2.4</c:v>
                </c:pt>
                <c:pt idx="63">
                  <c:v>2.5</c:v>
                </c:pt>
                <c:pt idx="64">
                  <c:v>2.8</c:v>
                </c:pt>
                <c:pt idx="65">
                  <c:v>2.9</c:v>
                </c:pt>
                <c:pt idx="66">
                  <c:v>2.9</c:v>
                </c:pt>
                <c:pt idx="67">
                  <c:v>2.7</c:v>
                </c:pt>
                <c:pt idx="68">
                  <c:v>2.2999999999999998</c:v>
                </c:pt>
                <c:pt idx="69">
                  <c:v>2.5</c:v>
                </c:pt>
                <c:pt idx="70">
                  <c:v>2.2000000000000002</c:v>
                </c:pt>
                <c:pt idx="71">
                  <c:v>1.9</c:v>
                </c:pt>
                <c:pt idx="72">
                  <c:v>1.6</c:v>
                </c:pt>
                <c:pt idx="73">
                  <c:v>1.5</c:v>
                </c:pt>
                <c:pt idx="74">
                  <c:v>1.9</c:v>
                </c:pt>
                <c:pt idx="75">
                  <c:v>2</c:v>
                </c:pt>
                <c:pt idx="76">
                  <c:v>1.8</c:v>
                </c:pt>
                <c:pt idx="77">
                  <c:v>1.6</c:v>
                </c:pt>
                <c:pt idx="78">
                  <c:v>1.8</c:v>
                </c:pt>
                <c:pt idx="79">
                  <c:v>1.7</c:v>
                </c:pt>
                <c:pt idx="80">
                  <c:v>1.7</c:v>
                </c:pt>
                <c:pt idx="81">
                  <c:v>1.8</c:v>
                </c:pt>
                <c:pt idx="82">
                  <c:v>2.1</c:v>
                </c:pt>
                <c:pt idx="83">
                  <c:v>2.2999999999999998</c:v>
                </c:pt>
                <c:pt idx="84">
                  <c:v>2.5</c:v>
                </c:pt>
                <c:pt idx="85">
                  <c:v>2.2999999999999998</c:v>
                </c:pt>
                <c:pt idx="86">
                  <c:v>1.5</c:v>
                </c:pt>
                <c:pt idx="87">
                  <c:v>0.3</c:v>
                </c:pt>
                <c:pt idx="88">
                  <c:v>0.1</c:v>
                </c:pt>
                <c:pt idx="89">
                  <c:v>0.6</c:v>
                </c:pt>
                <c:pt idx="90">
                  <c:v>1</c:v>
                </c:pt>
                <c:pt idx="91">
                  <c:v>1.3</c:v>
                </c:pt>
                <c:pt idx="92">
                  <c:v>1.4</c:v>
                </c:pt>
                <c:pt idx="93">
                  <c:v>1.2</c:v>
                </c:pt>
                <c:pt idx="94">
                  <c:v>1.2</c:v>
                </c:pt>
                <c:pt idx="95">
                  <c:v>1.4</c:v>
                </c:pt>
                <c:pt idx="96">
                  <c:v>1.4</c:v>
                </c:pt>
                <c:pt idx="97">
                  <c:v>1.7</c:v>
                </c:pt>
                <c:pt idx="98">
                  <c:v>2.6</c:v>
                </c:pt>
                <c:pt idx="99">
                  <c:v>4.2</c:v>
                </c:pt>
                <c:pt idx="100">
                  <c:v>5</c:v>
                </c:pt>
                <c:pt idx="101">
                  <c:v>5.4</c:v>
                </c:pt>
                <c:pt idx="102">
                  <c:v>5.4</c:v>
                </c:pt>
                <c:pt idx="103">
                  <c:v>5.3</c:v>
                </c:pt>
                <c:pt idx="104">
                  <c:v>5.4</c:v>
                </c:pt>
                <c:pt idx="105">
                  <c:v>6.2</c:v>
                </c:pt>
                <c:pt idx="106">
                  <c:v>6.8</c:v>
                </c:pt>
                <c:pt idx="107">
                  <c:v>7</c:v>
                </c:pt>
                <c:pt idx="108">
                  <c:v>7.5</c:v>
                </c:pt>
                <c:pt idx="109">
                  <c:v>7.9</c:v>
                </c:pt>
                <c:pt idx="110">
                  <c:v>8.5</c:v>
                </c:pt>
                <c:pt idx="111">
                  <c:v>8.3000000000000007</c:v>
                </c:pt>
                <c:pt idx="112">
                  <c:v>8.6</c:v>
                </c:pt>
                <c:pt idx="113">
                  <c:v>9.1</c:v>
                </c:pt>
                <c:pt idx="114">
                  <c:v>8.5</c:v>
                </c:pt>
                <c:pt idx="115">
                  <c:v>8.3000000000000007</c:v>
                </c:pt>
                <c:pt idx="116">
                  <c:v>8.1999999999999993</c:v>
                </c:pt>
                <c:pt idx="117">
                  <c:v>7.7</c:v>
                </c:pt>
                <c:pt idx="118">
                  <c:v>7.1</c:v>
                </c:pt>
                <c:pt idx="119">
                  <c:v>6.5</c:v>
                </c:pt>
                <c:pt idx="120">
                  <c:v>6.4</c:v>
                </c:pt>
                <c:pt idx="121">
                  <c:v>6</c:v>
                </c:pt>
                <c:pt idx="122">
                  <c:v>5</c:v>
                </c:pt>
                <c:pt idx="123">
                  <c:v>4.9000000000000004</c:v>
                </c:pt>
                <c:pt idx="124">
                  <c:v>4</c:v>
                </c:pt>
                <c:pt idx="125">
                  <c:v>3</c:v>
                </c:pt>
                <c:pt idx="126">
                  <c:v>3.2</c:v>
                </c:pt>
                <c:pt idx="127">
                  <c:v>3.7</c:v>
                </c:pt>
                <c:pt idx="128">
                  <c:v>3.7</c:v>
                </c:pt>
                <c:pt idx="129">
                  <c:v>3.2</c:v>
                </c:pt>
                <c:pt idx="130">
                  <c:v>3.1</c:v>
                </c:pt>
              </c:numCache>
            </c:numRef>
          </c:val>
          <c:smooth val="0"/>
          <c:extLst>
            <c:ext xmlns:c16="http://schemas.microsoft.com/office/drawing/2014/chart" uri="{C3380CC4-5D6E-409C-BE32-E72D297353CC}">
              <c16:uniqueId val="{00000002-4B72-4C6E-BA5F-622719541C8D}"/>
            </c:ext>
          </c:extLst>
        </c:ser>
        <c:dLbls>
          <c:showLegendKey val="0"/>
          <c:showVal val="0"/>
          <c:showCatName val="0"/>
          <c:showSerName val="0"/>
          <c:showPercent val="0"/>
          <c:showBubbleSize val="0"/>
        </c:dLbls>
        <c:marker val="1"/>
        <c:smooth val="0"/>
        <c:axId val="1219699167"/>
        <c:axId val="818380143"/>
      </c:lineChart>
      <c:catAx>
        <c:axId val="1219703007"/>
        <c:scaling>
          <c:orientation val="minMax"/>
        </c:scaling>
        <c:delete val="0"/>
        <c:axPos val="b"/>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73871"/>
        <c:crosses val="autoZero"/>
        <c:auto val="1"/>
        <c:lblAlgn val="ctr"/>
        <c:lblOffset val="100"/>
        <c:tickMarkSkip val="3"/>
        <c:noMultiLvlLbl val="0"/>
      </c:catAx>
      <c:valAx>
        <c:axId val="769473871"/>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703007"/>
        <c:crosses val="autoZero"/>
        <c:crossBetween val="midCat"/>
      </c:valAx>
      <c:valAx>
        <c:axId val="818380143"/>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699167"/>
        <c:crosses val="max"/>
        <c:crossBetween val="between"/>
      </c:valAx>
      <c:catAx>
        <c:axId val="1219699167"/>
        <c:scaling>
          <c:orientation val="minMax"/>
        </c:scaling>
        <c:delete val="1"/>
        <c:axPos val="b"/>
        <c:numFmt formatCode="General" sourceLinked="1"/>
        <c:majorTickMark val="out"/>
        <c:minorTickMark val="none"/>
        <c:tickLblPos val="nextTo"/>
        <c:crossAx val="818380143"/>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CAGR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SelectETFs!$F$5:$F$11</c:f>
              <c:numCache>
                <c:formatCode>0.0_);[Red]\(0.0\)</c:formatCode>
                <c:ptCount val="7"/>
                <c:pt idx="0">
                  <c:v>1.5294368373855782</c:v>
                </c:pt>
                <c:pt idx="1">
                  <c:v>3.0373605848137641</c:v>
                </c:pt>
                <c:pt idx="2">
                  <c:v>2.690052217781802</c:v>
                </c:pt>
                <c:pt idx="3">
                  <c:v>1.5346529042710833</c:v>
                </c:pt>
                <c:pt idx="4">
                  <c:v>4.6075912282899978</c:v>
                </c:pt>
                <c:pt idx="5">
                  <c:v>4.0379862622861307</c:v>
                </c:pt>
                <c:pt idx="6">
                  <c:v>3.2013209610155524</c:v>
                </c:pt>
              </c:numCache>
            </c:numRef>
          </c:val>
          <c:extLst>
            <c:ext xmlns:c16="http://schemas.microsoft.com/office/drawing/2014/chart" uri="{C3380CC4-5D6E-409C-BE32-E72D297353CC}">
              <c16:uniqueId val="{00000000-7320-443B-AC6C-FD3928F7E8C6}"/>
            </c:ext>
          </c:extLst>
        </c:ser>
        <c:ser>
          <c:idx val="1"/>
          <c:order val="1"/>
          <c:tx>
            <c:v>Model-Driven Long Only</c:v>
          </c:tx>
          <c:spPr>
            <a:solidFill>
              <a:schemeClr val="accent2"/>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SelectETFs!$G$5:$G$11</c:f>
              <c:numCache>
                <c:formatCode>0.0_);[Red]\(0.0\)</c:formatCode>
                <c:ptCount val="7"/>
                <c:pt idx="0">
                  <c:v>1.7342594507444575</c:v>
                </c:pt>
                <c:pt idx="1">
                  <c:v>4.5300116832581283</c:v>
                </c:pt>
                <c:pt idx="2">
                  <c:v>3.2662342354826679</c:v>
                </c:pt>
                <c:pt idx="3">
                  <c:v>1.7097594586278575</c:v>
                </c:pt>
                <c:pt idx="4">
                  <c:v>5.3095880211487589</c:v>
                </c:pt>
                <c:pt idx="5">
                  <c:v>2.4582415005884206</c:v>
                </c:pt>
                <c:pt idx="6">
                  <c:v>1.1695815703597789</c:v>
                </c:pt>
              </c:numCache>
            </c:numRef>
          </c:val>
          <c:extLst>
            <c:ext xmlns:c16="http://schemas.microsoft.com/office/drawing/2014/chart" uri="{C3380CC4-5D6E-409C-BE32-E72D297353CC}">
              <c16:uniqueId val="{00000001-7320-443B-AC6C-FD3928F7E8C6}"/>
            </c:ext>
          </c:extLst>
        </c:ser>
        <c:ser>
          <c:idx val="2"/>
          <c:order val="2"/>
          <c:tx>
            <c:v>Model-Driven Long/Short</c:v>
          </c:tx>
          <c:spPr>
            <a:solidFill>
              <a:schemeClr val="accent3"/>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SelectETFs!$H$5:$H$11</c:f>
              <c:numCache>
                <c:formatCode>0.0_);[Red]\(0.0\)</c:formatCode>
                <c:ptCount val="7"/>
                <c:pt idx="0">
                  <c:v>1.7959969584225854</c:v>
                </c:pt>
                <c:pt idx="1">
                  <c:v>5.7010950811734684</c:v>
                </c:pt>
                <c:pt idx="2">
                  <c:v>3.687486333577783</c:v>
                </c:pt>
                <c:pt idx="3">
                  <c:v>1.8485537549301378</c:v>
                </c:pt>
                <c:pt idx="4">
                  <c:v>5.3085406335306562</c:v>
                </c:pt>
                <c:pt idx="5">
                  <c:v>0.36455999463120836</c:v>
                </c:pt>
                <c:pt idx="6">
                  <c:v>-1.0922913321497862</c:v>
                </c:pt>
              </c:numCache>
            </c:numRef>
          </c:val>
          <c:extLst>
            <c:ext xmlns:c16="http://schemas.microsoft.com/office/drawing/2014/chart" uri="{C3380CC4-5D6E-409C-BE32-E72D297353CC}">
              <c16:uniqueId val="{00000002-7320-443B-AC6C-FD3928F7E8C6}"/>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Sharpe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SelectETFs!$I$5:$I$11</c:f>
              <c:numCache>
                <c:formatCode>0.0_);[Red]\(0.0\)</c:formatCode>
                <c:ptCount val="7"/>
                <c:pt idx="0">
                  <c:v>0.30588736747711565</c:v>
                </c:pt>
                <c:pt idx="1">
                  <c:v>0.43328966973092214</c:v>
                </c:pt>
                <c:pt idx="2">
                  <c:v>0.54899024852689837</c:v>
                </c:pt>
                <c:pt idx="3">
                  <c:v>0.67015410666859532</c:v>
                </c:pt>
                <c:pt idx="4">
                  <c:v>0.52004415669187343</c:v>
                </c:pt>
                <c:pt idx="5">
                  <c:v>0.32749280310512008</c:v>
                </c:pt>
                <c:pt idx="6">
                  <c:v>0.37574189683281134</c:v>
                </c:pt>
              </c:numCache>
            </c:numRef>
          </c:val>
          <c:extLst>
            <c:ext xmlns:c16="http://schemas.microsoft.com/office/drawing/2014/chart" uri="{C3380CC4-5D6E-409C-BE32-E72D297353CC}">
              <c16:uniqueId val="{00000000-6316-4C80-BFE9-27F56D428706}"/>
            </c:ext>
          </c:extLst>
        </c:ser>
        <c:ser>
          <c:idx val="1"/>
          <c:order val="1"/>
          <c:tx>
            <c:v>Model-Driven Long Only</c:v>
          </c:tx>
          <c:spPr>
            <a:solidFill>
              <a:schemeClr val="accent2"/>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SelectETFs!$J$5:$J$11</c:f>
              <c:numCache>
                <c:formatCode>0.0_);[Red]\(0.0\)</c:formatCode>
                <c:ptCount val="7"/>
                <c:pt idx="0">
                  <c:v>0.34685189014889151</c:v>
                </c:pt>
                <c:pt idx="1">
                  <c:v>0.65652343235625044</c:v>
                </c:pt>
                <c:pt idx="2">
                  <c:v>0.673450357831478</c:v>
                </c:pt>
                <c:pt idx="3">
                  <c:v>0.7498944993981832</c:v>
                </c:pt>
                <c:pt idx="4">
                  <c:v>0.60063212908922614</c:v>
                </c:pt>
                <c:pt idx="5">
                  <c:v>0.19840528656887979</c:v>
                </c:pt>
                <c:pt idx="6">
                  <c:v>0.13647392886345144</c:v>
                </c:pt>
              </c:numCache>
            </c:numRef>
          </c:val>
          <c:extLst>
            <c:ext xmlns:c16="http://schemas.microsoft.com/office/drawing/2014/chart" uri="{C3380CC4-5D6E-409C-BE32-E72D297353CC}">
              <c16:uniqueId val="{00000001-6316-4C80-BFE9-27F56D428706}"/>
            </c:ext>
          </c:extLst>
        </c:ser>
        <c:ser>
          <c:idx val="2"/>
          <c:order val="2"/>
          <c:tx>
            <c:v>Model-Driven Long/Short</c:v>
          </c:tx>
          <c:spPr>
            <a:solidFill>
              <a:schemeClr val="accent3"/>
            </a:solidFill>
            <a:ln>
              <a:noFill/>
            </a:ln>
            <a:effectLst/>
          </c:spPr>
          <c:invertIfNegative val="0"/>
          <c:cat>
            <c:strRef>
              <c:f>SelectETFs!$D$5:$D$11</c:f>
              <c:strCache>
                <c:ptCount val="7"/>
                <c:pt idx="0">
                  <c:v>AGG</c:v>
                </c:pt>
                <c:pt idx="1">
                  <c:v>VCIT</c:v>
                </c:pt>
                <c:pt idx="2">
                  <c:v>SPIB</c:v>
                </c:pt>
                <c:pt idx="3">
                  <c:v>BSV</c:v>
                </c:pt>
                <c:pt idx="4">
                  <c:v>JNK</c:v>
                </c:pt>
                <c:pt idx="5">
                  <c:v>VCLT</c:v>
                </c:pt>
                <c:pt idx="6">
                  <c:v>LQD</c:v>
                </c:pt>
              </c:strCache>
            </c:strRef>
          </c:cat>
          <c:val>
            <c:numRef>
              <c:f>SelectETFs!$K$5:$K$11</c:f>
              <c:numCache>
                <c:formatCode>0.0_);[Red]\(0.0\)</c:formatCode>
                <c:ptCount val="7"/>
                <c:pt idx="0">
                  <c:v>0.50591463617537624</c:v>
                </c:pt>
                <c:pt idx="1">
                  <c:v>1.2811449620614535</c:v>
                </c:pt>
                <c:pt idx="2">
                  <c:v>1.152339479243057</c:v>
                </c:pt>
                <c:pt idx="3">
                  <c:v>1.2661327088562588</c:v>
                </c:pt>
                <c:pt idx="4">
                  <c:v>1.2037507105511691</c:v>
                </c:pt>
                <c:pt idx="5">
                  <c:v>3.542857090682297E-2</c:v>
                </c:pt>
                <c:pt idx="6">
                  <c:v>-0.15581902027814354</c:v>
                </c:pt>
              </c:numCache>
            </c:numRef>
          </c:val>
          <c:extLst>
            <c:ext xmlns:c16="http://schemas.microsoft.com/office/drawing/2014/chart" uri="{C3380CC4-5D6E-409C-BE32-E72D297353CC}">
              <c16:uniqueId val="{00000002-6316-4C80-BFE9-27F56D428706}"/>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CAGR</a:t>
            </a:r>
            <a:endParaRPr lang="en-US"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SelectETFs!$D$12:$D$14</c:f>
              <c:strCache>
                <c:ptCount val="3"/>
                <c:pt idx="0">
                  <c:v>TBT</c:v>
                </c:pt>
                <c:pt idx="1">
                  <c:v>TMV</c:v>
                </c:pt>
                <c:pt idx="2">
                  <c:v>TMF</c:v>
                </c:pt>
              </c:strCache>
            </c:strRef>
          </c:cat>
          <c:val>
            <c:numRef>
              <c:f>SelectETFs!$F$12:$F$14</c:f>
              <c:numCache>
                <c:formatCode>0.0_);[Red]\(0.0\)</c:formatCode>
                <c:ptCount val="3"/>
                <c:pt idx="0">
                  <c:v>-5.2692479786000002</c:v>
                </c:pt>
                <c:pt idx="1">
                  <c:v>-9.8847715065358503</c:v>
                </c:pt>
                <c:pt idx="2">
                  <c:v>-12.319551750548818</c:v>
                </c:pt>
              </c:numCache>
            </c:numRef>
          </c:val>
          <c:extLst>
            <c:ext xmlns:c16="http://schemas.microsoft.com/office/drawing/2014/chart" uri="{C3380CC4-5D6E-409C-BE32-E72D297353CC}">
              <c16:uniqueId val="{00000000-1093-4565-8D55-8857354176DF}"/>
            </c:ext>
          </c:extLst>
        </c:ser>
        <c:ser>
          <c:idx val="1"/>
          <c:order val="1"/>
          <c:tx>
            <c:v>Model-Driven Long Only</c:v>
          </c:tx>
          <c:spPr>
            <a:solidFill>
              <a:schemeClr val="accent2"/>
            </a:solidFill>
            <a:ln>
              <a:noFill/>
            </a:ln>
            <a:effectLst/>
          </c:spPr>
          <c:invertIfNegative val="0"/>
          <c:cat>
            <c:strRef>
              <c:f>SelectETFs!$D$12:$D$14</c:f>
              <c:strCache>
                <c:ptCount val="3"/>
                <c:pt idx="0">
                  <c:v>TBT</c:v>
                </c:pt>
                <c:pt idx="1">
                  <c:v>TMV</c:v>
                </c:pt>
                <c:pt idx="2">
                  <c:v>TMF</c:v>
                </c:pt>
              </c:strCache>
            </c:strRef>
          </c:cat>
          <c:val>
            <c:numRef>
              <c:f>SelectETFs!$G$12:$G$14</c:f>
              <c:numCache>
                <c:formatCode>0.0_);[Red]\(0.0\)</c:formatCode>
                <c:ptCount val="3"/>
                <c:pt idx="0">
                  <c:v>1.7792985596477351</c:v>
                </c:pt>
                <c:pt idx="1">
                  <c:v>-1.1534399317988386</c:v>
                </c:pt>
                <c:pt idx="2">
                  <c:v>-8.8862417569700476</c:v>
                </c:pt>
              </c:numCache>
            </c:numRef>
          </c:val>
          <c:extLst>
            <c:ext xmlns:c16="http://schemas.microsoft.com/office/drawing/2014/chart" uri="{C3380CC4-5D6E-409C-BE32-E72D297353CC}">
              <c16:uniqueId val="{00000001-1093-4565-8D55-8857354176DF}"/>
            </c:ext>
          </c:extLst>
        </c:ser>
        <c:ser>
          <c:idx val="2"/>
          <c:order val="2"/>
          <c:tx>
            <c:v>Model-Driven Long/Short</c:v>
          </c:tx>
          <c:spPr>
            <a:solidFill>
              <a:schemeClr val="accent3"/>
            </a:solidFill>
            <a:ln>
              <a:noFill/>
            </a:ln>
            <a:effectLst/>
          </c:spPr>
          <c:invertIfNegative val="0"/>
          <c:cat>
            <c:strRef>
              <c:f>SelectETFs!$D$12:$D$14</c:f>
              <c:strCache>
                <c:ptCount val="3"/>
                <c:pt idx="0">
                  <c:v>TBT</c:v>
                </c:pt>
                <c:pt idx="1">
                  <c:v>TMV</c:v>
                </c:pt>
                <c:pt idx="2">
                  <c:v>TMF</c:v>
                </c:pt>
              </c:strCache>
            </c:strRef>
          </c:cat>
          <c:val>
            <c:numRef>
              <c:f>SelectETFs!$H$12:$H$14</c:f>
              <c:numCache>
                <c:formatCode>0.0_);[Red]\(0.0\)</c:formatCode>
                <c:ptCount val="3"/>
                <c:pt idx="0">
                  <c:v>4.5814057738137848</c:v>
                </c:pt>
                <c:pt idx="1">
                  <c:v>-1.3568567312391422</c:v>
                </c:pt>
                <c:pt idx="2">
                  <c:v>-16.811672067806693</c:v>
                </c:pt>
              </c:numCache>
            </c:numRef>
          </c:val>
          <c:extLst>
            <c:ext xmlns:c16="http://schemas.microsoft.com/office/drawing/2014/chart" uri="{C3380CC4-5D6E-409C-BE32-E72D297353CC}">
              <c16:uniqueId val="{00000002-1093-4565-8D55-8857354176DF}"/>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Sharpe Ratios</a:t>
            </a:r>
            <a:endParaRPr lang="en-US" sz="1400" b="0" i="1"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SelectETFs!$D$12:$D$14</c:f>
              <c:strCache>
                <c:ptCount val="3"/>
                <c:pt idx="0">
                  <c:v>TBT</c:v>
                </c:pt>
                <c:pt idx="1">
                  <c:v>TMV</c:v>
                </c:pt>
                <c:pt idx="2">
                  <c:v>TMF</c:v>
                </c:pt>
              </c:strCache>
            </c:strRef>
          </c:cat>
          <c:val>
            <c:numRef>
              <c:f>SelectETFs!$I$12:$I$14</c:f>
              <c:numCache>
                <c:formatCode>0.0_);[Red]\(0.0\)</c:formatCode>
                <c:ptCount val="3"/>
                <c:pt idx="0">
                  <c:v>-0.19358001390889054</c:v>
                </c:pt>
                <c:pt idx="1">
                  <c:v>-0.24144532258270276</c:v>
                </c:pt>
                <c:pt idx="2">
                  <c:v>-0.31047257435858916</c:v>
                </c:pt>
              </c:numCache>
            </c:numRef>
          </c:val>
          <c:extLst>
            <c:ext xmlns:c16="http://schemas.microsoft.com/office/drawing/2014/chart" uri="{C3380CC4-5D6E-409C-BE32-E72D297353CC}">
              <c16:uniqueId val="{00000000-CE71-4F66-953F-05616A39ECF9}"/>
            </c:ext>
          </c:extLst>
        </c:ser>
        <c:ser>
          <c:idx val="1"/>
          <c:order val="1"/>
          <c:tx>
            <c:v>Model-Driven Long Only</c:v>
          </c:tx>
          <c:spPr>
            <a:solidFill>
              <a:schemeClr val="accent2"/>
            </a:solidFill>
            <a:ln>
              <a:noFill/>
            </a:ln>
            <a:effectLst/>
          </c:spPr>
          <c:invertIfNegative val="0"/>
          <c:cat>
            <c:strRef>
              <c:f>SelectETFs!$D$12:$D$14</c:f>
              <c:strCache>
                <c:ptCount val="3"/>
                <c:pt idx="0">
                  <c:v>TBT</c:v>
                </c:pt>
                <c:pt idx="1">
                  <c:v>TMV</c:v>
                </c:pt>
                <c:pt idx="2">
                  <c:v>TMF</c:v>
                </c:pt>
              </c:strCache>
            </c:strRef>
          </c:cat>
          <c:val>
            <c:numRef>
              <c:f>SelectETFs!$J$12:$J$14</c:f>
              <c:numCache>
                <c:formatCode>0.0_);[Red]\(0.0\)</c:formatCode>
                <c:ptCount val="3"/>
                <c:pt idx="0">
                  <c:v>6.5584171015397541E-2</c:v>
                </c:pt>
                <c:pt idx="1">
                  <c:v>-2.8208362235236945E-2</c:v>
                </c:pt>
                <c:pt idx="2">
                  <c:v>-0.22428676822236365</c:v>
                </c:pt>
              </c:numCache>
            </c:numRef>
          </c:val>
          <c:extLst>
            <c:ext xmlns:c16="http://schemas.microsoft.com/office/drawing/2014/chart" uri="{C3380CC4-5D6E-409C-BE32-E72D297353CC}">
              <c16:uniqueId val="{00000001-CE71-4F66-953F-05616A39ECF9}"/>
            </c:ext>
          </c:extLst>
        </c:ser>
        <c:ser>
          <c:idx val="2"/>
          <c:order val="2"/>
          <c:tx>
            <c:v>Model-Driven Long/Short</c:v>
          </c:tx>
          <c:spPr>
            <a:solidFill>
              <a:schemeClr val="accent3"/>
            </a:solidFill>
            <a:ln>
              <a:noFill/>
            </a:ln>
            <a:effectLst/>
          </c:spPr>
          <c:invertIfNegative val="0"/>
          <c:cat>
            <c:strRef>
              <c:f>SelectETFs!$D$12:$D$14</c:f>
              <c:strCache>
                <c:ptCount val="3"/>
                <c:pt idx="0">
                  <c:v>TBT</c:v>
                </c:pt>
                <c:pt idx="1">
                  <c:v>TMV</c:v>
                </c:pt>
                <c:pt idx="2">
                  <c:v>TMF</c:v>
                </c:pt>
              </c:strCache>
            </c:strRef>
          </c:cat>
          <c:val>
            <c:numRef>
              <c:f>SelectETFs!$K$12:$K$14</c:f>
              <c:numCache>
                <c:formatCode>0.0_);[Red]\(0.0\)</c:formatCode>
                <c:ptCount val="3"/>
                <c:pt idx="0">
                  <c:v>0.24512604461282955</c:v>
                </c:pt>
                <c:pt idx="1">
                  <c:v>-4.6324914006116158E-2</c:v>
                </c:pt>
                <c:pt idx="2">
                  <c:v>-0.79002218363753252</c:v>
                </c:pt>
              </c:numCache>
            </c:numRef>
          </c:val>
          <c:extLst>
            <c:ext xmlns:c16="http://schemas.microsoft.com/office/drawing/2014/chart" uri="{C3380CC4-5D6E-409C-BE32-E72D297353CC}">
              <c16:uniqueId val="{00000002-CE71-4F66-953F-05616A39ECF9}"/>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CAGR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SelectETFs!$D$15:$D$19</c:f>
              <c:strCache>
                <c:ptCount val="5"/>
                <c:pt idx="0">
                  <c:v>SPY</c:v>
                </c:pt>
                <c:pt idx="1">
                  <c:v>SPYG</c:v>
                </c:pt>
                <c:pt idx="2">
                  <c:v>SPLG</c:v>
                </c:pt>
                <c:pt idx="3">
                  <c:v>KBE</c:v>
                </c:pt>
                <c:pt idx="4">
                  <c:v>XRT</c:v>
                </c:pt>
              </c:strCache>
            </c:strRef>
          </c:cat>
          <c:val>
            <c:numRef>
              <c:f>SelectETFs!$F$15:$F$19</c:f>
              <c:numCache>
                <c:formatCode>0.0_);[Red]\(0.0\)</c:formatCode>
                <c:ptCount val="5"/>
                <c:pt idx="0">
                  <c:v>11.94432217470327</c:v>
                </c:pt>
                <c:pt idx="1">
                  <c:v>12.951181145381675</c:v>
                </c:pt>
                <c:pt idx="2">
                  <c:v>12.258885556562959</c:v>
                </c:pt>
                <c:pt idx="3">
                  <c:v>3.5871811642882445</c:v>
                </c:pt>
                <c:pt idx="4">
                  <c:v>7.5789775495616052</c:v>
                </c:pt>
              </c:numCache>
            </c:numRef>
          </c:val>
          <c:extLst>
            <c:ext xmlns:c16="http://schemas.microsoft.com/office/drawing/2014/chart" uri="{C3380CC4-5D6E-409C-BE32-E72D297353CC}">
              <c16:uniqueId val="{00000000-8B97-43D5-8832-BA85F62736BE}"/>
            </c:ext>
          </c:extLst>
        </c:ser>
        <c:ser>
          <c:idx val="1"/>
          <c:order val="1"/>
          <c:tx>
            <c:v>Model-Driven Long Only</c:v>
          </c:tx>
          <c:spPr>
            <a:solidFill>
              <a:schemeClr val="accent2"/>
            </a:solidFill>
            <a:ln>
              <a:noFill/>
            </a:ln>
            <a:effectLst/>
          </c:spPr>
          <c:invertIfNegative val="0"/>
          <c:cat>
            <c:strRef>
              <c:f>SelectETFs!$D$15:$D$19</c:f>
              <c:strCache>
                <c:ptCount val="5"/>
                <c:pt idx="0">
                  <c:v>SPY</c:v>
                </c:pt>
                <c:pt idx="1">
                  <c:v>SPYG</c:v>
                </c:pt>
                <c:pt idx="2">
                  <c:v>SPLG</c:v>
                </c:pt>
                <c:pt idx="3">
                  <c:v>KBE</c:v>
                </c:pt>
                <c:pt idx="4">
                  <c:v>XRT</c:v>
                </c:pt>
              </c:strCache>
            </c:strRef>
          </c:cat>
          <c:val>
            <c:numRef>
              <c:f>SelectETFs!$G$15:$G$19</c:f>
              <c:numCache>
                <c:formatCode>0.0_);[Red]\(0.0\)</c:formatCode>
                <c:ptCount val="5"/>
                <c:pt idx="0">
                  <c:v>7.2393985718868015</c:v>
                </c:pt>
                <c:pt idx="1">
                  <c:v>13.173448655121799</c:v>
                </c:pt>
                <c:pt idx="2">
                  <c:v>11.338596322059358</c:v>
                </c:pt>
                <c:pt idx="3">
                  <c:v>1.0505877602896341</c:v>
                </c:pt>
                <c:pt idx="4">
                  <c:v>3.1349747754632062</c:v>
                </c:pt>
              </c:numCache>
            </c:numRef>
          </c:val>
          <c:extLst>
            <c:ext xmlns:c16="http://schemas.microsoft.com/office/drawing/2014/chart" uri="{C3380CC4-5D6E-409C-BE32-E72D297353CC}">
              <c16:uniqueId val="{00000001-8B97-43D5-8832-BA85F62736BE}"/>
            </c:ext>
          </c:extLst>
        </c:ser>
        <c:ser>
          <c:idx val="2"/>
          <c:order val="2"/>
          <c:tx>
            <c:v>Model-Driven Long/Short</c:v>
          </c:tx>
          <c:spPr>
            <a:solidFill>
              <a:schemeClr val="accent3"/>
            </a:solidFill>
            <a:ln>
              <a:noFill/>
            </a:ln>
            <a:effectLst/>
          </c:spPr>
          <c:invertIfNegative val="0"/>
          <c:cat>
            <c:strRef>
              <c:f>SelectETFs!$D$15:$D$19</c:f>
              <c:strCache>
                <c:ptCount val="5"/>
                <c:pt idx="0">
                  <c:v>SPY</c:v>
                </c:pt>
                <c:pt idx="1">
                  <c:v>SPYG</c:v>
                </c:pt>
                <c:pt idx="2">
                  <c:v>SPLG</c:v>
                </c:pt>
                <c:pt idx="3">
                  <c:v>KBE</c:v>
                </c:pt>
                <c:pt idx="4">
                  <c:v>XRT</c:v>
                </c:pt>
              </c:strCache>
            </c:strRef>
          </c:cat>
          <c:val>
            <c:numRef>
              <c:f>SelectETFs!$H$15:$H$19</c:f>
              <c:numCache>
                <c:formatCode>0.0_);[Red]\(0.0\)</c:formatCode>
                <c:ptCount val="5"/>
                <c:pt idx="0">
                  <c:v>0.39807164651197713</c:v>
                </c:pt>
                <c:pt idx="1">
                  <c:v>10.884615471189552</c:v>
                </c:pt>
                <c:pt idx="2">
                  <c:v>8.0168782111050838</c:v>
                </c:pt>
                <c:pt idx="3">
                  <c:v>-6.6183455797485857</c:v>
                </c:pt>
                <c:pt idx="4">
                  <c:v>-9.0116021606929877</c:v>
                </c:pt>
              </c:numCache>
            </c:numRef>
          </c:val>
          <c:extLst>
            <c:ext xmlns:c16="http://schemas.microsoft.com/office/drawing/2014/chart" uri="{C3380CC4-5D6E-409C-BE32-E72D297353CC}">
              <c16:uniqueId val="{00000002-8B97-43D5-8832-BA85F62736BE}"/>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Sharpe Ratios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Baseline</c:v>
          </c:tx>
          <c:spPr>
            <a:solidFill>
              <a:schemeClr val="accent1"/>
            </a:solidFill>
            <a:ln>
              <a:noFill/>
            </a:ln>
            <a:effectLst/>
          </c:spPr>
          <c:invertIfNegative val="0"/>
          <c:cat>
            <c:strRef>
              <c:f>SelectETFs!$D$15:$D$19</c:f>
              <c:strCache>
                <c:ptCount val="5"/>
                <c:pt idx="0">
                  <c:v>SPY</c:v>
                </c:pt>
                <c:pt idx="1">
                  <c:v>SPYG</c:v>
                </c:pt>
                <c:pt idx="2">
                  <c:v>SPLG</c:v>
                </c:pt>
                <c:pt idx="3">
                  <c:v>KBE</c:v>
                </c:pt>
                <c:pt idx="4">
                  <c:v>XRT</c:v>
                </c:pt>
              </c:strCache>
            </c:strRef>
          </c:cat>
          <c:val>
            <c:numRef>
              <c:f>SelectETFs!$I$15:$I$19</c:f>
              <c:numCache>
                <c:formatCode>0.0_);[Red]\(0.0\)</c:formatCode>
                <c:ptCount val="5"/>
                <c:pt idx="0">
                  <c:v>0.71309386117631468</c:v>
                </c:pt>
                <c:pt idx="1">
                  <c:v>0.70578643844041822</c:v>
                </c:pt>
                <c:pt idx="2">
                  <c:v>0.72709878745925027</c:v>
                </c:pt>
                <c:pt idx="3">
                  <c:v>0.12774861696183207</c:v>
                </c:pt>
                <c:pt idx="4">
                  <c:v>0.25561475715216209</c:v>
                </c:pt>
              </c:numCache>
            </c:numRef>
          </c:val>
          <c:extLst>
            <c:ext xmlns:c16="http://schemas.microsoft.com/office/drawing/2014/chart" uri="{C3380CC4-5D6E-409C-BE32-E72D297353CC}">
              <c16:uniqueId val="{00000000-5614-4D69-908B-EEB37DE5D6A6}"/>
            </c:ext>
          </c:extLst>
        </c:ser>
        <c:ser>
          <c:idx val="1"/>
          <c:order val="1"/>
          <c:tx>
            <c:v>Model-Driven Long Only</c:v>
          </c:tx>
          <c:spPr>
            <a:solidFill>
              <a:schemeClr val="accent2"/>
            </a:solidFill>
            <a:ln>
              <a:noFill/>
            </a:ln>
            <a:effectLst/>
          </c:spPr>
          <c:invertIfNegative val="0"/>
          <c:cat>
            <c:strRef>
              <c:f>SelectETFs!$D$15:$D$19</c:f>
              <c:strCache>
                <c:ptCount val="5"/>
                <c:pt idx="0">
                  <c:v>SPY</c:v>
                </c:pt>
                <c:pt idx="1">
                  <c:v>SPYG</c:v>
                </c:pt>
                <c:pt idx="2">
                  <c:v>SPLG</c:v>
                </c:pt>
                <c:pt idx="3">
                  <c:v>KBE</c:v>
                </c:pt>
                <c:pt idx="4">
                  <c:v>XRT</c:v>
                </c:pt>
              </c:strCache>
            </c:strRef>
          </c:cat>
          <c:val>
            <c:numRef>
              <c:f>SelectETFs!$J$15:$J$19</c:f>
              <c:numCache>
                <c:formatCode>0.0_);[Red]\(0.0\)</c:formatCode>
                <c:ptCount val="5"/>
                <c:pt idx="0">
                  <c:v>0.4243492715056742</c:v>
                </c:pt>
                <c:pt idx="1">
                  <c:v>0.71478288958881164</c:v>
                </c:pt>
                <c:pt idx="2">
                  <c:v>0.66580131074922821</c:v>
                </c:pt>
                <c:pt idx="3">
                  <c:v>3.7321057203894642E-2</c:v>
                </c:pt>
                <c:pt idx="4">
                  <c:v>0.10523580985106433</c:v>
                </c:pt>
              </c:numCache>
            </c:numRef>
          </c:val>
          <c:extLst>
            <c:ext xmlns:c16="http://schemas.microsoft.com/office/drawing/2014/chart" uri="{C3380CC4-5D6E-409C-BE32-E72D297353CC}">
              <c16:uniqueId val="{00000001-5614-4D69-908B-EEB37DE5D6A6}"/>
            </c:ext>
          </c:extLst>
        </c:ser>
        <c:ser>
          <c:idx val="2"/>
          <c:order val="2"/>
          <c:tx>
            <c:v>Model-Driven Long/Short</c:v>
          </c:tx>
          <c:spPr>
            <a:solidFill>
              <a:schemeClr val="accent3"/>
            </a:solidFill>
            <a:ln>
              <a:noFill/>
            </a:ln>
            <a:effectLst/>
          </c:spPr>
          <c:invertIfNegative val="0"/>
          <c:cat>
            <c:strRef>
              <c:f>SelectETFs!$D$15:$D$19</c:f>
              <c:strCache>
                <c:ptCount val="5"/>
                <c:pt idx="0">
                  <c:v>SPY</c:v>
                </c:pt>
                <c:pt idx="1">
                  <c:v>SPYG</c:v>
                </c:pt>
                <c:pt idx="2">
                  <c:v>SPLG</c:v>
                </c:pt>
                <c:pt idx="3">
                  <c:v>KBE</c:v>
                </c:pt>
                <c:pt idx="4">
                  <c:v>XRT</c:v>
                </c:pt>
              </c:strCache>
            </c:strRef>
          </c:cat>
          <c:val>
            <c:numRef>
              <c:f>SelectETFs!$K$15:$K$19</c:f>
              <c:numCache>
                <c:formatCode>0.0_);[Red]\(0.0\)</c:formatCode>
                <c:ptCount val="5"/>
                <c:pt idx="0">
                  <c:v>4.2941925190073046E-2</c:v>
                </c:pt>
                <c:pt idx="1">
                  <c:v>0.91390558112422771</c:v>
                </c:pt>
                <c:pt idx="2">
                  <c:v>0.82733521270434307</c:v>
                </c:pt>
                <c:pt idx="3">
                  <c:v>-0.36626151520468098</c:v>
                </c:pt>
                <c:pt idx="4">
                  <c:v>-0.6730098701040319</c:v>
                </c:pt>
              </c:numCache>
            </c:numRef>
          </c:val>
          <c:extLst>
            <c:ext xmlns:c16="http://schemas.microsoft.com/office/drawing/2014/chart" uri="{C3380CC4-5D6E-409C-BE32-E72D297353CC}">
              <c16:uniqueId val="{00000002-5614-4D69-908B-EEB37DE5D6A6}"/>
            </c:ext>
          </c:extLst>
        </c:ser>
        <c:dLbls>
          <c:showLegendKey val="0"/>
          <c:showVal val="0"/>
          <c:showCatName val="0"/>
          <c:showSerName val="0"/>
          <c:showPercent val="0"/>
          <c:showBubbleSize val="0"/>
        </c:dLbls>
        <c:gapWidth val="219"/>
        <c:overlap val="-27"/>
        <c:axId val="915073904"/>
        <c:axId val="1000868720"/>
      </c:barChart>
      <c:catAx>
        <c:axId val="9150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0868720"/>
        <c:crosses val="autoZero"/>
        <c:auto val="1"/>
        <c:lblAlgn val="ctr"/>
        <c:lblOffset val="100"/>
        <c:noMultiLvlLbl val="0"/>
      </c:catAx>
      <c:valAx>
        <c:axId val="100086872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0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urnleafAnalytic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Cota</dc:creator>
  <cp:keywords/>
  <dc:description/>
  <cp:lastModifiedBy>Luis Cota</cp:lastModifiedBy>
  <cp:revision>2</cp:revision>
  <dcterms:created xsi:type="dcterms:W3CDTF">2024-07-05T12:21:00Z</dcterms:created>
  <dcterms:modified xsi:type="dcterms:W3CDTF">2024-07-05T12:21:00Z</dcterms:modified>
</cp:coreProperties>
</file>