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23F3A"/>
          <w:sz w:val="44"/>
          <w:szCs w:val="44"/>
        </w:rPr>
        <w:t xml:space="preserve">ACP Health Solutions</w:t>
      </w:r>
    </w:p>
    <w:p>
      <w:pPr>
        <w:spacing w:after="40"/>
      </w:pPr>
      <w:r>
        <w:rPr>
          <w:color w:val="5B6A66"/>
          <w:sz w:val="26"/>
          <w:szCs w:val="26"/>
        </w:rPr>
        <w:t xml:space="preserve">Product Design Document — v1 Triage Framework &amp; Roadmap</w:t>
      </w:r>
    </w:p>
    <w:p>
      <w:pPr>
        <w:spacing w:after="300"/>
      </w:pPr>
      <w:r>
        <w:rPr>
          <w:i/>
          <w:iCs/>
          <w:color w:val="E86F51"/>
          <w:sz w:val="20"/>
          <w:szCs w:val="20"/>
        </w:rPr>
        <w:t xml:space="preserve">Draft for clinical &amp; legal review — not for public deployment as-is</w:t>
      </w:r>
    </w:p>
    <w:p>
      <w:pPr>
        <w:pStyle w:val="Heading1"/>
        <w:spacing w:after="160" w:before="320"/>
      </w:pPr>
      <w:r>
        <w:t xml:space="preserve">1. Purpose of this document</w:t>
      </w:r>
    </w:p>
    <w:p>
      <w:pPr>
        <w:spacing w:after="140"/>
        <w:jc w:val="left"/>
      </w:pPr>
      <w:r>
        <w:rPr>
          <w:color w:val="1E2A28"/>
          <w:sz w:val="22"/>
          <w:szCs w:val="22"/>
        </w:rPr>
        <w:t xml:space="preserve">This document captures the working design of ACP Health's symptom-discussion and care-routing product: what it does, the safety boundaries it holds, a draft v1 triage rule set for a licensed clinician to review, and the roadmap of what's needed to take this from prototype to a real, deployable product.</w:t>
      </w:r>
    </w:p>
    <w:p>
      <w:pPr>
        <w:pStyle w:val="Heading1"/>
        <w:spacing w:after="160" w:before="320"/>
      </w:pPr>
      <w:r>
        <w:t xml:space="preserve">2. What the product does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Lets a user describe symptoms conversationally and asks structured follow-up questions.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Sorts the conversation into one of three urgency tiers using a rules-based triage layer (not free-form AI judgment).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Surfaces general, non-personalized self-care information for the mildest tier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a doctor-gated medicine reference lookup — explains a drug's general use only after the user confirms a doctor has prescribed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Finds and displays nearby, well-reviewed clinics and doctors, with live data (ratings, hours, contact info).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Generates a visit-prep summary document the user can bring to an appointment.</w:t>
      </w:r>
    </w:p>
    <w:p>
      <w:pPr>
        <w:pStyle w:val="Heading1"/>
        <w:spacing w:after="160" w:before="320"/>
      </w:pPr>
      <w:r>
        <w:t xml:space="preserve">3. Non-negotiable safety boundaries</w:t>
      </w:r>
    </w:p>
    <w:p>
      <w:pPr>
        <w:spacing w:after="140"/>
        <w:jc w:val="left"/>
      </w:pPr>
      <w:r>
        <w:rPr>
          <w:color w:val="1E2A28"/>
          <w:sz w:val="22"/>
          <w:szCs w:val="22"/>
        </w:rPr>
        <w:t xml:space="preserve">These are the lines the product must not cross, regardless of feature pressure later: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 never names a specific disease/diagnosis. It communicates urgency tiers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 never independently recommends a prescription medication. Medicine names only enter the conversation after the user names a doctor-prescribed drug.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Emergency-pattern symptoms (e.g. chest pain with sweating, stroke signs, breathing difficulty) hard-route to "seek emergency care now" regardless of other conversation context — no AI discretion overrides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triage logic is reviewed and signed off by a licensed clinical advisor before it ships to real users.</w:t>
      </w:r>
    </w:p>
    <w:p>
      <w:pPr>
        <w:pStyle w:val="Heading1"/>
        <w:spacing w:after="160" w:before="320"/>
      </w:pPr>
      <w:r>
        <w:t xml:space="preserve">4. Draft v1 triage tiers</w:t>
      </w:r>
    </w:p>
    <w:p>
      <w:pPr>
        <w:spacing w:after="140"/>
        <w:jc w:val="left"/>
      </w:pPr>
      <w:r>
        <w:rPr>
          <w:color w:val="1E2A28"/>
          <w:sz w:val="22"/>
          <w:szCs w:val="22"/>
        </w:rPr>
        <w:t xml:space="preserve">This table is a starting draft assembled from publicly published emergency-recognition guidance (e.g. WHO and national health-service red-flag symptom lists). It is a starting point for clinical review, not a finished clinical instrument, and must not be used with real users until a licensed clinician has validated and signed off on it.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shd w:fill="1E2A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shd w:fill="1E2A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criteria</w:t>
            </w:r>
          </w:p>
        </w:tc>
        <w:tc>
          <w:tcPr>
            <w:tcW w:type="dxa" w:w="3200"/>
            <w:shd w:fill="1E2A2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200"/>
            <w:shd w:fill="C64B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Emergency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Chest pain + sweating/breathlessness, sudden severe headache, stroke signs (face droop, slurred speech, limb weakness), severe difficulty breathing, uncontrolled bleeding, loss of consciousness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Route to call emergency services immediately. No self-care or medicine info shown.</w:t>
            </w:r>
          </w:p>
        </w:tc>
      </w:tr>
      <w:tr>
        <w:tc>
          <w:tcPr>
            <w:tcW w:type="dxa" w:w="2200"/>
            <w:shd w:fill="C98A2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Urgent (same/next day)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High fever lasting 3+ days, persistent vomiting, moderate-severe pain that is worsening, symptoms in infants/elderly/pregnant users, symptoms lasting beyond a week without improvement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Direct to urgent care/GP within 24 hours. Show clinic finder prominently. No new medicine suggested.</w:t>
            </w:r>
          </w:p>
        </w:tc>
      </w:tr>
      <w:tr>
        <w:tc>
          <w:tcPr>
            <w:tcW w:type="dxa" w:w="2200"/>
            <w:shd w:fill="3F8F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Self-care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Mild cold symptoms, low-grade fever, mild headache, minor aches, symptoms under 48 hours with no red flags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Show general self-care reference (rest, fluids, common OTC categories) with a note to escalate if things change.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Team needed to take this from prototype to product</w:t>
      </w:r>
    </w:p>
    <w:p>
      <w:pPr>
        <w:pStyle w:val="Heading2"/>
        <w:spacing w:after="120" w:before="240"/>
      </w:pPr>
      <w:r>
        <w:t xml:space="preserve">5.1 Immediate (pre-launch, non-negotiable)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Licensed physician or clinical advisor — owns and signs off on all triage logic; ideally reviews outputs on an ongoing basis, not just at launch.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Health-tech regulatory counsel — determines what registration/certification applies in each launch market (e.g. India's CDSCO/DCGI software-as-medical-device rules, evolving FDA SaMD guidance in the US, MDR in the EU) and sets the real launch timeline.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privacy specialist — health data is specially regulated everywhere the product operates (India's DPDP Act, HIPAA-equivalents elsewhere); consent and storage architecture needs to be right from day one.</w:t>
      </w:r>
    </w:p>
    <w:p>
      <w:pPr>
        <w:pStyle w:val="Heading2"/>
        <w:spacing w:after="120" w:before="240"/>
      </w:pPr>
      <w:r>
        <w:t xml:space="preserve">5.2 Build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engineer — owns the server layer that proxies clinic-search and any third-party APIs (API keys must never live in client-side code).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Frontend/product engineer — turns the interactive prototype into a real, tested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Conversation/prompt designer — tunes how the AI turns free text into the structured inputs the triage rules need.</w:t>
      </w:r>
    </w:p>
    <w:p>
      <w:pPr>
        <w:pStyle w:val="Heading2"/>
        <w:spacing w:after="120" w:before="240"/>
      </w:pPr>
      <w:r>
        <w:t xml:space="preserve">5.3 Growth-stage (post-validation)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Licensed triage protocol vendor relationship (e.g. Schmitt-Thompson-style protocol licensing) to replace/augment the v1 hand-built rule set with a legally vetted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Clinical outcomes reviewer — periodically audits real conversations against real outcomes to catch triage drift.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Partnerships lead — relationships with the clinics/telehealth providers the tool routes users toward.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support with clinical escalation path — for edge cases and complaints.</w:t>
      </w:r>
    </w:p>
    <w:p>
      <w:pPr>
        <w:pStyle w:val="Heading1"/>
        <w:spacing w:after="160" w:before="320"/>
      </w:pPr>
      <w:r>
        <w:t xml:space="preserve">6. Suggested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 — Prototype (current): interactive demo, mock/live clinic data, UX validated with test users.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 — Clinical validation: licensed clinician reviews and revises the triage rule set; legal counsel confirms regulatory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 — Real backend: secure API layer, real user accounts, real clinic data pipeline, PDF visit-summary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4 — Limited pilot: small user group, clinical outcomes monitored closely, feedback loop into the rule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5 — Broader launch: once regulatory sign-off and pilot data support it.</w:t>
      </w:r>
    </w:p>
    <w:p>
      <w:pPr>
        <w:pStyle w:val="Heading1"/>
        <w:spacing w:after="160" w:before="320"/>
      </w:pPr>
      <w:r>
        <w:t xml:space="preserve">7. Open decisions for you to make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launch geography (affects which regulatory path applies first).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to license a validated triage protocol from day one vs. starting with the reviewed v1 draft.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clinic-finder is monetized (referral partnerships) or kept neutral — affects trust positioning.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aggressively to expand the medicine-reference feature (e.g. adding interaction warnings) once the doctor-gated model is validated.</w:t>
      </w:r>
    </w:p>
    <w:p>
      <w:pPr>
        <w:spacing w:before="300"/>
      </w:pPr>
    </w:p>
    <w:p>
      <w:pPr>
        <w:pBdr>
          <w:top w:val="single" w:color="E4DFD5" w:sz="6"/>
        </w:pBdr>
        <w:spacing w:before="200"/>
      </w:pPr>
    </w:p>
    <w:p>
      <w:pPr>
        <w:spacing w:after="140"/>
        <w:jc w:val="left"/>
      </w:pPr>
      <w:r>
        <w:rPr>
          <w:i/>
          <w:iCs/>
          <w:color w:val="5B6A66"/>
          <w:sz w:val="18"/>
          <w:szCs w:val="18"/>
        </w:rPr>
        <w:t xml:space="preserve">This document is a working draft prepared to organize planning discussions. It is not a clinical, legal, or regulatory instrument and must not be treated as clearance to deploy any triage or medicine-related feature to real users.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2026-07-01T20:46:32.040Z</dcterms:created>
  <dcterms:modified xsi:type="dcterms:W3CDTF">2026-07-01T20:46:32.041Z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