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8C4EC2">
          <w:pPr>
            <w:pStyle w:val="TDC1"/>
            <w:tabs>
              <w:tab w:val="left" w:pos="440"/>
            </w:tabs>
            <w:rPr>
              <w:b w:val="0"/>
              <w:noProof/>
            </w:rPr>
          </w:pPr>
          <w:r w:rsidRPr="008C4EC2">
            <w:rPr>
              <w:lang w:val="es-ES"/>
            </w:rPr>
            <w:fldChar w:fldCharType="begin"/>
          </w:r>
          <w:r w:rsidR="00656B7E">
            <w:rPr>
              <w:lang w:val="es-ES"/>
            </w:rPr>
            <w:instrText xml:space="preserve"> TOC \o "1-3" \h \z \u </w:instrText>
          </w:r>
          <w:r w:rsidRPr="008C4EC2">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C4EC2">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C4EC2">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C4EC2">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C4EC2">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C4EC2">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C4EC2">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C4EC2">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C4EC2">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C4EC2">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C4EC2">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C4EC2">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C4EC2">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C4EC2">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C4EC2">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8C4EC2">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8C4EC2">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8C4EC2">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8C4EC2">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8C4EC2">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8C4EC2">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8C4EC2">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8C4EC2">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C4EC2">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C4EC2">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C4EC2">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C4EC2">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8C4EC2">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8C4EC2">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8C4EC2">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8C4EC2">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8C4EC2">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C4EC2">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C4EC2">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C4EC2">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8C4EC2">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8C4EC2">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8C4EC2">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8C4EC2">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051C10"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Default="00051C10" w:rsidP="00660F4C">
      <w:pPr>
        <w:rPr>
          <w:color w:val="FF0000"/>
          <w:lang w:val="es-ES"/>
        </w:rPr>
      </w:pPr>
      <w:r w:rsidRPr="00051C10">
        <w:rPr>
          <w:color w:val="FF0000"/>
          <w:lang w:val="es-ES"/>
        </w:rPr>
        <w:t xml:space="preserve">En este escenario un organismo </w:t>
      </w:r>
      <w:r>
        <w:rPr>
          <w:color w:val="FF0000"/>
          <w:lang w:val="es-ES"/>
        </w:rPr>
        <w:t xml:space="preserve">brinda un servicio específico para que la información pueda ser consultada por otro organismo.  En este caso la información solo está disponible para usuarios especiales pertenecientes del organismo cliente y no para el público en general. </w:t>
      </w:r>
    </w:p>
    <w:p w:rsidR="00051C10" w:rsidRPr="00051C10" w:rsidRDefault="00E96DEE" w:rsidP="00660F4C">
      <w:pPr>
        <w:rPr>
          <w:color w:val="FF0000"/>
          <w:lang w:val="es-ES"/>
        </w:rPr>
      </w:pPr>
      <w:r>
        <w:rPr>
          <w:color w:val="FF0000"/>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Default="002A5326" w:rsidP="00660F4C">
      <w:pPr>
        <w:rPr>
          <w:color w:val="FF0000"/>
          <w:lang w:val="es-ES"/>
        </w:rPr>
      </w:pPr>
      <w:r w:rsidRPr="002A5326">
        <w:rPr>
          <w:color w:val="FF0000"/>
          <w:lang w:val="es-ES"/>
        </w:rPr>
        <w:t xml:space="preserve">Este escenario </w:t>
      </w:r>
      <w:r w:rsidR="00C24442">
        <w:rPr>
          <w:color w:val="FF0000"/>
          <w:lang w:val="es-ES"/>
        </w:rPr>
        <w:t>contempla el caso en que  un organismo modifica o genera la información geográfica que es mantenida por otro organismo.</w:t>
      </w:r>
    </w:p>
    <w:p w:rsidR="005417B8" w:rsidRDefault="005417B8" w:rsidP="00660F4C">
      <w:pPr>
        <w:rPr>
          <w:color w:val="FF0000"/>
          <w:lang w:val="es-ES"/>
        </w:rPr>
      </w:pPr>
    </w:p>
    <w:p w:rsidR="005417B8" w:rsidRPr="002A5326" w:rsidRDefault="005417B8" w:rsidP="00660F4C">
      <w:pPr>
        <w:rPr>
          <w:color w:val="FF0000"/>
          <w:lang w:val="es-ES"/>
        </w:rPr>
      </w:pPr>
      <w:r>
        <w:rPr>
          <w:color w:val="FF0000"/>
          <w:lang w:val="es-ES"/>
        </w:rPr>
        <w:t>Este escenario requiere un fuerte control de seguridad ya que se debe permitir el acceso solo a funcionarios específicos del organismo colaborador.</w:t>
      </w:r>
    </w:p>
    <w:p w:rsidR="00660F4C" w:rsidRPr="00660F4C" w:rsidRDefault="00660F4C" w:rsidP="00660F4C">
      <w:pPr>
        <w:pStyle w:val="Ttulo3"/>
        <w:rPr>
          <w:lang w:val="es-ES"/>
        </w:rPr>
      </w:pPr>
      <w:bookmarkStart w:id="31" w:name="_Toc411525130"/>
      <w:r>
        <w:rPr>
          <w:lang w:val="es-ES"/>
        </w:rPr>
        <w:t>Instituciones colaborando en trámites</w:t>
      </w:r>
      <w:bookmarkEnd w:id="31"/>
    </w:p>
    <w:p w:rsidR="001F714D" w:rsidRDefault="00C24442" w:rsidP="00660F4C">
      <w:pPr>
        <w:rPr>
          <w:color w:val="FF0000"/>
          <w:lang w:val="es-ES"/>
        </w:rPr>
      </w:pPr>
      <w:r>
        <w:rPr>
          <w:color w:val="FF0000"/>
          <w:lang w:val="es-ES"/>
        </w:rPr>
        <w:t xml:space="preserve">En este escenario dos o </w:t>
      </w:r>
      <w:r w:rsidR="005417B8">
        <w:rPr>
          <w:color w:val="FF0000"/>
          <w:lang w:val="es-ES"/>
        </w:rPr>
        <w:t>más</w:t>
      </w:r>
      <w:r>
        <w:rPr>
          <w:color w:val="FF0000"/>
          <w:lang w:val="es-ES"/>
        </w:rPr>
        <w:t xml:space="preserve"> organismos colaboran para la generación de trámites públicos.</w:t>
      </w:r>
      <w:r w:rsidR="002030BC">
        <w:rPr>
          <w:color w:val="FF0000"/>
          <w:lang w:val="es-ES"/>
        </w:rPr>
        <w:t xml:space="preserve"> Los organismos participantes deben compartir datos para poder brindar el servicio a los usuarios.  Este proceso le evita a un usuario tener que presentarse en los distintos organismos  para recoger la información que necesita para hacer el trámite.</w:t>
      </w:r>
    </w:p>
    <w:p w:rsidR="005417B8" w:rsidRPr="005417B8" w:rsidRDefault="005417B8" w:rsidP="00660F4C">
      <w:pPr>
        <w:rPr>
          <w:color w:val="FF0000"/>
          <w:lang w:val="es-ES"/>
        </w:rPr>
      </w:pPr>
      <w:r>
        <w:rPr>
          <w:color w:val="FF0000"/>
          <w:lang w:val="es-ES"/>
        </w:rPr>
        <w:t xml:space="preserve">Entre los problemas a enfrentar en este escenario está generar una buena coordinación </w:t>
      </w:r>
      <w:r w:rsidR="001F714D">
        <w:rPr>
          <w:color w:val="FF0000"/>
          <w:lang w:val="es-ES"/>
        </w:rPr>
        <w:t>institucional.</w:t>
      </w:r>
      <w:r>
        <w:rPr>
          <w:color w:val="FF0000"/>
          <w:lang w:val="es-ES"/>
        </w:rPr>
        <w:t xml:space="preserve">  A su vez el proceso se hace </w:t>
      </w:r>
      <w:r w:rsidR="001F714D">
        <w:rPr>
          <w:color w:val="FF0000"/>
          <w:lang w:val="es-ES"/>
        </w:rPr>
        <w:t>más</w:t>
      </w:r>
      <w:r>
        <w:rPr>
          <w:color w:val="FF0000"/>
          <w:lang w:val="es-ES"/>
        </w:rPr>
        <w:t xml:space="preserve"> complejo cuando en un trámite participan varios organismos.</w:t>
      </w: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3455F3" w:rsidRDefault="00F12965" w:rsidP="00660F4C">
      <w:pPr>
        <w:rPr>
          <w:color w:val="FF0000"/>
          <w:lang w:val="es-ES"/>
        </w:rPr>
      </w:pPr>
      <w:r w:rsidRPr="00F12965">
        <w:rPr>
          <w:color w:val="FF0000"/>
          <w:lang w:val="es-ES"/>
        </w:rPr>
        <w:t>En este escenario</w:t>
      </w:r>
      <w:r>
        <w:rPr>
          <w:color w:val="FF0000"/>
          <w:lang w:val="es-ES"/>
        </w:rPr>
        <w:t xml:space="preserve"> un usuario público puede modificar la información geográfica de un organismo.</w:t>
      </w:r>
    </w:p>
    <w:p w:rsidR="003455F3" w:rsidRDefault="003455F3" w:rsidP="00660F4C">
      <w:pPr>
        <w:rPr>
          <w:color w:val="FF0000"/>
          <w:lang w:val="es-ES"/>
        </w:rPr>
      </w:pPr>
    </w:p>
    <w:p w:rsidR="003455F3" w:rsidRDefault="003455F3" w:rsidP="00660F4C">
      <w:pPr>
        <w:rPr>
          <w:color w:val="FF0000"/>
          <w:lang w:val="es-ES"/>
        </w:rPr>
      </w:pPr>
      <w:r>
        <w:rPr>
          <w:color w:val="FF0000"/>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Pr="00F12965" w:rsidRDefault="00F12965" w:rsidP="00660F4C">
      <w:pPr>
        <w:rPr>
          <w:color w:val="FF0000"/>
          <w:lang w:val="es-ES"/>
        </w:rPr>
      </w:pPr>
      <w:r w:rsidRPr="00F12965">
        <w:rPr>
          <w:color w:val="FF0000"/>
          <w:lang w:val="es-ES"/>
        </w:rPr>
        <w:t xml:space="preserve"> </w:t>
      </w: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lastRenderedPageBreak/>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 xml:space="preserve">Hay varias formas de solucionar este problema, una de ellas es modificar la PGE, lo cual fue descartado por las premisas del proyecto. Las otras opciones son diseñar una arquitectura acorde, esto último es explicado a continuación con una breve descripción de los pasos dados </w:t>
      </w:r>
      <w:r>
        <w:lastRenderedPageBreak/>
        <w:t>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 xml:space="preserve">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w:t>
      </w:r>
      <w:r>
        <w:lastRenderedPageBreak/>
        <w:t>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2A5326">
        <w:tc>
          <w:tcPr>
            <w:tcW w:w="4322" w:type="dxa"/>
          </w:tcPr>
          <w:p w:rsidR="00E06932" w:rsidRPr="00BD4A36" w:rsidRDefault="00E06932" w:rsidP="002A5326">
            <w:pPr>
              <w:jc w:val="center"/>
              <w:rPr>
                <w:b/>
              </w:rPr>
            </w:pPr>
            <w:r w:rsidRPr="00BD4A36">
              <w:rPr>
                <w:b/>
              </w:rPr>
              <w:t>Nombre de la propiedad</w:t>
            </w:r>
          </w:p>
        </w:tc>
        <w:tc>
          <w:tcPr>
            <w:tcW w:w="4322" w:type="dxa"/>
          </w:tcPr>
          <w:p w:rsidR="00E06932" w:rsidRPr="00BD4A36" w:rsidRDefault="00E06932" w:rsidP="002A5326">
            <w:pPr>
              <w:jc w:val="center"/>
              <w:rPr>
                <w:b/>
              </w:rPr>
            </w:pPr>
            <w:r w:rsidRPr="00BD4A36">
              <w:rPr>
                <w:b/>
              </w:rPr>
              <w:t>Valor de ejemplo</w:t>
            </w:r>
          </w:p>
        </w:tc>
      </w:tr>
      <w:tr w:rsidR="00E06932" w:rsidTr="002A5326">
        <w:tc>
          <w:tcPr>
            <w:tcW w:w="4322" w:type="dxa"/>
          </w:tcPr>
          <w:p w:rsidR="00E06932" w:rsidRDefault="00E06932" w:rsidP="002A5326">
            <w:pPr>
              <w:jc w:val="center"/>
            </w:pPr>
            <w:r>
              <w:t>url</w:t>
            </w:r>
          </w:p>
        </w:tc>
        <w:tc>
          <w:tcPr>
            <w:tcW w:w="4322" w:type="dxa"/>
          </w:tcPr>
          <w:p w:rsidR="00E06932" w:rsidRDefault="008C4EC2" w:rsidP="002A5326">
            <w:pPr>
              <w:jc w:val="center"/>
            </w:pPr>
            <w:hyperlink r:id="rId22" w:history="1">
              <w:r w:rsidR="00E06932" w:rsidRPr="006F4FD2">
                <w:rPr>
                  <w:rStyle w:val="Hipervnculo"/>
                </w:rPr>
                <w:t>http://localhost:8081/geoserver</w:t>
              </w:r>
            </w:hyperlink>
          </w:p>
        </w:tc>
      </w:tr>
      <w:tr w:rsidR="00E06932" w:rsidTr="002A5326">
        <w:tc>
          <w:tcPr>
            <w:tcW w:w="4322" w:type="dxa"/>
          </w:tcPr>
          <w:p w:rsidR="00E06932" w:rsidRDefault="00E06932" w:rsidP="002A5326">
            <w:pPr>
              <w:jc w:val="center"/>
            </w:pPr>
            <w:r>
              <w:t>Propwms</w:t>
            </w:r>
          </w:p>
        </w:tc>
        <w:tc>
          <w:tcPr>
            <w:tcW w:w="4322" w:type="dxa"/>
          </w:tcPr>
          <w:p w:rsidR="00E06932" w:rsidRDefault="00E06932" w:rsidP="002A5326">
            <w:pPr>
              <w:jc w:val="center"/>
            </w:pPr>
            <w:r>
              <w:t>/integraciongispge/wms?</w:t>
            </w:r>
          </w:p>
        </w:tc>
      </w:tr>
      <w:tr w:rsidR="00E06932" w:rsidTr="002A5326">
        <w:tc>
          <w:tcPr>
            <w:tcW w:w="4322" w:type="dxa"/>
          </w:tcPr>
          <w:p w:rsidR="00E06932" w:rsidRDefault="00E06932" w:rsidP="002A5326">
            <w:pPr>
              <w:jc w:val="center"/>
            </w:pPr>
            <w:r>
              <w:t>Propows</w:t>
            </w:r>
          </w:p>
        </w:tc>
        <w:tc>
          <w:tcPr>
            <w:tcW w:w="4322" w:type="dxa"/>
          </w:tcPr>
          <w:p w:rsidR="00E06932" w:rsidRDefault="00E06932" w:rsidP="002A5326">
            <w:pPr>
              <w:jc w:val="center"/>
            </w:pPr>
            <w:r>
              <w:t>/integraciongispge/ows?</w:t>
            </w:r>
          </w:p>
        </w:tc>
      </w:tr>
      <w:tr w:rsidR="00E06932" w:rsidTr="002A5326">
        <w:tc>
          <w:tcPr>
            <w:tcW w:w="4322" w:type="dxa"/>
          </w:tcPr>
          <w:p w:rsidR="00E06932" w:rsidRDefault="00E06932" w:rsidP="002A5326">
            <w:pPr>
              <w:jc w:val="center"/>
            </w:pPr>
            <w:r>
              <w:t>Propwfs</w:t>
            </w:r>
          </w:p>
        </w:tc>
        <w:tc>
          <w:tcPr>
            <w:tcW w:w="4322" w:type="dxa"/>
          </w:tcPr>
          <w:p w:rsidR="00E06932" w:rsidRDefault="00E06932" w:rsidP="002A5326">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8C4EC2"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sidRPr="00051C10">
                <w:rPr>
                  <w:noProof/>
                  <w:lang w:val="en-US"/>
                </w:rPr>
                <w:lastRenderedPageBreak/>
                <w:t xml:space="preserve">15. </w:t>
              </w:r>
              <w:r w:rsidRPr="00051C10">
                <w:rPr>
                  <w:b/>
                  <w:bCs/>
                  <w:noProof/>
                  <w:lang w:val="en-US"/>
                </w:rPr>
                <w:t>POLICY BRIEF, OECD.</w:t>
              </w:r>
              <w:r w:rsidRPr="00051C10">
                <w:rPr>
                  <w:noProof/>
                  <w:lang w:val="en-US"/>
                </w:rPr>
                <w:t xml:space="preserve"> The e-government imperative: main findings. </w:t>
              </w:r>
              <w:r>
                <w:rPr>
                  <w:noProof/>
                </w:rPr>
                <w:t>Marzo 2003. [En línea] [Citado el: 20 de 10 de 2014.] http://unpan1.un.org/intradoc/groups/public/documents/APCITY/UNPAN015120.pdf.</w:t>
              </w:r>
            </w:p>
            <w:p w:rsidR="00E205F8" w:rsidRDefault="00E205F8" w:rsidP="00E205F8">
              <w:pPr>
                <w:pStyle w:val="Bibliografa"/>
                <w:rPr>
                  <w:noProof/>
                </w:rPr>
              </w:pPr>
              <w:r w:rsidRPr="00051C10">
                <w:rPr>
                  <w:noProof/>
                  <w:lang w:val="en-US"/>
                </w:rPr>
                <w:t xml:space="preserve">16. W3Schools. </w:t>
              </w:r>
              <w:r w:rsidRPr="00051C10">
                <w:rPr>
                  <w:i/>
                  <w:iCs/>
                  <w:noProof/>
                  <w:lang w:val="en-US"/>
                </w:rPr>
                <w:t xml:space="preserve">Web Services Addressing. </w:t>
              </w:r>
              <w:r w:rsidRPr="00051C10">
                <w:rPr>
                  <w:noProof/>
                  <w:lang w:val="en-US"/>
                </w:rPr>
                <w:t xml:space="preserve">[En línea] 10 de 08 de 2004. </w:t>
              </w:r>
              <w:r>
                <w:rPr>
                  <w:noProof/>
                </w:rPr>
                <w:t>[Citado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8C4EC2"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7AD" w:rsidRDefault="00F937AD" w:rsidP="004C1B6E">
      <w:pPr>
        <w:spacing w:after="0" w:line="240" w:lineRule="auto"/>
      </w:pPr>
      <w:r>
        <w:separator/>
      </w:r>
    </w:p>
  </w:endnote>
  <w:endnote w:type="continuationSeparator" w:id="1">
    <w:p w:rsidR="00F937AD" w:rsidRDefault="00F937A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2A5326" w:rsidTr="00037973">
      <w:trPr>
        <w:trHeight w:val="151"/>
      </w:trPr>
      <w:tc>
        <w:tcPr>
          <w:tcW w:w="2291" w:type="pct"/>
          <w:tcBorders>
            <w:bottom w:val="single" w:sz="4" w:space="0" w:color="4F81BD" w:themeColor="accent1"/>
          </w:tcBorders>
        </w:tcPr>
        <w:p w:rsidR="002A5326" w:rsidRDefault="002A5326">
          <w:pPr>
            <w:pStyle w:val="Encabezado"/>
            <w:rPr>
              <w:rFonts w:asciiTheme="majorHAnsi" w:eastAsiaTheme="majorEastAsia" w:hAnsiTheme="majorHAnsi" w:cstheme="majorBidi"/>
              <w:b/>
              <w:bCs/>
            </w:rPr>
          </w:pPr>
        </w:p>
      </w:tc>
      <w:tc>
        <w:tcPr>
          <w:tcW w:w="417" w:type="pct"/>
          <w:vMerge w:val="restart"/>
          <w:noWrap/>
          <w:vAlign w:val="center"/>
        </w:tcPr>
        <w:p w:rsidR="002A5326" w:rsidRDefault="002A5326">
          <w:pPr>
            <w:pStyle w:val="Sinespaciado"/>
            <w:rPr>
              <w:rFonts w:asciiTheme="majorHAnsi" w:hAnsiTheme="majorHAnsi"/>
            </w:rPr>
          </w:pPr>
          <w:r>
            <w:t xml:space="preserve">    </w:t>
          </w:r>
          <w:fldSimple w:instr=" PAGE  \* MERGEFORMAT ">
            <w:r w:rsidR="002030BC" w:rsidRPr="002030BC">
              <w:rPr>
                <w:rFonts w:asciiTheme="majorHAnsi" w:hAnsiTheme="majorHAnsi"/>
                <w:b/>
                <w:noProof/>
              </w:rPr>
              <w:t>24</w:t>
            </w:r>
          </w:fldSimple>
        </w:p>
      </w:tc>
      <w:tc>
        <w:tcPr>
          <w:tcW w:w="2291" w:type="pct"/>
          <w:tcBorders>
            <w:bottom w:val="single" w:sz="4" w:space="0" w:color="4F81BD" w:themeColor="accent1"/>
          </w:tcBorders>
        </w:tcPr>
        <w:p w:rsidR="002A5326" w:rsidRDefault="002A5326">
          <w:pPr>
            <w:pStyle w:val="Encabezado"/>
            <w:rPr>
              <w:rFonts w:asciiTheme="majorHAnsi" w:eastAsiaTheme="majorEastAsia" w:hAnsiTheme="majorHAnsi" w:cstheme="majorBidi"/>
              <w:b/>
              <w:bCs/>
            </w:rPr>
          </w:pPr>
        </w:p>
      </w:tc>
    </w:tr>
    <w:tr w:rsidR="002A5326" w:rsidTr="00037973">
      <w:trPr>
        <w:trHeight w:val="150"/>
      </w:trPr>
      <w:tc>
        <w:tcPr>
          <w:tcW w:w="2291" w:type="pct"/>
          <w:tcBorders>
            <w:top w:val="single" w:sz="4" w:space="0" w:color="4F81BD" w:themeColor="accent1"/>
          </w:tcBorders>
        </w:tcPr>
        <w:p w:rsidR="002A5326" w:rsidRDefault="002A5326">
          <w:pPr>
            <w:pStyle w:val="Encabezado"/>
            <w:rPr>
              <w:rFonts w:asciiTheme="majorHAnsi" w:eastAsiaTheme="majorEastAsia" w:hAnsiTheme="majorHAnsi" w:cstheme="majorBidi"/>
              <w:b/>
              <w:bCs/>
            </w:rPr>
          </w:pPr>
        </w:p>
      </w:tc>
      <w:tc>
        <w:tcPr>
          <w:tcW w:w="417" w:type="pct"/>
          <w:vMerge/>
        </w:tcPr>
        <w:p w:rsidR="002A5326" w:rsidRDefault="002A5326">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2A5326" w:rsidRDefault="002A5326">
          <w:pPr>
            <w:pStyle w:val="Encabezado"/>
            <w:rPr>
              <w:rFonts w:asciiTheme="majorHAnsi" w:eastAsiaTheme="majorEastAsia" w:hAnsiTheme="majorHAnsi" w:cstheme="majorBidi"/>
              <w:b/>
              <w:bCs/>
            </w:rPr>
          </w:pPr>
        </w:p>
      </w:tc>
    </w:tr>
  </w:tbl>
  <w:p w:rsidR="002A5326" w:rsidRDefault="002A53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7AD" w:rsidRDefault="00F937AD" w:rsidP="004C1B6E">
      <w:pPr>
        <w:spacing w:after="0" w:line="240" w:lineRule="auto"/>
      </w:pPr>
      <w:r>
        <w:separator/>
      </w:r>
    </w:p>
  </w:footnote>
  <w:footnote w:type="continuationSeparator" w:id="1">
    <w:p w:rsidR="00F937AD" w:rsidRDefault="00F937AD" w:rsidP="004C1B6E">
      <w:pPr>
        <w:spacing w:after="0" w:line="240" w:lineRule="auto"/>
      </w:pPr>
      <w:r>
        <w:continuationSeparator/>
      </w:r>
    </w:p>
  </w:footnote>
  <w:footnote w:id="2">
    <w:p w:rsidR="002A5326" w:rsidRDefault="002A5326" w:rsidP="00B22448">
      <w:pPr>
        <w:pStyle w:val="Textonotapie"/>
      </w:pPr>
      <w:r>
        <w:rPr>
          <w:rStyle w:val="Refdenotaalpie"/>
        </w:rPr>
        <w:footnoteRef/>
      </w:r>
      <w:r>
        <w:t xml:space="preserve"> Imagen tomada de [1]. </w:t>
      </w:r>
    </w:p>
  </w:footnote>
  <w:footnote w:id="3">
    <w:p w:rsidR="002A5326" w:rsidRDefault="002A5326" w:rsidP="00F86ED8">
      <w:pPr>
        <w:pStyle w:val="Textonotapie"/>
      </w:pPr>
      <w:r>
        <w:rPr>
          <w:rStyle w:val="Refdenotaalpie"/>
        </w:rPr>
        <w:footnoteRef/>
      </w:r>
      <w:r>
        <w:t xml:space="preserve"> Imagen tomada de [1]. </w:t>
      </w:r>
    </w:p>
  </w:footnote>
  <w:footnote w:id="4">
    <w:p w:rsidR="002A5326" w:rsidRDefault="002A5326">
      <w:pPr>
        <w:pStyle w:val="Textonotapie"/>
      </w:pPr>
      <w:r>
        <w:rPr>
          <w:rStyle w:val="Refdenotaalpie"/>
        </w:rPr>
        <w:footnoteRef/>
      </w:r>
      <w:r>
        <w:t xml:space="preserve"> Imagen tomada de [1]. </w:t>
      </w:r>
    </w:p>
  </w:footnote>
  <w:footnote w:id="5">
    <w:p w:rsidR="002A5326" w:rsidRDefault="002A5326">
      <w:pPr>
        <w:pStyle w:val="Textonotapie"/>
      </w:pPr>
      <w:r>
        <w:rPr>
          <w:rStyle w:val="Refdenotaalpie"/>
        </w:rPr>
        <w:footnoteRef/>
      </w:r>
      <w:r>
        <w:t xml:space="preserve"> Cita tomada de [2].</w:t>
      </w:r>
    </w:p>
  </w:footnote>
  <w:footnote w:id="6">
    <w:p w:rsidR="002A5326" w:rsidRDefault="002A5326">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1C10"/>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1F714D"/>
    <w:rsid w:val="002030BC"/>
    <w:rsid w:val="00220713"/>
    <w:rsid w:val="002440C9"/>
    <w:rsid w:val="00244810"/>
    <w:rsid w:val="00274B6C"/>
    <w:rsid w:val="002766F2"/>
    <w:rsid w:val="00276915"/>
    <w:rsid w:val="00282D15"/>
    <w:rsid w:val="0028338D"/>
    <w:rsid w:val="00284A2A"/>
    <w:rsid w:val="00284CE9"/>
    <w:rsid w:val="00285AE3"/>
    <w:rsid w:val="002A5326"/>
    <w:rsid w:val="002A607D"/>
    <w:rsid w:val="002C443F"/>
    <w:rsid w:val="0031078E"/>
    <w:rsid w:val="00312928"/>
    <w:rsid w:val="00315421"/>
    <w:rsid w:val="00324D3D"/>
    <w:rsid w:val="00331F72"/>
    <w:rsid w:val="00332A3A"/>
    <w:rsid w:val="00333D98"/>
    <w:rsid w:val="00340293"/>
    <w:rsid w:val="003455F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0E2C"/>
    <w:rsid w:val="00530FFB"/>
    <w:rsid w:val="0053135B"/>
    <w:rsid w:val="00531FA5"/>
    <w:rsid w:val="00536C72"/>
    <w:rsid w:val="005417B8"/>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4EC2"/>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24442"/>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6DEE"/>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2965"/>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37AD"/>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6138</TotalTime>
  <Pages>37</Pages>
  <Words>8088</Words>
  <Characters>44487</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319</cp:revision>
  <dcterms:created xsi:type="dcterms:W3CDTF">2014-04-28T20:10:00Z</dcterms:created>
  <dcterms:modified xsi:type="dcterms:W3CDTF">2015-02-27T03:04:00Z</dcterms:modified>
</cp:coreProperties>
</file>