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ANÁLISE DE ARQUITETURA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Integração entre Central de Inteligência Fundamental e Central de Análise Técnica e Operações</w:t>
      </w:r>
    </w:p>
    <w:p>
      <w:pPr>
        <w:spacing w:after="140" w:line="300"/>
      </w:pPr>
      <w:r>
        <w:rPr>
          <w:sz w:val="22"/>
          <w:szCs w:val="22"/>
        </w:rPr>
        <w:t xml:space="preserve">Documento base: magickal_union.md  •  Análise técnica produzida a partir do conceito de "Cruzamento Semântico" definido no original.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Sumário Executivo</w:t>
      </w:r>
    </w:p>
    <w:p>
      <w:pPr>
        <w:spacing w:after="140" w:line="300"/>
      </w:pPr>
      <w:r>
        <w:rPr>
          <w:sz w:val="22"/>
          <w:szCs w:val="22"/>
        </w:rPr>
        <w:t xml:space="preserve">O documento original descreve, através de metáforas deliberadas, um sistema de trading com duas dimensões: uma Central de Inteligência Fundamental (coleta OSINT, NLP, arbitragem via LLM e um contexto global recursivo chamado "Global Pulse") e uma Central de Análise Técnica e Operações (indicadores, geração de sinais, gestão de risco e execução).</w:t>
      </w:r>
    </w:p>
    <w:p>
      <w:pPr>
        <w:spacing w:after="140" w:line="300"/>
      </w:pPr>
      <w:r>
        <w:rPr>
          <w:sz w:val="22"/>
          <w:szCs w:val="22"/>
        </w:rPr>
        <w:t xml:space="preserve">O gap real, sem a camada poética: o Global Pulse é um estado contínuo e versionado (cada novo resumo depende do anterior), mas a única ponte de integração hoje é orientada a evento discreto via RabbitMQ (BUY_ENTRY, SELL_ENTRY, LOCK_DOWN). Faltam duas coisas para a "Grande União" funcionar como arquitetura, não como intenção: (a) um canal de leitura contínua do contexto fundamental pelas estratégias técnicas, e (b) um contrato estável entre as duas dimensões, para que evoluam de forma independente.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Tradução do Cruzamento Semântico</w:t>
      </w:r>
    </w:p>
    <w:p>
      <w:pPr>
        <w:spacing w:after="140" w:line="300"/>
      </w:pPr>
      <w:r>
        <w:rPr>
          <w:sz w:val="22"/>
          <w:szCs w:val="22"/>
        </w:rPr>
        <w:t xml:space="preserve">Mapeamento entre os termos abstratos do documento original e sua correlação de arquitetura/código, conforme solicitado no próprio documento: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 no documento</w:t>
            </w:r>
          </w:p>
        </w:tc>
        <w:tc>
          <w:tcPr>
            <w:tcW w:type="dxa" w:w="6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Correlação arquitetural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Global Pulse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Estado compartilhado, versionado e continuamente atualizado — não é um evento, é um contexto (Context Service).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BLUF do Strategist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Snapshot recursivo do contexto: cada versão nova é função dos eventos novos + versão anterior. Exige single-writer e histórico versionado, não merge concorrente.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Alfabeto Celestial / Tratado de Lei Natural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Saída do NLP/LLM é rica semanticamente mas estruturalmente incompatível com o que a Análise Técnica consome (séries numéricas). Precisa de uma camada de tradução/adapter, não de mais poder de LLM.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"Análise Técnica reage de forma arcaica"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Hoje só existe canal push (MQ) para alertas discretos. Não há canal pull para leitura contínua do contexto fundamental antes de cada decisão de sinal.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Diálogo e conexão com o ser celestial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Necessidade de um contrato/interface estável (Anti-Corruption Layer) entre as duas dimensões, para que uma não fique acoplada aos detalhes internos da outra.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"Elevação do nível consciencial"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Ganho de performance esperado ao combinar peso fundamental + sinal técnico em uma função de scoring — engenharia de features, não uma propriedade emergente mística.</w:t>
            </w:r>
          </w:p>
        </w:tc>
      </w:tr>
    </w:tbl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Arquitetura Proposta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3.1 Global Pulse como serviço de primeira classe</w:t>
      </w:r>
    </w:p>
    <w:p>
      <w:pPr>
        <w:spacing w:after="140" w:line="300"/>
      </w:pPr>
      <w:r>
        <w:rPr>
          <w:sz w:val="22"/>
          <w:szCs w:val="22"/>
        </w:rPr>
        <w:t xml:space="preserve">Extrair um serviço dedicado (ex.: services/global_pulse) com contrato explícito de leitura, em vez de o contexto viver implicitamente dentro do IA_Oracle:</w:t>
      </w:r>
    </w:p>
    <w:p>
      <w:pPr>
        <w:shd w:fill="F5F5F5" w:val="clear"/>
        <w:spacing w:after="14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 /pulse/{entity_type}/{entity_id}
{
  "bluf": "string",
  "danger_score": 0.0,
  "sentiment": {...},
  "tags": ["string"],
  "version": 42,
  "as_of": "ISO-8601",
  "prev_version_ref": "string"
}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Escrita: apenas o Strategist grava (single-writer) — evita conflito de merge no processo recursivo/auto-evolutivo do BLUF.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Armazenamento: estado "quente" em Redis (TTL curto, leitura de baixa latência para as estratégias); trilha de auditoria append-only (Postgres/event log) preservando todas as versões — necessário para o item 3.5 (backtesting).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3.2 Dois canais de integração, não um</w:t>
      </w:r>
    </w:p>
    <w:p>
      <w:pPr>
        <w:spacing w:after="140" w:line="300"/>
      </w:pPr>
      <w:r>
        <w:rPr>
          <w:sz w:val="22"/>
          <w:szCs w:val="22"/>
        </w:rPr>
        <w:t xml:space="preserve">O MQ atual resolve bem o canal de controle. Falta formalizar o canal de dados: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Push / plano de controle (já existe, formalizar routing): transições discretas e urgentes — DANGER_SCORE cruzando o limiar, criação de TAG, LOCK_DOWN. Usar topic exchange com routing keys (ex.: pulse.alert.lockdown, pulse.tag.&lt;moeda&gt;) para que cada serviço técnico assine só o que lhe interessa.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Pull / plano de dados (o elo que falta): SignalGenerator e RiskManager consultam o Global Pulse (direto ou via cache local invalidado por push) antes de cada decisão, e incorporam o resultado como peso numa função de scoring — não como gate booleano. Isso é o que permite a Análise Técnica "respirar junto" com o contexto, em vez de ser cega a ele ou totalmente subjugada por ele.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3.3 Anti-Corruption Layer entre as dimensões</w:t>
      </w:r>
    </w:p>
    <w:p>
      <w:pPr>
        <w:spacing w:after="140" w:line="300"/>
      </w:pPr>
      <w:r>
        <w:rPr>
          <w:sz w:val="22"/>
          <w:szCs w:val="22"/>
        </w:rPr>
        <w:t xml:space="preserve">Definir uma interface (ex.: IGlobalPulseReader) que a Análise Técnica consome, espelhando o padrão Abstract Provider → Factory → Concrete Provider que vocês já usam para os provedores de LLM. A Análise Técnica nunca fala diretamente com NLP/IA_Oracle — só com esse contrato. Isso permite que as duas dimensões evoluam (troca de modelo, novo extrator, novo indicador) sem propagar quebra de um lado para o outro.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3.4 Consistência, versionamento e frescor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Como o BLUF depende do estado anterior, o single-writer do Strategist já serializa naturalmente as atualizações — não é necessário CRDT.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Toda leitura deve expor version e as_of. A Análise Técnica precisa de uma função de decaimento de peso por frescor: um pulso de 6 horas atrás em dia de notícia rápida deve pesar menos que um de 2 minutos atrás — tratar isso explicitamente evita decisão baseada em contexto obsoleto sem que ninguém perceba.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3.5 Observabilidade e correlação</w:t>
      </w:r>
    </w:p>
    <w:p>
      <w:pPr>
        <w:spacing w:after="140" w:line="300"/>
      </w:pPr>
      <w:r>
        <w:rPr>
          <w:sz w:val="22"/>
          <w:szCs w:val="22"/>
        </w:rPr>
        <w:t xml:space="preserve">Para a observabilidade "Nível Planetário" que o documento descreve ser útil de fato: propagar um correlation ID desde o evento OSINT original até a ordem executada no executor_trading. Sem isso, uma decisão autônoma de compra/venda não é auditável — e para um sistema que age sem intervenção humana, isso é requisito, não luxo.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3.6 Implicação para backtesting</w:t>
      </w:r>
    </w:p>
    <w:p>
      <w:pPr>
        <w:spacing w:after="140" w:line="300"/>
      </w:pPr>
      <w:r>
        <w:rPr>
          <w:sz w:val="22"/>
          <w:szCs w:val="22"/>
        </w:rPr>
        <w:t xml:space="preserve">A trilha de versões do Global Pulse (item 3.1) não é só auditoria — é pré-requisito para backtest correto. Uma estratégia técnica testada no instante T só pode ver o Global Pulse como ele existia em T, nunca uma revisão futura do BLUF. Sem o histórico versionado, todo backtest que incorpora peso fundamental carrega look-ahead bias sem que o resultado avise disso.</w:t>
      </w:r>
    </w:p>
    <w:p>
      <w:pPr>
        <w:pStyle w:val="Heading1"/>
        <w:pBdr>
          <w:bottom w:val="single" w:color="1F3864" w:sz="6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Riscos e Próximos Passos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Definir o schema formal do Global Pulse (contrato da seção 3.1) antes de qualquer estratégia técnica passar a consumi-lo — mudar o contrato depois que RiskManager e SignalGenerator dependem dele é caro.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Especificar a função de scoring que combina peso fundamental + sinal técnico (é decisão de tese quantitativa, não de arquitetura — cabe a você definir os coeficientes).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Validar a granularidade real do DANGER_SCORE e do threshold 0.7 com dados históricos antes de acoplar o LOCK_DOWN a ele em produção.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Priorizar o canal pull (3.2) como próximo sprint — é o gap que efetivamente impede a "Grande União" descrita no documento original.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2026-09-09T20:54:20.709Z</dcterms:created>
  <dcterms:modified xsi:type="dcterms:W3CDTF">2026-09-09T20:54:20.719Z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