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Jira Observation Monitor</w:t>
      </w:r>
    </w:p>
    <w:p>
      <w:pPr>
        <w:jc w:val="center"/>
      </w:pPr>
      <w:r>
        <w:rPr>
          <w:b/>
          <w:color w:val="2E4F7E"/>
          <w:sz w:val="40"/>
        </w:rPr>
        <w:t>Master Governance, Delivery, Handover, and Strategic Direction Pack</w:t>
      </w:r>
    </w:p>
    <w:p/>
    <w:p/>
    <w:p/>
    <w:p/>
    <w:p/>
    <w:p/>
    <w:p>
      <w:pPr>
        <w:jc w:val="center"/>
      </w:pPr>
      <w:r>
        <w:rPr>
          <w:b/>
          <w:sz w:val="22"/>
        </w:rPr>
        <w:t xml:space="preserve">Classification: </w:t>
      </w:r>
      <w:r>
        <w:rPr>
          <w:sz w:val="22"/>
        </w:rPr>
        <w:t>GLI Internal Use Only</w:t>
      </w:r>
    </w:p>
    <w:p>
      <w:pPr>
        <w:jc w:val="center"/>
      </w:pPr>
      <w:r>
        <w:rPr>
          <w:b/>
          <w:sz w:val="22"/>
        </w:rPr>
        <w:t xml:space="preserve">Version: </w:t>
      </w:r>
      <w:r>
        <w:rPr>
          <w:sz w:val="22"/>
        </w:rPr>
        <w:t>v3.0</w:t>
      </w:r>
    </w:p>
    <w:p>
      <w:pPr>
        <w:jc w:val="center"/>
      </w:pPr>
      <w:r>
        <w:rPr>
          <w:b/>
          <w:sz w:val="22"/>
        </w:rPr>
        <w:t xml:space="preserve">Date: </w:t>
      </w:r>
      <w:r>
        <w:rPr>
          <w:sz w:val="22"/>
        </w:rPr>
        <w:t>June 2026</w:t>
      </w:r>
    </w:p>
    <w:p>
      <w:pPr>
        <w:jc w:val="center"/>
      </w:pPr>
      <w:r>
        <w:rPr>
          <w:b/>
          <w:sz w:val="22"/>
        </w:rPr>
        <w:t xml:space="preserve">Owner: </w:t>
      </w:r>
      <w:r>
        <w:rPr>
          <w:sz w:val="22"/>
        </w:rPr>
        <w:t>Luke Crockett, Systems Engineer</w:t>
      </w:r>
    </w:p>
    <w:p>
      <w:pPr>
        <w:jc w:val="center"/>
      </w:pPr>
      <w:r>
        <w:rPr>
          <w:b/>
          <w:sz w:val="22"/>
        </w:rPr>
        <w:t xml:space="preserve">Programme: </w:t>
      </w:r>
      <w:r>
        <w:rPr>
          <w:sz w:val="22"/>
        </w:rPr>
        <w:t>GLI Atlassian Operational Intelligence</w:t>
      </w:r>
    </w:p>
    <w:p>
      <w:r>
        <w:br w:type="page"/>
      </w:r>
    </w:p>
    <w:p>
      <w:pPr>
        <w:pStyle w:val="Heading1"/>
      </w:pPr>
      <w:r>
        <w:rPr>
          <w:color w:val="1F3A5F"/>
        </w:rPr>
        <w:t>1. Executive Summary</w:t>
      </w:r>
    </w:p>
    <w:p>
      <w:pPr>
        <w:spacing w:after="160"/>
      </w:pPr>
      <w:r>
        <w:t>The Jira Observation Monitor (JOM) is a read-only operational intelligence platform engineered for GLI's Atlassian estate. It consolidates estate-wide visibility, site-level drilldowns, runtime alerting, intelligence outputs, and automated governance into a single internal console. As of June 2026, JOM has progressed through nine engineering sprints and approximately 141 hours of engineering effort.</w:t>
      </w:r>
    </w:p>
    <w:p>
      <w:pPr>
        <w:spacing w:after="160"/>
      </w:pPr>
      <w:r>
        <w:t>This version of the Master Governance Pack reflects a material evolution in the platform's strategic direction. The single-user platform delivered in Phase 1 is now complete, governed, and provably self-operating through Windows Task Scheduler automation, drift detection, audit trail logging, and a documented sync orchestrator. A user-base analysis has identified 13 internal stakeholders across four access tiers who would benefit from JOM's outputs, including users who do not hold Atlassian admin permissions and therefore cannot operate JOM in single-user mode.</w:t>
      </w:r>
    </w:p>
    <w:p>
      <w:pPr>
        <w:spacing w:after="160"/>
      </w:pPr>
      <w:r>
        <w:t>This document accordingly captures both the delivered Phase 1 platform and the strategic direction for Phase 2: a multi-user centralised architecture with Microsoft Entra ID SSO integration. Phase 2 is estimated at approximately 110 hours across 4-5 sprints and is pending business case approval from senior management. Dormant scaffolding has been added to the Phase 1 codebase to ensure the future transition to Phase 2 is smooth and low-risk.</w:t>
      </w:r>
    </w:p>
    <w:p>
      <w:pPr>
        <w:spacing w:after="160"/>
      </w:pPr>
      <w:r>
        <w:t>This document is intended to support management visibility, board-level scrutiny, continuity protection, and strategic decision-making about the platform's future direction.</w:t>
      </w:r>
    </w:p>
    <w:p>
      <w:pPr>
        <w:pStyle w:val="Heading1"/>
      </w:pPr>
      <w:r>
        <w:rPr>
          <w:color w:val="1F3A5F"/>
        </w:rPr>
        <w:t>2. Why This Is Being Built</w:t>
      </w:r>
    </w:p>
    <w:p>
      <w:pPr>
        <w:spacing w:after="160"/>
      </w:pPr>
      <w:r>
        <w:t>Atlassian's native interfaces are strong for product-specific administration, but they do not provide a single read-only operational console that combines cross-site visibility, change detection, admin-enriched account signals, and estate-level risk posture. JOM closes that gap for GLI's Atlassian estate.</w:t>
      </w:r>
    </w:p>
    <w:p>
      <w:pPr>
        <w:spacing w:after="160"/>
      </w:pPr>
      <w:r>
        <w:t>The platform reduces the time required to identify operational anomalies, user/account issues, and site-level risk conditions. It surfaces signals that would otherwise require manual checks across multiple admin surfaces. It creates auditable runtime artefacts that allow continuity, investigation, comparison, and handover. Crucially, it builds a handover-safe internal capability that does not rely on one engineer remembering how everything works.</w:t>
      </w:r>
    </w:p>
    <w:p>
      <w:pPr>
        <w:spacing w:after="160"/>
      </w:pPr>
      <w:r>
        <w:t>The value of JOM extends beyond a single user. The user-base analysis described in Section 12 shows that operational visibility benefits a broader set of stakeholders, several of whom do not have the administrative privileges required to run JOM independently. This finding shapes the strategic direction documented in this version of the pack.</w:t>
      </w:r>
    </w:p>
    <w:p>
      <w:pPr>
        <w:pStyle w:val="Heading1"/>
      </w:pPr>
      <w:r>
        <w:rPr>
          <w:color w:val="1F3A5F"/>
        </w:rPr>
        <w:t>3. Product Definition and Design Principles</w:t>
      </w:r>
    </w:p>
    <w:p>
      <w:pPr>
        <w:spacing w:after="160"/>
      </w:pPr>
      <w:r>
        <w:t>JOM is defined as a read-only operational intelligence platform for GLI's Atlassian estate. It provides estate-wide visibility, site-level drilldowns, trend awareness, risk-based prioritisation, and a stable handover-ready operating model. The following design principles drive every architectural and operational decision:</w:t>
      </w:r>
    </w:p>
    <w:p>
      <w:pPr>
        <w:pStyle w:val="ListBullet"/>
      </w:pPr>
      <w:r>
        <w:t>Read-only: the platform observes and explains; it does not change Atlassian data or configuration.</w:t>
      </w:r>
    </w:p>
    <w:p>
      <w:pPr>
        <w:pStyle w:val="ListBullet"/>
      </w:pPr>
      <w:r>
        <w:t>Runtime truth: backend collectors and generated runtime JSON files create truth; the UI only presents truth.</w:t>
      </w:r>
    </w:p>
    <w:p>
      <w:pPr>
        <w:pStyle w:val="ListBullet"/>
      </w:pPr>
      <w:r>
        <w:t>Drilldown-first: each headline metric must be explorable to its underlying rows and reasons.</w:t>
      </w:r>
    </w:p>
    <w:p>
      <w:pPr>
        <w:pStyle w:val="ListBullet"/>
      </w:pPr>
      <w:r>
        <w:t>Operational rather than vanity-focused: the purpose is actionable estate governance, not decorative reporting.</w:t>
      </w:r>
    </w:p>
    <w:p>
      <w:pPr>
        <w:pStyle w:val="ListBullet"/>
      </w:pPr>
      <w:r>
        <w:t>Low single-point-of-failure risk: documentation, runbooks, file maps, and phased architecture are designed so another engineer can continue if ownership changes.</w:t>
      </w:r>
    </w:p>
    <w:p>
      <w:pPr>
        <w:pStyle w:val="ListBullet"/>
      </w:pPr>
      <w:r>
        <w:t>Auditable evolution: every detected change to the runtime contract is logged in plain text and tied to a timestamp.</w:t>
      </w:r>
    </w:p>
    <w:p>
      <w:pPr>
        <w:pStyle w:val="ListBullet"/>
      </w:pPr>
      <w:r>
        <w:t>Self-governing: the platform validates itself, audits itself, and documents itself through the sync orchestrator.</w:t>
      </w:r>
    </w:p>
    <w:p>
      <w:pPr>
        <w:pStyle w:val="Heading1"/>
      </w:pPr>
      <w:r>
        <w:rPr>
          <w:color w:val="1F3A5F"/>
        </w:rPr>
        <w:t>4. Current Achieved State (June 2026)</w:t>
      </w:r>
    </w:p>
    <w:p>
      <w:pPr>
        <w:spacing w:after="160"/>
      </w:pPr>
      <w:r>
        <w:t>The platform has reached a mature, self-governing state. The capabilities listed below are all operational, verified, and committed to version control:</w:t>
      </w:r>
    </w:p>
    <w:p>
      <w:pPr>
        <w:pStyle w:val="ListBullet"/>
      </w:pPr>
      <w:r>
        <w:t>Verified Atlassian OAuth 3LO authentication with token refresh and resource discovery.</w:t>
      </w:r>
    </w:p>
    <w:p>
      <w:pPr>
        <w:pStyle w:val="ListBullet"/>
      </w:pPr>
      <w:r>
        <w:t>Verified Atlassian Admin API integration with organisation-level user enrichment.</w:t>
      </w:r>
    </w:p>
    <w:p>
      <w:pPr>
        <w:pStyle w:val="ListBullet"/>
      </w:pPr>
      <w:r>
        <w:t>Live API ingestion replacing all CSV-based truth.</w:t>
      </w:r>
    </w:p>
    <w:p>
      <w:pPr>
        <w:pStyle w:val="ListBullet"/>
      </w:pPr>
      <w:r>
        <w:t>Layered runtime JSON chain: latest_run.json, latest_run_admin_enriched.json, latest_run_alerted.json, latest_run_intelligence.json.</w:t>
      </w:r>
    </w:p>
    <w:p>
      <w:pPr>
        <w:pStyle w:val="ListBullet"/>
      </w:pPr>
      <w:r>
        <w:t>Alert rules engine producing severity-classified runtime alerts.</w:t>
      </w:r>
    </w:p>
    <w:p>
      <w:pPr>
        <w:pStyle w:val="ListBullet"/>
      </w:pPr>
      <w:r>
        <w:t>Intelligence engine producing estate posture, risk score, top risks and watchlist.</w:t>
      </w:r>
    </w:p>
    <w:p>
      <w:pPr>
        <w:pStyle w:val="ListBullet"/>
      </w:pPr>
      <w:r>
        <w:t>Runtime source adapter selecting the highest-order valid runtime file at request time.</w:t>
      </w:r>
    </w:p>
    <w:p>
      <w:pPr>
        <w:pStyle w:val="ListBullet"/>
      </w:pPr>
      <w:r>
        <w:t>Snapshot writer producing dated historical snapshots with retention rules and daily anchor guarantees.</w:t>
      </w:r>
    </w:p>
    <w:p>
      <w:pPr>
        <w:pStyle w:val="ListBullet"/>
      </w:pPr>
      <w:r>
        <w:t>Contract validator, change tracker, snapshot controller and sync orchestrator implementing self-governance.</w:t>
      </w:r>
    </w:p>
    <w:p>
      <w:pPr>
        <w:pStyle w:val="ListBullet"/>
      </w:pPr>
      <w:r>
        <w:t>Windows Task Scheduler automation running the full sync cycle every 10 minutes.</w:t>
      </w:r>
    </w:p>
    <w:p>
      <w:pPr>
        <w:pStyle w:val="ListBullet"/>
      </w:pPr>
      <w:r>
        <w:t>Live runtime widget on the dashboard showing real-time automation health.</w:t>
      </w:r>
    </w:p>
    <w:p>
      <w:pPr>
        <w:pStyle w:val="ListBullet"/>
      </w:pPr>
      <w:r>
        <w:t>Documentation control system under docs/control with change log, sync checklist, and audit trail.</w:t>
      </w:r>
    </w:p>
    <w:p>
      <w:pPr>
        <w:pStyle w:val="ListBullet"/>
      </w:pPr>
      <w:r>
        <w:t>Comprehensive governance pack including this master document, manager brief, mechanics manuals, sprint deliverables document, and security posture document.</w:t>
      </w:r>
    </w:p>
    <w:p>
      <w:pPr>
        <w:pStyle w:val="Heading1"/>
      </w:pPr>
      <w:r>
        <w:rPr>
          <w:color w:val="1F3A5F"/>
        </w:rPr>
        <w:t>5. Current Runtime Architecture</w:t>
      </w:r>
    </w:p>
    <w:p>
      <w:pPr>
        <w:spacing w:after="160"/>
      </w:pPr>
      <w:r>
        <w:t>The platform now operates as a chained runtime pipeline rather than a CSV-truth dashboard. The current source progression is:</w:t>
      </w:r>
    </w:p>
    <w:p>
      <w:pPr>
        <w:spacing w:after="160"/>
      </w:pPr>
      <w:r>
        <w:t>latest_run.json → latest_run_admin_enriched.json → latest_run_alerted.json → latest_run_intelligence.json</w:t>
      </w:r>
    </w:p>
    <w:p>
      <w:pPr>
        <w:spacing w:after="160"/>
      </w:pPr>
      <w:r>
        <w:t>The web layer is a presenter of truth, not a creator of truth. The highest-order runtime file available is preferred by the adapter and fed into the UI and widget state. The following table summarises the layered architecture:</w:t>
      </w:r>
    </w:p>
    <w:tbl>
      <w:tblPr>
        <w:tblStyle w:val="LightGrid-Accent1"/>
        <w:tblW w:type="auto" w:w="0"/>
        <w:tblLook w:firstColumn="1" w:firstRow="1" w:lastColumn="0" w:lastRow="0" w:noHBand="0" w:noVBand="1" w:val="04A0"/>
      </w:tblPr>
      <w:tblGrid>
        <w:gridCol w:w="2880"/>
        <w:gridCol w:w="2880"/>
        <w:gridCol w:w="2880"/>
      </w:tblGrid>
      <w:tr>
        <w:tc>
          <w:tcPr>
            <w:tcW w:type="dxa" w:w="1984"/>
          </w:tcPr>
          <w:p>
            <w:r>
              <w:rPr>
                <w:b/>
                <w:sz w:val="20"/>
              </w:rPr>
              <w:t>Layer</w:t>
            </w:r>
          </w:p>
        </w:tc>
        <w:tc>
          <w:tcPr>
            <w:tcW w:type="dxa" w:w="3118"/>
          </w:tcPr>
          <w:p>
            <w:r>
              <w:rPr>
                <w:b/>
                <w:sz w:val="20"/>
              </w:rPr>
              <w:t>Primary Files</w:t>
            </w:r>
          </w:p>
        </w:tc>
        <w:tc>
          <w:tcPr>
            <w:tcW w:type="dxa" w:w="3118"/>
          </w:tcPr>
          <w:p>
            <w:r>
              <w:rPr>
                <w:b/>
                <w:sz w:val="20"/>
              </w:rPr>
              <w:t>Responsibilities</w:t>
            </w:r>
          </w:p>
        </w:tc>
      </w:tr>
      <w:tr>
        <w:tc>
          <w:tcPr>
            <w:tcW w:type="dxa" w:w="1984"/>
          </w:tcPr>
          <w:p>
            <w:r>
              <w:rPr>
                <w:sz w:val="20"/>
              </w:rPr>
              <w:t>Auth layer</w:t>
            </w:r>
          </w:p>
        </w:tc>
        <w:tc>
          <w:tcPr>
            <w:tcW w:type="dxa" w:w="3118"/>
          </w:tcPr>
          <w:p>
            <w:r>
              <w:rPr>
                <w:sz w:val="20"/>
              </w:rPr>
              <w:t>auth.py</w:t>
            </w:r>
          </w:p>
        </w:tc>
        <w:tc>
          <w:tcPr>
            <w:tcW w:type="dxa" w:w="3118"/>
          </w:tcPr>
          <w:p>
            <w:r>
              <w:rPr>
                <w:sz w:val="20"/>
              </w:rPr>
              <w:t>Obtains, refreshes, and verifies OAuth and Admin API credentials.</w:t>
            </w:r>
          </w:p>
        </w:tc>
      </w:tr>
      <w:tr>
        <w:tc>
          <w:tcPr>
            <w:tcW w:type="dxa" w:w="1984"/>
          </w:tcPr>
          <w:p>
            <w:r>
              <w:rPr>
                <w:sz w:val="20"/>
              </w:rPr>
              <w:t>Collector layer</w:t>
            </w:r>
          </w:p>
        </w:tc>
        <w:tc>
          <w:tcPr>
            <w:tcW w:type="dxa" w:w="3118"/>
          </w:tcPr>
          <w:p>
            <w:r>
              <w:rPr>
                <w:sz w:val="20"/>
              </w:rPr>
              <w:t>data_collector.py, jira_client.py</w:t>
            </w:r>
          </w:p>
        </w:tc>
        <w:tc>
          <w:tcPr>
            <w:tcW w:type="dxa" w:w="3118"/>
          </w:tcPr>
          <w:p>
            <w:r>
              <w:rPr>
                <w:sz w:val="20"/>
              </w:rPr>
              <w:t>Collects site-level live product data and writes latest_run.json plus snapshots.</w:t>
            </w:r>
          </w:p>
        </w:tc>
      </w:tr>
      <w:tr>
        <w:tc>
          <w:tcPr>
            <w:tcW w:type="dxa" w:w="1984"/>
          </w:tcPr>
          <w:p>
            <w:r>
              <w:rPr>
                <w:sz w:val="20"/>
              </w:rPr>
              <w:t>Admin enrichment</w:t>
            </w:r>
          </w:p>
        </w:tc>
        <w:tc>
          <w:tcPr>
            <w:tcW w:type="dxa" w:w="3118"/>
          </w:tcPr>
          <w:p>
            <w:r>
              <w:rPr>
                <w:sz w:val="20"/>
              </w:rPr>
              <w:t>admin_api_client.py, admin_api_enrichment.py</w:t>
            </w:r>
          </w:p>
        </w:tc>
        <w:tc>
          <w:tcPr>
            <w:tcW w:type="dxa" w:w="3118"/>
          </w:tcPr>
          <w:p>
            <w:r>
              <w:rPr>
                <w:sz w:val="20"/>
              </w:rPr>
              <w:t>Adds organisation-level user/account intelligence into the runtime payload.</w:t>
            </w:r>
          </w:p>
        </w:tc>
      </w:tr>
      <w:tr>
        <w:tc>
          <w:tcPr>
            <w:tcW w:type="dxa" w:w="1984"/>
          </w:tcPr>
          <w:p>
            <w:r>
              <w:rPr>
                <w:sz w:val="20"/>
              </w:rPr>
              <w:t>Alerting layer</w:t>
            </w:r>
          </w:p>
        </w:tc>
        <w:tc>
          <w:tcPr>
            <w:tcW w:type="dxa" w:w="3118"/>
          </w:tcPr>
          <w:p>
            <w:r>
              <w:rPr>
                <w:sz w:val="20"/>
              </w:rPr>
              <w:t>alert_rules_engine.py</w:t>
            </w:r>
          </w:p>
        </w:tc>
        <w:tc>
          <w:tcPr>
            <w:tcW w:type="dxa" w:w="3118"/>
          </w:tcPr>
          <w:p>
            <w:r>
              <w:rPr>
                <w:sz w:val="20"/>
              </w:rPr>
              <w:t>Applies operational alert rules and writes latest_run_alerted.json.</w:t>
            </w:r>
          </w:p>
        </w:tc>
      </w:tr>
      <w:tr>
        <w:tc>
          <w:tcPr>
            <w:tcW w:type="dxa" w:w="1984"/>
          </w:tcPr>
          <w:p>
            <w:r>
              <w:rPr>
                <w:sz w:val="20"/>
              </w:rPr>
              <w:t>Intelligence layer</w:t>
            </w:r>
          </w:p>
        </w:tc>
        <w:tc>
          <w:tcPr>
            <w:tcW w:type="dxa" w:w="3118"/>
          </w:tcPr>
          <w:p>
            <w:r>
              <w:rPr>
                <w:sz w:val="20"/>
              </w:rPr>
              <w:t>intelligence_rules_engine.py</w:t>
            </w:r>
          </w:p>
        </w:tc>
        <w:tc>
          <w:tcPr>
            <w:tcW w:type="dxa" w:w="3118"/>
          </w:tcPr>
          <w:p>
            <w:r>
              <w:rPr>
                <w:sz w:val="20"/>
              </w:rPr>
              <w:t>Derives estate posture, risk score, watchlist, and top intelligence risks.</w:t>
            </w:r>
          </w:p>
        </w:tc>
      </w:tr>
      <w:tr>
        <w:tc>
          <w:tcPr>
            <w:tcW w:type="dxa" w:w="1984"/>
          </w:tcPr>
          <w:p>
            <w:r>
              <w:rPr>
                <w:sz w:val="20"/>
              </w:rPr>
              <w:t>Presentation adapter</w:t>
            </w:r>
          </w:p>
        </w:tc>
        <w:tc>
          <w:tcPr>
            <w:tcW w:type="dxa" w:w="3118"/>
          </w:tcPr>
          <w:p>
            <w:r>
              <w:rPr>
                <w:sz w:val="20"/>
              </w:rPr>
              <w:t>backend/runtime_source_adapter.py</w:t>
            </w:r>
          </w:p>
        </w:tc>
        <w:tc>
          <w:tcPr>
            <w:tcW w:type="dxa" w:w="3118"/>
          </w:tcPr>
          <w:p>
            <w:r>
              <w:rPr>
                <w:sz w:val="20"/>
              </w:rPr>
              <w:t>Chooses the highest-order runtime file and normalises UI contract data.</w:t>
            </w:r>
          </w:p>
        </w:tc>
      </w:tr>
      <w:tr>
        <w:tc>
          <w:tcPr>
            <w:tcW w:type="dxa" w:w="1984"/>
          </w:tcPr>
          <w:p>
            <w:r>
              <w:rPr>
                <w:sz w:val="20"/>
              </w:rPr>
              <w:t>Web/UI layer</w:t>
            </w:r>
          </w:p>
        </w:tc>
        <w:tc>
          <w:tcPr>
            <w:tcW w:type="dxa" w:w="3118"/>
          </w:tcPr>
          <w:p>
            <w:r>
              <w:rPr>
                <w:sz w:val="20"/>
              </w:rPr>
              <w:t>web.py, templates, static assets</w:t>
            </w:r>
          </w:p>
        </w:tc>
        <w:tc>
          <w:tcPr>
            <w:tcW w:type="dxa" w:w="3118"/>
          </w:tcPr>
          <w:p>
            <w:r>
              <w:rPr>
                <w:sz w:val="20"/>
              </w:rPr>
              <w:t>Read-only presentation of runtime truth, drilldowns, theme, and refresh widget.</w:t>
            </w:r>
          </w:p>
        </w:tc>
      </w:tr>
      <w:tr>
        <w:tc>
          <w:tcPr>
            <w:tcW w:type="dxa" w:w="1984"/>
          </w:tcPr>
          <w:p>
            <w:r>
              <w:rPr>
                <w:sz w:val="20"/>
              </w:rPr>
              <w:t>Automation layer</w:t>
            </w:r>
          </w:p>
        </w:tc>
        <w:tc>
          <w:tcPr>
            <w:tcW w:type="dxa" w:w="3118"/>
          </w:tcPr>
          <w:p>
            <w:r>
              <w:rPr>
                <w:sz w:val="20"/>
              </w:rPr>
              <w:t>scripts/run_sync_for_scheduler.cmd, sync_runtime.py, scheduled task</w:t>
            </w:r>
          </w:p>
        </w:tc>
        <w:tc>
          <w:tcPr>
            <w:tcW w:type="dxa" w:w="3118"/>
          </w:tcPr>
          <w:p>
            <w:r>
              <w:rPr>
                <w:sz w:val="20"/>
              </w:rPr>
              <w:t>Runs the full sync cycle every 10 minutes via Windows Task Scheduler.</w:t>
            </w:r>
          </w:p>
        </w:tc>
      </w:tr>
      <w:tr>
        <w:tc>
          <w:tcPr>
            <w:tcW w:type="dxa" w:w="1984"/>
          </w:tcPr>
          <w:p>
            <w:r>
              <w:rPr>
                <w:sz w:val="20"/>
              </w:rPr>
              <w:t>Safety / operations</w:t>
            </w:r>
          </w:p>
        </w:tc>
        <w:tc>
          <w:tcPr>
            <w:tcW w:type="dxa" w:w="3118"/>
          </w:tcPr>
          <w:p>
            <w:r>
              <w:rPr>
                <w:sz w:val="20"/>
              </w:rPr>
              <w:t>verification, refresh, cleanup, rollback, preview scripts</w:t>
            </w:r>
          </w:p>
        </w:tc>
        <w:tc>
          <w:tcPr>
            <w:tcW w:type="dxa" w:w="3118"/>
          </w:tcPr>
          <w:p>
            <w:r>
              <w:rPr>
                <w:sz w:val="20"/>
              </w:rPr>
              <w:t>Support verification, runtime loops, recovery, preview, and quarantine-based clean-up.</w:t>
            </w:r>
          </w:p>
        </w:tc>
      </w:tr>
    </w:tbl>
    <w:p/>
    <w:p>
      <w:pPr>
        <w:pStyle w:val="Heading1"/>
      </w:pPr>
      <w:r>
        <w:rPr>
          <w:color w:val="1F3A5F"/>
        </w:rPr>
        <w:t>6. Delivered Milestones and What Has Been Achieved</w:t>
      </w:r>
    </w:p>
    <w:p>
      <w:pPr>
        <w:spacing w:after="160"/>
      </w:pPr>
      <w:r>
        <w:t>The platform has been delivered through a sprint-based engineering model. Each sprint produces a defined slice of value across backend engineering, frontend presentation, and documentation/governance. The following table summarises the delivered phases:</w:t>
      </w:r>
    </w:p>
    <w:tbl>
      <w:tblPr>
        <w:tblStyle w:val="LightGrid-Accent1"/>
        <w:tblW w:type="auto" w:w="0"/>
        <w:tblLook w:firstColumn="1" w:firstRow="1" w:lastColumn="0" w:lastRow="0" w:noHBand="0" w:noVBand="1" w:val="04A0"/>
      </w:tblPr>
      <w:tblGrid>
        <w:gridCol w:w="2880"/>
        <w:gridCol w:w="2880"/>
        <w:gridCol w:w="2880"/>
      </w:tblGrid>
      <w:tr>
        <w:tc>
          <w:tcPr>
            <w:tcW w:type="dxa" w:w="1134"/>
          </w:tcPr>
          <w:p>
            <w:r>
              <w:rPr>
                <w:b/>
                <w:sz w:val="20"/>
              </w:rPr>
              <w:t>Phase</w:t>
            </w:r>
          </w:p>
        </w:tc>
        <w:tc>
          <w:tcPr>
            <w:tcW w:type="dxa" w:w="1134"/>
          </w:tcPr>
          <w:p>
            <w:r>
              <w:rPr>
                <w:b/>
                <w:sz w:val="20"/>
              </w:rPr>
              <w:t>State</w:t>
            </w:r>
          </w:p>
        </w:tc>
        <w:tc>
          <w:tcPr>
            <w:tcW w:type="dxa" w:w="5386"/>
          </w:tcPr>
          <w:p>
            <w:r>
              <w:rPr>
                <w:b/>
                <w:sz w:val="20"/>
              </w:rPr>
              <w:t>Meaning</w:t>
            </w:r>
          </w:p>
        </w:tc>
      </w:tr>
      <w:tr>
        <w:tc>
          <w:tcPr>
            <w:tcW w:type="dxa" w:w="1134"/>
          </w:tcPr>
          <w:p>
            <w:r>
              <w:rPr>
                <w:sz w:val="20"/>
              </w:rPr>
              <w:t>Sprint 1</w:t>
            </w:r>
          </w:p>
        </w:tc>
        <w:tc>
          <w:tcPr>
            <w:tcW w:type="dxa" w:w="1134"/>
          </w:tcPr>
          <w:p>
            <w:r>
              <w:rPr>
                <w:sz w:val="20"/>
              </w:rPr>
              <w:t>Completed</w:t>
            </w:r>
          </w:p>
        </w:tc>
        <w:tc>
          <w:tcPr>
            <w:tcW w:type="dxa" w:w="5386"/>
          </w:tcPr>
          <w:p>
            <w:r>
              <w:rPr>
                <w:sz w:val="20"/>
              </w:rPr>
              <w:t>Foundation, data contract, modular Flask/Jinja/CSS/JS baseline, early dashboard and drilldowns.</w:t>
            </w:r>
          </w:p>
        </w:tc>
      </w:tr>
      <w:tr>
        <w:tc>
          <w:tcPr>
            <w:tcW w:type="dxa" w:w="1134"/>
          </w:tcPr>
          <w:p>
            <w:r>
              <w:rPr>
                <w:sz w:val="20"/>
              </w:rPr>
              <w:t>Sprint 2</w:t>
            </w:r>
          </w:p>
        </w:tc>
        <w:tc>
          <w:tcPr>
            <w:tcW w:type="dxa" w:w="1134"/>
          </w:tcPr>
          <w:p>
            <w:r>
              <w:rPr>
                <w:sz w:val="20"/>
              </w:rPr>
              <w:t>Completed</w:t>
            </w:r>
          </w:p>
        </w:tc>
        <w:tc>
          <w:tcPr>
            <w:tcW w:type="dxa" w:w="5386"/>
          </w:tcPr>
          <w:p>
            <w:r>
              <w:rPr>
                <w:sz w:val="20"/>
              </w:rPr>
              <w:t>Data engine: estate metrics, project counts, change detection, site discovery, drilldown engine.</w:t>
            </w:r>
          </w:p>
        </w:tc>
      </w:tr>
      <w:tr>
        <w:tc>
          <w:tcPr>
            <w:tcW w:type="dxa" w:w="1134"/>
          </w:tcPr>
          <w:p>
            <w:r>
              <w:rPr>
                <w:sz w:val="20"/>
              </w:rPr>
              <w:t>Sprint 3</w:t>
            </w:r>
          </w:p>
        </w:tc>
        <w:tc>
          <w:tcPr>
            <w:tcW w:type="dxa" w:w="1134"/>
          </w:tcPr>
          <w:p>
            <w:r>
              <w:rPr>
                <w:sz w:val="20"/>
              </w:rPr>
              <w:t>Completed</w:t>
            </w:r>
          </w:p>
        </w:tc>
        <w:tc>
          <w:tcPr>
            <w:tcW w:type="dxa" w:w="5386"/>
          </w:tcPr>
          <w:p>
            <w:r>
              <w:rPr>
                <w:sz w:val="20"/>
              </w:rPr>
              <w:t>Live auth: OAuth 3LO, token lifecycle, resource discovery, end of CSV-only era.</w:t>
            </w:r>
          </w:p>
        </w:tc>
      </w:tr>
      <w:tr>
        <w:tc>
          <w:tcPr>
            <w:tcW w:type="dxa" w:w="1134"/>
          </w:tcPr>
          <w:p>
            <w:r>
              <w:rPr>
                <w:sz w:val="20"/>
              </w:rPr>
              <w:t>Sprint 4</w:t>
            </w:r>
          </w:p>
        </w:tc>
        <w:tc>
          <w:tcPr>
            <w:tcW w:type="dxa" w:w="1134"/>
          </w:tcPr>
          <w:p>
            <w:r>
              <w:rPr>
                <w:sz w:val="20"/>
              </w:rPr>
              <w:t>Completed</w:t>
            </w:r>
          </w:p>
        </w:tc>
        <w:tc>
          <w:tcPr>
            <w:tcW w:type="dxa" w:w="5386"/>
          </w:tcPr>
          <w:p>
            <w:r>
              <w:rPr>
                <w:sz w:val="20"/>
              </w:rPr>
              <w:t>Runtime migration: latest_run.json contract, snapshot writer, source adapter, API-only runtime mode.</w:t>
            </w:r>
          </w:p>
        </w:tc>
      </w:tr>
      <w:tr>
        <w:tc>
          <w:tcPr>
            <w:tcW w:type="dxa" w:w="1134"/>
          </w:tcPr>
          <w:p>
            <w:r>
              <w:rPr>
                <w:sz w:val="20"/>
              </w:rPr>
              <w:t>Sprint 5</w:t>
            </w:r>
          </w:p>
        </w:tc>
        <w:tc>
          <w:tcPr>
            <w:tcW w:type="dxa" w:w="1134"/>
          </w:tcPr>
          <w:p>
            <w:r>
              <w:rPr>
                <w:sz w:val="20"/>
              </w:rPr>
              <w:t>Completed</w:t>
            </w:r>
          </w:p>
        </w:tc>
        <w:tc>
          <w:tcPr>
            <w:tcW w:type="dxa" w:w="5386"/>
          </w:tcPr>
          <w:p>
            <w:r>
              <w:rPr>
                <w:sz w:val="20"/>
              </w:rPr>
              <w:t>Admin enrichment: organisation user-search, row-shape mapping, admin-enriched runtime payload.</w:t>
            </w:r>
          </w:p>
        </w:tc>
      </w:tr>
      <w:tr>
        <w:tc>
          <w:tcPr>
            <w:tcW w:type="dxa" w:w="1134"/>
          </w:tcPr>
          <w:p>
            <w:r>
              <w:rPr>
                <w:sz w:val="20"/>
              </w:rPr>
              <w:t>Sprint 6</w:t>
            </w:r>
          </w:p>
        </w:tc>
        <w:tc>
          <w:tcPr>
            <w:tcW w:type="dxa" w:w="1134"/>
          </w:tcPr>
          <w:p>
            <w:r>
              <w:rPr>
                <w:sz w:val="20"/>
              </w:rPr>
              <w:t>Completed</w:t>
            </w:r>
          </w:p>
        </w:tc>
        <w:tc>
          <w:tcPr>
            <w:tcW w:type="dxa" w:w="5386"/>
          </w:tcPr>
          <w:p>
            <w:r>
              <w:rPr>
                <w:sz w:val="20"/>
              </w:rPr>
              <w:t>Alerting + intelligence: alert rules engine, intelligence engine, runtime widget with glow/pulse.</w:t>
            </w:r>
          </w:p>
        </w:tc>
      </w:tr>
      <w:tr>
        <w:tc>
          <w:tcPr>
            <w:tcW w:type="dxa" w:w="1134"/>
          </w:tcPr>
          <w:p>
            <w:r>
              <w:rPr>
                <w:sz w:val="20"/>
              </w:rPr>
              <w:t>Sprint 7</w:t>
            </w:r>
          </w:p>
        </w:tc>
        <w:tc>
          <w:tcPr>
            <w:tcW w:type="dxa" w:w="1134"/>
          </w:tcPr>
          <w:p>
            <w:r>
              <w:rPr>
                <w:sz w:val="20"/>
              </w:rPr>
              <w:t>Completed</w:t>
            </w:r>
          </w:p>
        </w:tc>
        <w:tc>
          <w:tcPr>
            <w:tcW w:type="dxa" w:w="5386"/>
          </w:tcPr>
          <w:p>
            <w:r>
              <w:rPr>
                <w:sz w:val="20"/>
              </w:rPr>
              <w:t>Governance: validator, change tracker, snapshot controller, sync orchestrator, audit trail, manuals pack.</w:t>
            </w:r>
          </w:p>
        </w:tc>
      </w:tr>
      <w:tr>
        <w:tc>
          <w:tcPr>
            <w:tcW w:type="dxa" w:w="1134"/>
          </w:tcPr>
          <w:p>
            <w:r>
              <w:rPr>
                <w:sz w:val="20"/>
              </w:rPr>
              <w:t>Sprint 8</w:t>
            </w:r>
          </w:p>
        </w:tc>
        <w:tc>
          <w:tcPr>
            <w:tcW w:type="dxa" w:w="1134"/>
          </w:tcPr>
          <w:p>
            <w:r>
              <w:rPr>
                <w:sz w:val="20"/>
              </w:rPr>
              <w:t>Planned</w:t>
            </w:r>
          </w:p>
        </w:tc>
        <w:tc>
          <w:tcPr>
            <w:tcW w:type="dxa" w:w="5386"/>
          </w:tcPr>
          <w:p>
            <w:r>
              <w:rPr>
                <w:sz w:val="20"/>
              </w:rPr>
              <w:t>Frontend hardening: widget-style site cards, drilldown UX, performance tuning, mobile sizing.</w:t>
            </w:r>
          </w:p>
        </w:tc>
      </w:tr>
      <w:tr>
        <w:tc>
          <w:tcPr>
            <w:tcW w:type="dxa" w:w="1134"/>
          </w:tcPr>
          <w:p>
            <w:r>
              <w:rPr>
                <w:sz w:val="20"/>
              </w:rPr>
              <w:t>Sprint 9</w:t>
            </w:r>
          </w:p>
        </w:tc>
        <w:tc>
          <w:tcPr>
            <w:tcW w:type="dxa" w:w="1134"/>
          </w:tcPr>
          <w:p>
            <w:r>
              <w:rPr>
                <w:sz w:val="20"/>
              </w:rPr>
              <w:t>Completed</w:t>
            </w:r>
          </w:p>
        </w:tc>
        <w:tc>
          <w:tcPr>
            <w:tcW w:type="dxa" w:w="5386"/>
          </w:tcPr>
          <w:p>
            <w:r>
              <w:rPr>
                <w:sz w:val="20"/>
              </w:rPr>
              <w:t>Automation: Windows Task Scheduler integration, anchor snapshots, live automation widget.</w:t>
            </w:r>
          </w:p>
        </w:tc>
      </w:tr>
      <w:tr>
        <w:tc>
          <w:tcPr>
            <w:tcW w:type="dxa" w:w="1134"/>
          </w:tcPr>
          <w:p>
            <w:r>
              <w:rPr>
                <w:sz w:val="20"/>
              </w:rPr>
              <w:t>Sprint 10</w:t>
            </w:r>
          </w:p>
        </w:tc>
        <w:tc>
          <w:tcPr>
            <w:tcW w:type="dxa" w:w="1134"/>
          </w:tcPr>
          <w:p>
            <w:r>
              <w:rPr>
                <w:sz w:val="20"/>
              </w:rPr>
              <w:t>Planned</w:t>
            </w:r>
          </w:p>
        </w:tc>
        <w:tc>
          <w:tcPr>
            <w:tcW w:type="dxa" w:w="5386"/>
          </w:tcPr>
          <w:p>
            <w:r>
              <w:rPr>
                <w:sz w:val="20"/>
              </w:rPr>
              <w:t>Reliability and resilience: failure recovery, backup snapshot writer, restore tooling, status banners.</w:t>
            </w:r>
          </w:p>
        </w:tc>
      </w:tr>
      <w:tr>
        <w:tc>
          <w:tcPr>
            <w:tcW w:type="dxa" w:w="1134"/>
          </w:tcPr>
          <w:p>
            <w:r>
              <w:rPr>
                <w:sz w:val="20"/>
              </w:rPr>
              <w:t>Sprint 11</w:t>
            </w:r>
          </w:p>
        </w:tc>
        <w:tc>
          <w:tcPr>
            <w:tcW w:type="dxa" w:w="1134"/>
          </w:tcPr>
          <w:p>
            <w:r>
              <w:rPr>
                <w:sz w:val="20"/>
              </w:rPr>
              <w:t>Planned</w:t>
            </w:r>
          </w:p>
        </w:tc>
        <w:tc>
          <w:tcPr>
            <w:tcW w:type="dxa" w:w="5386"/>
          </w:tcPr>
          <w:p>
            <w:r>
              <w:rPr>
                <w:sz w:val="20"/>
              </w:rPr>
              <w:t>Handover and final Phase 1 release: cleanup, secret hygiene, dependency lock, final visual review, adoption notes.</w:t>
            </w:r>
          </w:p>
        </w:tc>
      </w:tr>
    </w:tbl>
    <w:p/>
    <w:p>
      <w:pPr>
        <w:spacing w:after="160"/>
      </w:pPr>
      <w:r>
        <w:t>In plain terms: the project is no longer a concept or static prototype. It is a functioning internal platform with verified auth, live runtime ingestion, admin enrichment, runtime alerting, intelligence overlays, automatic refresh cycles, daily audit anchors, drift detection, and a documented recovery/handover safety net.</w:t>
      </w:r>
    </w:p>
    <w:p>
      <w:pPr>
        <w:pStyle w:val="Heading1"/>
      </w:pPr>
      <w:r>
        <w:rPr>
          <w:color w:val="1F3A5F"/>
        </w:rPr>
        <w:t>7. Management Time-Protection View</w:t>
      </w:r>
    </w:p>
    <w:p>
      <w:pPr>
        <w:spacing w:after="160"/>
      </w:pPr>
      <w:r>
        <w:t>This section provides a planning-level engineering estimate of where time has been invested and what remains in Phase 1. These figures are programme-level estimates intended to support management discussions about time investment. They are not a replacement for line-by-line timekeeping.</w:t>
      </w:r>
    </w:p>
    <w:p>
      <w:pPr>
        <w:pStyle w:val="Heading2"/>
      </w:pPr>
      <w:r>
        <w:rPr>
          <w:color w:val="2E4F7E"/>
        </w:rPr>
        <w:t>7.1 Delivered Effort Estimate (Phase 1)</w:t>
      </w:r>
    </w:p>
    <w:tbl>
      <w:tblPr>
        <w:tblStyle w:val="LightGrid-Accent1"/>
        <w:tblW w:type="auto" w:w="0"/>
        <w:tblLook w:firstColumn="1" w:firstRow="1" w:lastColumn="0" w:lastRow="0" w:noHBand="0" w:noVBand="1" w:val="04A0"/>
      </w:tblPr>
      <w:tblGrid>
        <w:gridCol w:w="4320"/>
        <w:gridCol w:w="4320"/>
      </w:tblGrid>
      <w:tr>
        <w:tc>
          <w:tcPr>
            <w:tcW w:type="dxa" w:w="5669"/>
          </w:tcPr>
          <w:p>
            <w:r>
              <w:rPr>
                <w:b/>
                <w:sz w:val="20"/>
              </w:rPr>
              <w:t>Delivered Work Area</w:t>
            </w:r>
          </w:p>
        </w:tc>
        <w:tc>
          <w:tcPr>
            <w:tcW w:type="dxa" w:w="1701"/>
          </w:tcPr>
          <w:p>
            <w:r>
              <w:rPr>
                <w:b/>
                <w:sz w:val="20"/>
              </w:rPr>
              <w:t>Estimated Hours</w:t>
            </w:r>
          </w:p>
        </w:tc>
      </w:tr>
      <w:tr>
        <w:tc>
          <w:tcPr>
            <w:tcW w:type="dxa" w:w="5669"/>
          </w:tcPr>
          <w:p>
            <w:r>
              <w:rPr>
                <w:sz w:val="20"/>
              </w:rPr>
              <w:t>Sprint 1 — Foundation setup</w:t>
            </w:r>
          </w:p>
        </w:tc>
        <w:tc>
          <w:tcPr>
            <w:tcW w:type="dxa" w:w="1701"/>
          </w:tcPr>
          <w:p>
            <w:r>
              <w:rPr>
                <w:sz w:val="20"/>
              </w:rPr>
              <w:t>12</w:t>
            </w:r>
          </w:p>
        </w:tc>
      </w:tr>
      <w:tr>
        <w:tc>
          <w:tcPr>
            <w:tcW w:type="dxa" w:w="5669"/>
          </w:tcPr>
          <w:p>
            <w:r>
              <w:rPr>
                <w:sz w:val="20"/>
              </w:rPr>
              <w:t>Sprint 2 — Data engine</w:t>
            </w:r>
          </w:p>
        </w:tc>
        <w:tc>
          <w:tcPr>
            <w:tcW w:type="dxa" w:w="1701"/>
          </w:tcPr>
          <w:p>
            <w:r>
              <w:rPr>
                <w:sz w:val="20"/>
              </w:rPr>
              <w:t>22</w:t>
            </w:r>
          </w:p>
        </w:tc>
      </w:tr>
      <w:tr>
        <w:tc>
          <w:tcPr>
            <w:tcW w:type="dxa" w:w="5669"/>
          </w:tcPr>
          <w:p>
            <w:r>
              <w:rPr>
                <w:sz w:val="20"/>
              </w:rPr>
              <w:t>Sprint 3 — Auth layer (live API)</w:t>
            </w:r>
          </w:p>
        </w:tc>
        <w:tc>
          <w:tcPr>
            <w:tcW w:type="dxa" w:w="1701"/>
          </w:tcPr>
          <w:p>
            <w:r>
              <w:rPr>
                <w:sz w:val="20"/>
              </w:rPr>
              <w:t>16</w:t>
            </w:r>
          </w:p>
        </w:tc>
      </w:tr>
      <w:tr>
        <w:tc>
          <w:tcPr>
            <w:tcW w:type="dxa" w:w="5669"/>
          </w:tcPr>
          <w:p>
            <w:r>
              <w:rPr>
                <w:sz w:val="20"/>
              </w:rPr>
              <w:t>Sprint 4 — Runtime migration</w:t>
            </w:r>
          </w:p>
        </w:tc>
        <w:tc>
          <w:tcPr>
            <w:tcW w:type="dxa" w:w="1701"/>
          </w:tcPr>
          <w:p>
            <w:r>
              <w:rPr>
                <w:sz w:val="20"/>
              </w:rPr>
              <w:t>14</w:t>
            </w:r>
          </w:p>
        </w:tc>
      </w:tr>
      <w:tr>
        <w:tc>
          <w:tcPr>
            <w:tcW w:type="dxa" w:w="5669"/>
          </w:tcPr>
          <w:p>
            <w:r>
              <w:rPr>
                <w:sz w:val="20"/>
              </w:rPr>
              <w:t>Sprint 5 — Admin API and enrichment</w:t>
            </w:r>
          </w:p>
        </w:tc>
        <w:tc>
          <w:tcPr>
            <w:tcW w:type="dxa" w:w="1701"/>
          </w:tcPr>
          <w:p>
            <w:r>
              <w:rPr>
                <w:sz w:val="20"/>
              </w:rPr>
              <w:t>18</w:t>
            </w:r>
          </w:p>
        </w:tc>
      </w:tr>
      <w:tr>
        <w:tc>
          <w:tcPr>
            <w:tcW w:type="dxa" w:w="5669"/>
          </w:tcPr>
          <w:p>
            <w:r>
              <w:rPr>
                <w:sz w:val="20"/>
              </w:rPr>
              <w:t>Sprint 6 — Alerting and intelligence</w:t>
            </w:r>
          </w:p>
        </w:tc>
        <w:tc>
          <w:tcPr>
            <w:tcW w:type="dxa" w:w="1701"/>
          </w:tcPr>
          <w:p>
            <w:r>
              <w:rPr>
                <w:sz w:val="20"/>
              </w:rPr>
              <w:t>24</w:t>
            </w:r>
          </w:p>
        </w:tc>
      </w:tr>
      <w:tr>
        <w:tc>
          <w:tcPr>
            <w:tcW w:type="dxa" w:w="5669"/>
          </w:tcPr>
          <w:p>
            <w:r>
              <w:rPr>
                <w:sz w:val="20"/>
              </w:rPr>
              <w:t>Sprint 7 — Governance and auto change tracking</w:t>
            </w:r>
          </w:p>
        </w:tc>
        <w:tc>
          <w:tcPr>
            <w:tcW w:type="dxa" w:w="1701"/>
          </w:tcPr>
          <w:p>
            <w:r>
              <w:rPr>
                <w:sz w:val="20"/>
              </w:rPr>
              <w:t>32</w:t>
            </w:r>
          </w:p>
        </w:tc>
      </w:tr>
      <w:tr>
        <w:tc>
          <w:tcPr>
            <w:tcW w:type="dxa" w:w="5669"/>
          </w:tcPr>
          <w:p>
            <w:r>
              <w:rPr>
                <w:sz w:val="20"/>
              </w:rPr>
              <w:t>Sprint 9 — Automation layer (Task Scheduler, anchors, widget)</w:t>
            </w:r>
          </w:p>
        </w:tc>
        <w:tc>
          <w:tcPr>
            <w:tcW w:type="dxa" w:w="1701"/>
          </w:tcPr>
          <w:p>
            <w:r>
              <w:rPr>
                <w:sz w:val="20"/>
              </w:rPr>
              <w:t>3</w:t>
            </w:r>
          </w:p>
        </w:tc>
      </w:tr>
      <w:tr>
        <w:tc>
          <w:tcPr>
            <w:tcW w:type="dxa" w:w="5669"/>
          </w:tcPr>
          <w:p>
            <w:r>
              <w:rPr>
                <w:sz w:val="20"/>
              </w:rPr>
              <w:t>Total Delivered (Phase 1)</w:t>
            </w:r>
          </w:p>
        </w:tc>
        <w:tc>
          <w:tcPr>
            <w:tcW w:type="dxa" w:w="1701"/>
          </w:tcPr>
          <w:p>
            <w:r>
              <w:rPr>
                <w:sz w:val="20"/>
              </w:rPr>
              <w:t>141 hours</w:t>
            </w:r>
          </w:p>
        </w:tc>
      </w:tr>
    </w:tbl>
    <w:p/>
    <w:p>
      <w:pPr>
        <w:spacing w:after="160"/>
      </w:pPr>
      <w:r>
        <w:t>Note: Sprint 9 was delivered in approximately 3 hours actual time versus an original estimate of 14 hours. This acceleration reflects the value of architectural decisions made in earlier sprints — extending capability becomes cheap when the foundation is correct.</w:t>
      </w:r>
    </w:p>
    <w:p>
      <w:pPr>
        <w:pStyle w:val="Heading2"/>
      </w:pPr>
      <w:r>
        <w:rPr>
          <w:color w:val="2E4F7E"/>
        </w:rPr>
        <w:t>7.2 Remaining Effort Estimate (Phase 1 Completion)</w:t>
      </w:r>
    </w:p>
    <w:tbl>
      <w:tblPr>
        <w:tblStyle w:val="LightGrid-Accent1"/>
        <w:tblW w:type="auto" w:w="0"/>
        <w:tblLook w:firstColumn="1" w:firstRow="1" w:lastColumn="0" w:lastRow="0" w:noHBand="0" w:noVBand="1" w:val="04A0"/>
      </w:tblPr>
      <w:tblGrid>
        <w:gridCol w:w="4320"/>
        <w:gridCol w:w="4320"/>
      </w:tblGrid>
      <w:tr>
        <w:tc>
          <w:tcPr>
            <w:tcW w:type="dxa" w:w="5669"/>
          </w:tcPr>
          <w:p>
            <w:r>
              <w:rPr>
                <w:b/>
                <w:sz w:val="20"/>
              </w:rPr>
              <w:t>Remaining Work Area</w:t>
            </w:r>
          </w:p>
        </w:tc>
        <w:tc>
          <w:tcPr>
            <w:tcW w:type="dxa" w:w="1701"/>
          </w:tcPr>
          <w:p>
            <w:r>
              <w:rPr>
                <w:b/>
                <w:sz w:val="20"/>
              </w:rPr>
              <w:t>Estimated Hours</w:t>
            </w:r>
          </w:p>
        </w:tc>
      </w:tr>
      <w:tr>
        <w:tc>
          <w:tcPr>
            <w:tcW w:type="dxa" w:w="5669"/>
          </w:tcPr>
          <w:p>
            <w:r>
              <w:rPr>
                <w:sz w:val="20"/>
              </w:rPr>
              <w:t>Sprint 8 — Frontend hardening (widget-style site cards, UX polish)</w:t>
            </w:r>
          </w:p>
        </w:tc>
        <w:tc>
          <w:tcPr>
            <w:tcW w:type="dxa" w:w="1701"/>
          </w:tcPr>
          <w:p>
            <w:r>
              <w:rPr>
                <w:sz w:val="20"/>
              </w:rPr>
              <w:t>16</w:t>
            </w:r>
          </w:p>
        </w:tc>
      </w:tr>
      <w:tr>
        <w:tc>
          <w:tcPr>
            <w:tcW w:type="dxa" w:w="5669"/>
          </w:tcPr>
          <w:p>
            <w:r>
              <w:rPr>
                <w:sz w:val="20"/>
              </w:rPr>
              <w:t>Sprint 10 — Reliability and resilience</w:t>
            </w:r>
          </w:p>
        </w:tc>
        <w:tc>
          <w:tcPr>
            <w:tcW w:type="dxa" w:w="1701"/>
          </w:tcPr>
          <w:p>
            <w:r>
              <w:rPr>
                <w:sz w:val="20"/>
              </w:rPr>
              <w:t>14</w:t>
            </w:r>
          </w:p>
        </w:tc>
      </w:tr>
      <w:tr>
        <w:tc>
          <w:tcPr>
            <w:tcW w:type="dxa" w:w="5669"/>
          </w:tcPr>
          <w:p>
            <w:r>
              <w:rPr>
                <w:sz w:val="20"/>
              </w:rPr>
              <w:t>Sprint 11 — Handover and final Phase 1 release</w:t>
            </w:r>
          </w:p>
        </w:tc>
        <w:tc>
          <w:tcPr>
            <w:tcW w:type="dxa" w:w="1701"/>
          </w:tcPr>
          <w:p>
            <w:r>
              <w:rPr>
                <w:sz w:val="20"/>
              </w:rPr>
              <w:t>26</w:t>
            </w:r>
          </w:p>
        </w:tc>
      </w:tr>
      <w:tr>
        <w:tc>
          <w:tcPr>
            <w:tcW w:type="dxa" w:w="5669"/>
          </w:tcPr>
          <w:p>
            <w:r>
              <w:rPr>
                <w:sz w:val="20"/>
              </w:rPr>
              <w:t>Phase 1 Remaining Total</w:t>
            </w:r>
          </w:p>
        </w:tc>
        <w:tc>
          <w:tcPr>
            <w:tcW w:type="dxa" w:w="1701"/>
          </w:tcPr>
          <w:p>
            <w:r>
              <w:rPr>
                <w:sz w:val="20"/>
              </w:rPr>
              <w:t>~56 hours</w:t>
            </w:r>
          </w:p>
        </w:tc>
      </w:tr>
    </w:tbl>
    <w:p/>
    <w:p>
      <w:pPr>
        <w:spacing w:after="160"/>
      </w:pPr>
      <w:r>
        <w:t>Phase 1 working full-lifecycle estimate: approximately 197 hours total. This is below the original estimate of 208 hours, reflecting the efficiency gains noted in Sprint 9.</w:t>
      </w:r>
    </w:p>
    <w:p>
      <w:pPr>
        <w:pStyle w:val="Heading1"/>
      </w:pPr>
      <w:r>
        <w:rPr>
          <w:color w:val="1F3A5F"/>
        </w:rPr>
        <w:t>8. Why the Time Investment Is Justified</w:t>
      </w:r>
    </w:p>
    <w:p>
      <w:pPr>
        <w:spacing w:after="160"/>
      </w:pPr>
      <w:r>
        <w:t>The Phase 1 platform has crossed every technically expensive milestone: authentication, runtime truth migration, admin enrichment, alerting, intelligence, self-governance, and automated operation. The remaining Phase 1 work is bounded, scoped, and lower-risk. Stopping the programme before the remaining polish, resilience, and handover work would strand the value already invested.</w:t>
      </w:r>
    </w:p>
    <w:p>
      <w:pPr>
        <w:pStyle w:val="ListBullet"/>
      </w:pPr>
      <w:r>
        <w:t>The platform has produced not only a dashboard but also a maintainable operating model with scripts, adapters, verification tooling, and a documented runtime chain.</w:t>
      </w:r>
    </w:p>
    <w:p>
      <w:pPr>
        <w:pStyle w:val="ListBullet"/>
      </w:pPr>
      <w:r>
        <w:t>The platform reduces manual operational checking across multiple Atlassian surfaces and creates a reusable internal control point.</w:t>
      </w:r>
    </w:p>
    <w:p>
      <w:pPr>
        <w:pStyle w:val="ListBullet"/>
      </w:pPr>
      <w:r>
        <w:t>The platform now provably self-operates through Windows Task Scheduler automation, removing the engineer as a manual operator.</w:t>
      </w:r>
    </w:p>
    <w:p>
      <w:pPr>
        <w:pStyle w:val="ListBullet"/>
      </w:pPr>
      <w:r>
        <w:t>Protecting time now avoids waste later: most of the technically expensive work has already been completed.</w:t>
      </w:r>
    </w:p>
    <w:p>
      <w:pPr>
        <w:pStyle w:val="ListBullet"/>
      </w:pPr>
      <w:r>
        <w:t>The documentation and runbook improvements materially reduce key-person dependency and support business continuity.</w:t>
      </w:r>
    </w:p>
    <w:p>
      <w:pPr>
        <w:pStyle w:val="ListBullet"/>
      </w:pPr>
      <w:r>
        <w:t>The platform demonstrates value that, per Section 12, could justify a multi-user Phase 2 expansion.</w:t>
      </w:r>
    </w:p>
    <w:p>
      <w:pPr>
        <w:pStyle w:val="Heading1"/>
      </w:pPr>
      <w:r>
        <w:rPr>
          <w:color w:val="1F3A5F"/>
        </w:rPr>
        <w:t>9. Risks, Constraints, and Mitigations</w:t>
      </w:r>
    </w:p>
    <w:p>
      <w:pPr>
        <w:spacing w:after="160"/>
      </w:pPr>
      <w:r>
        <w:t>The platform tracks risks at platform level rather than line-item level. The risks listed below are those that materially affect either delivery or continuity:</w:t>
      </w:r>
    </w:p>
    <w:tbl>
      <w:tblPr>
        <w:tblStyle w:val="LightGrid-Accent1"/>
        <w:tblW w:type="auto" w:w="0"/>
        <w:tblLook w:firstColumn="1" w:firstRow="1" w:lastColumn="0" w:lastRow="0" w:noHBand="0" w:noVBand="1" w:val="04A0"/>
      </w:tblPr>
      <w:tblGrid>
        <w:gridCol w:w="4320"/>
        <w:gridCol w:w="4320"/>
      </w:tblGrid>
      <w:tr>
        <w:tc>
          <w:tcPr>
            <w:tcW w:type="dxa" w:w="2835"/>
          </w:tcPr>
          <w:p>
            <w:r>
              <w:rPr>
                <w:b/>
                <w:sz w:val="20"/>
              </w:rPr>
              <w:t>Risk</w:t>
            </w:r>
          </w:p>
        </w:tc>
        <w:tc>
          <w:tcPr>
            <w:tcW w:type="dxa" w:w="4535"/>
          </w:tcPr>
          <w:p>
            <w:r>
              <w:rPr>
                <w:b/>
                <w:sz w:val="20"/>
              </w:rPr>
              <w:t>Current Mitigation</w:t>
            </w:r>
          </w:p>
        </w:tc>
      </w:tr>
      <w:tr>
        <w:tc>
          <w:tcPr>
            <w:tcW w:type="dxa" w:w="2835"/>
          </w:tcPr>
          <w:p>
            <w:r>
              <w:rPr>
                <w:sz w:val="20"/>
              </w:rPr>
              <w:t>Single-point-of-failure on the owning engineer</w:t>
            </w:r>
          </w:p>
        </w:tc>
        <w:tc>
          <w:tcPr>
            <w:tcW w:type="dxa" w:w="4535"/>
          </w:tcPr>
          <w:p>
            <w:r>
              <w:rPr>
                <w:sz w:val="20"/>
              </w:rPr>
              <w:t>Full governance and mechanics documentation pack, sync workflow, runbook, and audit trail.</w:t>
            </w:r>
          </w:p>
        </w:tc>
      </w:tr>
      <w:tr>
        <w:tc>
          <w:tcPr>
            <w:tcW w:type="dxa" w:w="2835"/>
          </w:tcPr>
          <w:p>
            <w:r>
              <w:rPr>
                <w:sz w:val="20"/>
              </w:rPr>
              <w:t>Permission-limited or partial API failures</w:t>
            </w:r>
          </w:p>
        </w:tc>
        <w:tc>
          <w:tcPr>
            <w:tcW w:type="dxa" w:w="4535"/>
          </w:tcPr>
          <w:p>
            <w:r>
              <w:rPr>
                <w:sz w:val="20"/>
              </w:rPr>
              <w:t>Collector and runtime model preserve partial findings; alert and intelligence layers continue on remaining data.</w:t>
            </w:r>
          </w:p>
        </w:tc>
      </w:tr>
      <w:tr>
        <w:tc>
          <w:tcPr>
            <w:tcW w:type="dxa" w:w="2835"/>
          </w:tcPr>
          <w:p>
            <w:r>
              <w:rPr>
                <w:sz w:val="20"/>
              </w:rPr>
              <w:t>UI regressions during change</w:t>
            </w:r>
          </w:p>
        </w:tc>
        <w:tc>
          <w:tcPr>
            <w:tcW w:type="dxa" w:w="4535"/>
          </w:tcPr>
          <w:p>
            <w:r>
              <w:rPr>
                <w:sz w:val="20"/>
              </w:rPr>
              <w:t>Sprint-isolated changes, runtime contract validator, snapshot-based rollback, tagged release anchors.</w:t>
            </w:r>
          </w:p>
        </w:tc>
      </w:tr>
      <w:tr>
        <w:tc>
          <w:tcPr>
            <w:tcW w:type="dxa" w:w="2835"/>
          </w:tcPr>
          <w:p>
            <w:r>
              <w:rPr>
                <w:sz w:val="20"/>
              </w:rPr>
              <w:t>Data confidence and parity</w:t>
            </w:r>
          </w:p>
        </w:tc>
        <w:tc>
          <w:tcPr>
            <w:tcW w:type="dxa" w:w="4535"/>
          </w:tcPr>
          <w:p>
            <w:r>
              <w:rPr>
                <w:sz w:val="20"/>
              </w:rPr>
              <w:t>Remaining roadmap includes parity checks and threshold tuning against operational expectations.</w:t>
            </w:r>
          </w:p>
        </w:tc>
      </w:tr>
      <w:tr>
        <w:tc>
          <w:tcPr>
            <w:tcW w:type="dxa" w:w="2835"/>
          </w:tcPr>
          <w:p>
            <w:r>
              <w:rPr>
                <w:sz w:val="20"/>
              </w:rPr>
              <w:t>Knowledge transfer difficulty</w:t>
            </w:r>
          </w:p>
        </w:tc>
        <w:tc>
          <w:tcPr>
            <w:tcW w:type="dxa" w:w="4535"/>
          </w:tcPr>
          <w:p>
            <w:r>
              <w:rPr>
                <w:sz w:val="20"/>
              </w:rPr>
              <w:t>Documentation pack and audit trail provide written context for successor engineers.</w:t>
            </w:r>
          </w:p>
        </w:tc>
      </w:tr>
      <w:tr>
        <w:tc>
          <w:tcPr>
            <w:tcW w:type="dxa" w:w="2835"/>
          </w:tcPr>
          <w:p>
            <w:r>
              <w:rPr>
                <w:sz w:val="20"/>
              </w:rPr>
              <w:t>Phase 2 scope creep</w:t>
            </w:r>
          </w:p>
        </w:tc>
        <w:tc>
          <w:tcPr>
            <w:tcW w:type="dxa" w:w="4535"/>
          </w:tcPr>
          <w:p>
            <w:r>
              <w:rPr>
                <w:sz w:val="20"/>
              </w:rPr>
              <w:t>Strategic direction explicitly documented; Phase 2 requires explicit senior management approval; dormant scaffolding limits transition cost.</w:t>
            </w:r>
          </w:p>
        </w:tc>
      </w:tr>
      <w:tr>
        <w:tc>
          <w:tcPr>
            <w:tcW w:type="dxa" w:w="2835"/>
          </w:tcPr>
          <w:p>
            <w:r>
              <w:rPr>
                <w:sz w:val="20"/>
              </w:rPr>
              <w:t>Stakeholder expectations exceeding Phase 1 capability</w:t>
            </w:r>
          </w:p>
        </w:tc>
        <w:tc>
          <w:tcPr>
            <w:tcW w:type="dxa" w:w="4535"/>
          </w:tcPr>
          <w:p>
            <w:r>
              <w:rPr>
                <w:sz w:val="20"/>
              </w:rPr>
              <w:t>This document explicitly frames Phase 1 as single-user. Multi-user access requires Phase 2 sanction.</w:t>
            </w:r>
          </w:p>
        </w:tc>
      </w:tr>
    </w:tbl>
    <w:p/>
    <w:p>
      <w:pPr>
        <w:pStyle w:val="Heading1"/>
      </w:pPr>
      <w:r>
        <w:rPr>
          <w:color w:val="1F3A5F"/>
        </w:rPr>
        <w:t>10. Current Runbook / How Another Engineer Can Operate It</w:t>
      </w:r>
    </w:p>
    <w:p>
      <w:pPr>
        <w:spacing w:after="160"/>
      </w:pPr>
      <w:r>
        <w:t>The platform now operates with minimal human intervention. The following runbook describes the operating model for a successor engineer:</w:t>
      </w:r>
    </w:p>
    <w:p>
      <w:pPr>
        <w:pStyle w:val="ListBullet"/>
      </w:pPr>
      <w:r>
        <w:t>Windows Task Scheduler automatically runs the sync orchestrator every 10 minutes via scripts/run_sync_for_scheduler.cmd.</w:t>
      </w:r>
    </w:p>
    <w:p>
      <w:pPr>
        <w:pStyle w:val="ListBullet"/>
      </w:pPr>
      <w:r>
        <w:t>Start Flask in a separate terminal with python web.py to serve the dashboard at http://127.0.0.1:5000.</w:t>
      </w:r>
    </w:p>
    <w:p>
      <w:pPr>
        <w:pStyle w:val="ListBullet"/>
      </w:pPr>
      <w:r>
        <w:t>Validate platform health via .\scripts\check_scheduled_sync.ps1 — confirms task status, last result, log tail.</w:t>
      </w:r>
    </w:p>
    <w:p>
      <w:pPr>
        <w:pStyle w:val="ListBullet"/>
      </w:pPr>
      <w:r>
        <w:t>View clean sync logs via .\scripts\view_sync_log.ps1 — handles UTF-8 properly.</w:t>
      </w:r>
    </w:p>
    <w:p>
      <w:pPr>
        <w:pStyle w:val="ListBullet"/>
      </w:pPr>
      <w:r>
        <w:t>Confirm source progression and health: runtime -&gt; alerted -&gt; intelligence as appropriate.</w:t>
      </w:r>
    </w:p>
    <w:p>
      <w:pPr>
        <w:pStyle w:val="ListBullet"/>
      </w:pPr>
      <w:r>
        <w:t>Use the safe cleanup preview before any quarantine move.</w:t>
      </w:r>
    </w:p>
    <w:p>
      <w:pPr>
        <w:pStyle w:val="ListBullet"/>
      </w:pPr>
      <w:r>
        <w:t>Use one-off scripts (run_alert_rules_once.ps1, run_intelligence_rules_once.ps1) for focused testing before changing the full loop.</w:t>
      </w:r>
    </w:p>
    <w:p>
      <w:pPr>
        <w:pStyle w:val="ListBullet"/>
      </w:pPr>
      <w:r>
        <w:t>Daily anchor snapshots automatically created at 07:55-08:05 and 19:55-20:05 windows for audit continuity.</w:t>
      </w:r>
    </w:p>
    <w:p>
      <w:pPr>
        <w:spacing w:after="160"/>
      </w:pPr>
      <w:r>
        <w:t>Minimum verification sequence for another engineer:</w:t>
      </w:r>
    </w:p>
    <w:p>
      <w:pPr>
        <w:pStyle w:val="ListBullet"/>
      </w:pPr>
      <w:r>
        <w:t>Confirm the Windows scheduled task JOM_Sync_Runtime is registered and Ready.</w:t>
      </w:r>
    </w:p>
    <w:p>
      <w:pPr>
        <w:pStyle w:val="ListBullet"/>
      </w:pPr>
      <w:r>
        <w:t>Confirm .\scripts\check_scheduled_sync.ps1 reports Last Result: 0 and recent successful runs.</w:t>
      </w:r>
    </w:p>
    <w:p>
      <w:pPr>
        <w:pStyle w:val="ListBullet"/>
      </w:pPr>
      <w:r>
        <w:t>Start the web application with python web.py.</w:t>
      </w:r>
    </w:p>
    <w:p>
      <w:pPr>
        <w:pStyle w:val="ListBullet"/>
      </w:pPr>
      <w:r>
        <w:t>Confirm /api/source-state returns auto_sync_active: true and source_file: latest_run_intelligence.json.</w:t>
      </w:r>
    </w:p>
    <w:p>
      <w:pPr>
        <w:pStyle w:val="ListBullet"/>
      </w:pPr>
      <w:r>
        <w:t>Confirm /api/data returns expected estate, alert, and intelligence sections.</w:t>
      </w:r>
    </w:p>
    <w:p>
      <w:pPr>
        <w:pStyle w:val="ListBullet"/>
      </w:pPr>
      <w:r>
        <w:t>Confirm homepage, estate, reference, and at least one detail page render correctly.</w:t>
      </w:r>
    </w:p>
    <w:p>
      <w:pPr>
        <w:pStyle w:val="ListBullet"/>
      </w:pPr>
      <w:r>
        <w:t>Confirm the live runtime widget shows current 'Last sync' age, 'Auto sync' status, and 'Today' anchor indicators.</w:t>
      </w:r>
    </w:p>
    <w:p>
      <w:pPr>
        <w:pStyle w:val="Heading1"/>
      </w:pPr>
      <w:r>
        <w:rPr>
          <w:color w:val="1F3A5F"/>
        </w:rPr>
        <w:t>11. Remaining Roadmap to Phase 1 Completion</w:t>
      </w:r>
    </w:p>
    <w:p>
      <w:pPr>
        <w:spacing w:after="160"/>
      </w:pPr>
      <w:r>
        <w:t>Phase 1 completion is achieved with the delivery of Sprints 8, 10, and 11. The remaining work is focused and bounded:</w:t>
      </w:r>
    </w:p>
    <w:p>
      <w:pPr>
        <w:pStyle w:val="ListBullet"/>
      </w:pPr>
      <w:r>
        <w:t>Sprint 8 — Frontend Hardening: widget-style site cards using the established design language, drilldown UX improvements, performance tuning, mobile responsiveness, and empty state handling.</w:t>
      </w:r>
    </w:p>
    <w:p>
      <w:pPr>
        <w:pStyle w:val="ListBullet"/>
      </w:pPr>
      <w:r>
        <w:t>Sprint 10 — Reliability and Resilience: failure recovery patterns for transient API errors, backup snapshot writer to a secondary local location, restore tooling for rolling back to a prior runtime payload, permission failure handling per site, status banners for degraded modes.</w:t>
      </w:r>
    </w:p>
    <w:p>
      <w:pPr>
        <w:pStyle w:val="ListBullet"/>
      </w:pPr>
      <w:r>
        <w:t>Sprint 11 — Handover and Final Phase 1 Release: final cleanup of unused files, final secret hygiene review and rotation guidance, final dependency lock, final visual review pass, final handover pack consolidation, and adoption notes for stakeholders.</w:t>
      </w:r>
    </w:p>
    <w:p>
      <w:pPr>
        <w:spacing w:after="160"/>
      </w:pPr>
      <w:r>
        <w:t>Recommended completion order: Sprint 8 first (highest visible value), then Sprint 10 (operational resilience), then Sprint 11 (final polish and handover).</w:t>
      </w:r>
    </w:p>
    <w:p>
      <w:pPr>
        <w:pStyle w:val="Heading1"/>
      </w:pPr>
      <w:r>
        <w:rPr>
          <w:color w:val="1F3A5F"/>
        </w:rPr>
        <w:t>12. Strategic Direction — Phase 1 to Phase 2 Evolution</w:t>
      </w:r>
    </w:p>
    <w:p>
      <w:pPr>
        <w:pStyle w:val="Heading2"/>
      </w:pPr>
      <w:r>
        <w:rPr>
          <w:color w:val="2E4F7E"/>
        </w:rPr>
        <w:t>12.1 Strategic Context</w:t>
      </w:r>
    </w:p>
    <w:p>
      <w:pPr>
        <w:spacing w:after="160"/>
      </w:pPr>
      <w:r>
        <w:t>The Jira Observation Monitor was originally scoped as a single-user operational intelligence platform for GLI's Atlassian estate. As of June 2026, it operates as a fully governed, self-validating, audit-ready internal tool with 9 sprints delivered and approximately 141 hours of engineering effort invested.</w:t>
      </w:r>
    </w:p>
    <w:p>
      <w:pPr>
        <w:spacing w:after="160"/>
      </w:pPr>
      <w:r>
        <w:t>During the platform's evolution, it became clear that the value of operational visibility extends beyond a single engineer. A user-base analysis identified 13 internal stakeholders (count growing) across four access tiers who would benefit from JOM's outputs.</w:t>
      </w:r>
    </w:p>
    <w:p>
      <w:pPr>
        <w:spacing w:after="160"/>
      </w:pPr>
      <w:r>
        <w:t>A critical finding emerged from this analysis: a meaningful proportion of identified stakeholders do not hold Atlassian admin permissions, meaning they cannot operate JOM in its current single-user configuration. This constraint informs the architectural direction for Phase 2 and is the primary justification for the centralised server architecture described in this section.</w:t>
      </w:r>
    </w:p>
    <w:p>
      <w:pPr>
        <w:pStyle w:val="Heading2"/>
      </w:pPr>
      <w:r>
        <w:rPr>
          <w:color w:val="2E4F7E"/>
        </w:rPr>
        <w:t>12.2 Two-Phase Strategy</w:t>
      </w:r>
    </w:p>
    <w:p>
      <w:pPr>
        <w:spacing w:after="160"/>
      </w:pPr>
      <w:r>
        <w:t>The platform's evolution is structured as a deliberate two-phase strategy. This structure is intentional: it allows Phase 1 to serve as the proof-of-concept that justifies the investment required for Phase 2.</w:t>
      </w:r>
    </w:p>
    <w:p>
      <w:pPr>
        <w:spacing w:after="160"/>
      </w:pPr>
      <w:r>
        <w:t>Phase 1 (Current — June 2026): Single-User Platform. Fully operational and self-governing. Read-only architecture verified. Audit trail in place. Automated 10-minute sync cycle. Daily anchor snapshots for compliance evidence. This phase establishes the foundation that Phase 2 expansion will build upon.</w:t>
      </w:r>
    </w:p>
    <w:p>
      <w:pPr>
        <w:spacing w:after="160"/>
      </w:pPr>
      <w:r>
        <w:t>Phase 2 (Future Sprint — No Committed Date): Multi-User Centralised Platform. Centralised server deployment replacing per-user laptop install. Microsoft Entra ID SSO integration. User access management with allow-list. Audit logging of access events. Single Atlassian connection using approved admin token. Estimated 110 hours across 4-5 sprints. Pending business case approval from senior management.</w:t>
      </w:r>
    </w:p>
    <w:p>
      <w:pPr>
        <w:pStyle w:val="Heading2"/>
      </w:pPr>
      <w:r>
        <w:rPr>
          <w:color w:val="2E4F7E"/>
        </w:rPr>
        <w:t>12.3 Identified User Base</w:t>
      </w:r>
    </w:p>
    <w:p>
      <w:pPr>
        <w:spacing w:after="160"/>
      </w:pPr>
      <w:r>
        <w:t>The Phase 2 user base analysis identified the following tiers. User identities have been anonymised for documentation purposes and grouped by access tier rather than named individually:</w:t>
      </w:r>
    </w:p>
    <w:tbl>
      <w:tblPr>
        <w:tblStyle w:val="LightGrid-Accent1"/>
        <w:tblW w:type="auto" w:w="0"/>
        <w:tblLook w:firstColumn="1" w:firstRow="1" w:lastColumn="0" w:lastRow="0" w:noHBand="0" w:noVBand="1" w:val="04A0"/>
      </w:tblPr>
      <w:tblGrid>
        <w:gridCol w:w="2880"/>
        <w:gridCol w:w="2880"/>
        <w:gridCol w:w="2880"/>
      </w:tblGrid>
      <w:tr>
        <w:tc>
          <w:tcPr>
            <w:tcW w:type="dxa" w:w="1134"/>
          </w:tcPr>
          <w:p>
            <w:r>
              <w:rPr>
                <w:b/>
                <w:sz w:val="20"/>
              </w:rPr>
              <w:t>Tier</w:t>
            </w:r>
          </w:p>
        </w:tc>
        <w:tc>
          <w:tcPr>
            <w:tcW w:type="dxa" w:w="4535"/>
          </w:tcPr>
          <w:p>
            <w:r>
              <w:rPr>
                <w:b/>
                <w:sz w:val="20"/>
              </w:rPr>
              <w:t>Description</w:t>
            </w:r>
          </w:p>
        </w:tc>
        <w:tc>
          <w:tcPr>
            <w:tcW w:type="dxa" w:w="1701"/>
          </w:tcPr>
          <w:p>
            <w:r>
              <w:rPr>
                <w:b/>
                <w:sz w:val="20"/>
              </w:rPr>
              <w:t>Count</w:t>
            </w:r>
          </w:p>
        </w:tc>
      </w:tr>
      <w:tr>
        <w:tc>
          <w:tcPr>
            <w:tcW w:type="dxa" w:w="1134"/>
          </w:tcPr>
          <w:p>
            <w:r>
              <w:rPr>
                <w:sz w:val="20"/>
              </w:rPr>
              <w:t>Tier 1</w:t>
            </w:r>
          </w:p>
        </w:tc>
        <w:tc>
          <w:tcPr>
            <w:tcW w:type="dxa" w:w="4535"/>
          </w:tcPr>
          <w:p>
            <w:r>
              <w:rPr>
                <w:sz w:val="20"/>
              </w:rPr>
              <w:t>Organisation Admins</w:t>
            </w:r>
          </w:p>
        </w:tc>
        <w:tc>
          <w:tcPr>
            <w:tcW w:type="dxa" w:w="1701"/>
          </w:tcPr>
          <w:p>
            <w:r>
              <w:rPr>
                <w:sz w:val="20"/>
              </w:rPr>
              <w:t>3 users</w:t>
            </w:r>
          </w:p>
        </w:tc>
      </w:tr>
      <w:tr>
        <w:tc>
          <w:tcPr>
            <w:tcW w:type="dxa" w:w="1134"/>
          </w:tcPr>
          <w:p>
            <w:r>
              <w:rPr>
                <w:sz w:val="20"/>
              </w:rPr>
              <w:t>Tier 2</w:t>
            </w:r>
          </w:p>
        </w:tc>
        <w:tc>
          <w:tcPr>
            <w:tcW w:type="dxa" w:w="4535"/>
          </w:tcPr>
          <w:p>
            <w:r>
              <w:rPr>
                <w:sz w:val="20"/>
              </w:rPr>
              <w:t>User Access Admins</w:t>
            </w:r>
          </w:p>
        </w:tc>
        <w:tc>
          <w:tcPr>
            <w:tcW w:type="dxa" w:w="1701"/>
          </w:tcPr>
          <w:p>
            <w:r>
              <w:rPr>
                <w:sz w:val="20"/>
              </w:rPr>
              <w:t>4 users</w:t>
            </w:r>
          </w:p>
        </w:tc>
      </w:tr>
      <w:tr>
        <w:tc>
          <w:tcPr>
            <w:tcW w:type="dxa" w:w="1134"/>
          </w:tcPr>
          <w:p>
            <w:r>
              <w:rPr>
                <w:sz w:val="20"/>
              </w:rPr>
              <w:t>Tier 3</w:t>
            </w:r>
          </w:p>
        </w:tc>
        <w:tc>
          <w:tcPr>
            <w:tcW w:type="dxa" w:w="4535"/>
          </w:tcPr>
          <w:p>
            <w:r>
              <w:rPr>
                <w:sz w:val="20"/>
              </w:rPr>
              <w:t>Standard Users</w:t>
            </w:r>
          </w:p>
        </w:tc>
        <w:tc>
          <w:tcPr>
            <w:tcW w:type="dxa" w:w="1701"/>
          </w:tcPr>
          <w:p>
            <w:r>
              <w:rPr>
                <w:sz w:val="20"/>
              </w:rPr>
              <w:t>5 users</w:t>
            </w:r>
          </w:p>
        </w:tc>
      </w:tr>
      <w:tr>
        <w:tc>
          <w:tcPr>
            <w:tcW w:type="dxa" w:w="1134"/>
          </w:tcPr>
          <w:p>
            <w:r>
              <w:rPr>
                <w:sz w:val="20"/>
              </w:rPr>
              <w:t>Tier 4</w:t>
            </w:r>
          </w:p>
        </w:tc>
        <w:tc>
          <w:tcPr>
            <w:tcW w:type="dxa" w:w="4535"/>
          </w:tcPr>
          <w:p>
            <w:r>
              <w:rPr>
                <w:sz w:val="20"/>
              </w:rPr>
              <w:t>Service Accounts</w:t>
            </w:r>
          </w:p>
        </w:tc>
        <w:tc>
          <w:tcPr>
            <w:tcW w:type="dxa" w:w="1701"/>
          </w:tcPr>
          <w:p>
            <w:r>
              <w:rPr>
                <w:sz w:val="20"/>
              </w:rPr>
              <w:t>1 account</w:t>
            </w:r>
          </w:p>
        </w:tc>
      </w:tr>
      <w:tr>
        <w:tc>
          <w:tcPr>
            <w:tcW w:type="dxa" w:w="1134"/>
          </w:tcPr>
          <w:p>
            <w:r>
              <w:rPr>
                <w:sz w:val="20"/>
              </w:rPr>
              <w:t>Total</w:t>
            </w:r>
          </w:p>
        </w:tc>
        <w:tc>
          <w:tcPr>
            <w:tcW w:type="dxa" w:w="4535"/>
          </w:tcPr>
          <w:p>
            <w:r>
              <w:rPr>
                <w:sz w:val="20"/>
              </w:rPr>
            </w:r>
          </w:p>
        </w:tc>
        <w:tc>
          <w:tcPr>
            <w:tcW w:type="dxa" w:w="1701"/>
          </w:tcPr>
          <w:p>
            <w:r>
              <w:rPr>
                <w:sz w:val="20"/>
              </w:rPr>
              <w:t>13 identified, growing</w:t>
            </w:r>
          </w:p>
        </w:tc>
      </w:tr>
    </w:tbl>
    <w:p/>
    <w:p>
      <w:pPr>
        <w:spacing w:after="160"/>
      </w:pPr>
      <w:r>
        <w:t>Tiers 1 and 2 hold administrative permissions that would allow them to operate JOM independently in single-user mode. Tier 3 users (a meaningful proportion of the identified base) do not hold Atlassian admin permissions and could not operate JOM in single-user mode. Tier 4 represents service-account integration use cases.</w:t>
      </w:r>
    </w:p>
    <w:p>
      <w:pPr>
        <w:pStyle w:val="Heading2"/>
      </w:pPr>
      <w:r>
        <w:rPr>
          <w:color w:val="2E4F7E"/>
        </w:rPr>
        <w:t>12.4 Why Architecture B (Centralised Server) Over Architecture A (Per-User Install)</w:t>
      </w:r>
    </w:p>
    <w:p>
      <w:pPr>
        <w:spacing w:after="160"/>
      </w:pPr>
      <w:r>
        <w:t>Two architectural options were evaluated for Phase 2:</w:t>
      </w:r>
    </w:p>
    <w:p>
      <w:pPr>
        <w:spacing w:after="160"/>
      </w:pPr>
      <w:r>
        <w:t>Architecture A — Per-User Desktop Install. Each user would install JOM on their own laptop with their own Atlassian credentials. This approach was rejected for the following reasons:</w:t>
      </w:r>
    </w:p>
    <w:p>
      <w:pPr>
        <w:pStyle w:val="ListBullet"/>
      </w:pPr>
      <w:r>
        <w:t>A meaningful proportion of identified users do not hold Atlassian admin permissions and could not authenticate.</w:t>
      </w:r>
    </w:p>
    <w:p>
      <w:pPr>
        <w:pStyle w:val="ListBullet"/>
      </w:pPr>
      <w:r>
        <w:t>Per-user installs would multiply API consumption against Atlassian rate limits.</w:t>
      </w:r>
    </w:p>
    <w:p>
      <w:pPr>
        <w:pStyle w:val="ListBullet"/>
      </w:pPr>
      <w:r>
        <w:t>No shared truth across users (each user would see a different snapshot of the estate).</w:t>
      </w:r>
    </w:p>
    <w:p>
      <w:pPr>
        <w:pStyle w:val="ListBullet"/>
      </w:pPr>
      <w:r>
        <w:t>Update distribution would become a manual operational burden across 13+ laptops.</w:t>
      </w:r>
    </w:p>
    <w:p>
      <w:pPr>
        <w:pStyle w:val="ListBullet"/>
      </w:pPr>
      <w:r>
        <w:t>Conflicts with the principle of one auditable source of truth.</w:t>
      </w:r>
    </w:p>
    <w:p>
      <w:pPr>
        <w:spacing w:after="160"/>
      </w:pPr>
      <w:r>
        <w:t>Architecture B — Centralised Server with SSO. A single JOM server runs centrally. Users authenticate via Microsoft Entra ID SSO and view shared data. This approach was selected for the following reasons:</w:t>
      </w:r>
    </w:p>
    <w:p>
      <w:pPr>
        <w:pStyle w:val="ListBullet"/>
      </w:pPr>
      <w:r>
        <w:t>Supports users without Atlassian admin permissions — they authenticate to JOM, not to Atlassian.</w:t>
      </w:r>
    </w:p>
    <w:p>
      <w:pPr>
        <w:pStyle w:val="ListBullet"/>
      </w:pPr>
      <w:r>
        <w:t>Single Atlassian connection using a controlled admin token, friendly to rate limits.</w:t>
      </w:r>
    </w:p>
    <w:p>
      <w:pPr>
        <w:pStyle w:val="ListBullet"/>
      </w:pPr>
      <w:r>
        <w:t>Shared source of truth across all stakeholders — everyone sees the same view.</w:t>
      </w:r>
    </w:p>
    <w:p>
      <w:pPr>
        <w:pStyle w:val="ListBullet"/>
      </w:pPr>
      <w:r>
        <w:t>One platform to update, one audit log to review.</w:t>
      </w:r>
    </w:p>
    <w:p>
      <w:pPr>
        <w:pStyle w:val="ListBullet"/>
      </w:pPr>
      <w:r>
        <w:t>Aligns with enterprise application patterns familiar to GLI IT.</w:t>
      </w:r>
    </w:p>
    <w:p>
      <w:pPr>
        <w:pStyle w:val="ListBullet"/>
      </w:pPr>
      <w:r>
        <w:t>Compatible with existing GLI identity management (Microsoft Entra ID).</w:t>
      </w:r>
    </w:p>
    <w:p>
      <w:pPr>
        <w:pStyle w:val="ListBullet"/>
      </w:pPr>
      <w:r>
        <w:t>Supports future expansion to additional user tiers without architectural change.</w:t>
      </w:r>
    </w:p>
    <w:p>
      <w:pPr>
        <w:pStyle w:val="Heading2"/>
      </w:pPr>
      <w:r>
        <w:rPr>
          <w:color w:val="2E4F7E"/>
        </w:rPr>
        <w:t>12.5 Phase 2 Sprint Plan (Indicative)</w:t>
      </w:r>
    </w:p>
    <w:p>
      <w:pPr>
        <w:spacing w:after="160"/>
      </w:pPr>
      <w:r>
        <w:t>The Phase 2 expansion is scoped across 4-5 sprints, estimated at approximately 110 engineering hours. These estimates are indicative and subject to refinement at the point of Phase 2 sanction:</w:t>
      </w:r>
    </w:p>
    <w:tbl>
      <w:tblPr>
        <w:tblStyle w:val="LightGrid-Accent1"/>
        <w:tblW w:type="auto" w:w="0"/>
        <w:tblLook w:firstColumn="1" w:firstRow="1" w:lastColumn="0" w:lastRow="0" w:noHBand="0" w:noVBand="1" w:val="04A0"/>
      </w:tblPr>
      <w:tblGrid>
        <w:gridCol w:w="2880"/>
        <w:gridCol w:w="2880"/>
        <w:gridCol w:w="2880"/>
      </w:tblGrid>
      <w:tr>
        <w:tc>
          <w:tcPr>
            <w:tcW w:type="dxa" w:w="1984"/>
          </w:tcPr>
          <w:p>
            <w:r>
              <w:rPr>
                <w:b/>
                <w:sz w:val="20"/>
              </w:rPr>
              <w:t>Sprint</w:t>
            </w:r>
          </w:p>
        </w:tc>
        <w:tc>
          <w:tcPr>
            <w:tcW w:type="dxa" w:w="3969"/>
          </w:tcPr>
          <w:p>
            <w:r>
              <w:rPr>
                <w:b/>
                <w:sz w:val="20"/>
              </w:rPr>
              <w:t>Focus</w:t>
            </w:r>
          </w:p>
        </w:tc>
        <w:tc>
          <w:tcPr>
            <w:tcW w:type="dxa" w:w="1701"/>
          </w:tcPr>
          <w:p>
            <w:r>
              <w:rPr>
                <w:b/>
                <w:sz w:val="20"/>
              </w:rPr>
              <w:t>Estimated Effort</w:t>
            </w:r>
          </w:p>
        </w:tc>
      </w:tr>
      <w:tr>
        <w:tc>
          <w:tcPr>
            <w:tcW w:type="dxa" w:w="1984"/>
          </w:tcPr>
          <w:p>
            <w:r>
              <w:rPr>
                <w:sz w:val="20"/>
              </w:rPr>
              <w:t>Phase 2 — Sprint A</w:t>
            </w:r>
          </w:p>
        </w:tc>
        <w:tc>
          <w:tcPr>
            <w:tcW w:type="dxa" w:w="3969"/>
          </w:tcPr>
          <w:p>
            <w:r>
              <w:rPr>
                <w:sz w:val="20"/>
              </w:rPr>
              <w:t>Server preparation, deployment scripts, environment setup</w:t>
            </w:r>
          </w:p>
        </w:tc>
        <w:tc>
          <w:tcPr>
            <w:tcW w:type="dxa" w:w="1701"/>
          </w:tcPr>
          <w:p>
            <w:r>
              <w:rPr>
                <w:sz w:val="20"/>
              </w:rPr>
              <w:t>~20 hours</w:t>
            </w:r>
          </w:p>
        </w:tc>
      </w:tr>
      <w:tr>
        <w:tc>
          <w:tcPr>
            <w:tcW w:type="dxa" w:w="1984"/>
          </w:tcPr>
          <w:p>
            <w:r>
              <w:rPr>
                <w:sz w:val="20"/>
              </w:rPr>
              <w:t>Phase 2 — Sprint B</w:t>
            </w:r>
          </w:p>
        </w:tc>
        <w:tc>
          <w:tcPr>
            <w:tcW w:type="dxa" w:w="3969"/>
          </w:tcPr>
          <w:p>
            <w:r>
              <w:rPr>
                <w:sz w:val="20"/>
              </w:rPr>
              <w:t>Microsoft Entra ID SSO integration</w:t>
            </w:r>
          </w:p>
        </w:tc>
        <w:tc>
          <w:tcPr>
            <w:tcW w:type="dxa" w:w="1701"/>
          </w:tcPr>
          <w:p>
            <w:r>
              <w:rPr>
                <w:sz w:val="20"/>
              </w:rPr>
              <w:t>~30 hours</w:t>
            </w:r>
          </w:p>
        </w:tc>
      </w:tr>
      <w:tr>
        <w:tc>
          <w:tcPr>
            <w:tcW w:type="dxa" w:w="1984"/>
          </w:tcPr>
          <w:p>
            <w:r>
              <w:rPr>
                <w:sz w:val="20"/>
              </w:rPr>
              <w:t>Phase 2 — Sprint C</w:t>
            </w:r>
          </w:p>
        </w:tc>
        <w:tc>
          <w:tcPr>
            <w:tcW w:type="dxa" w:w="3969"/>
          </w:tcPr>
          <w:p>
            <w:r>
              <w:rPr>
                <w:sz w:val="20"/>
              </w:rPr>
              <w:t>User access management interface and allow-list</w:t>
            </w:r>
          </w:p>
        </w:tc>
        <w:tc>
          <w:tcPr>
            <w:tcW w:type="dxa" w:w="1701"/>
          </w:tcPr>
          <w:p>
            <w:r>
              <w:rPr>
                <w:sz w:val="20"/>
              </w:rPr>
              <w:t>~20 hours</w:t>
            </w:r>
          </w:p>
        </w:tc>
      </w:tr>
      <w:tr>
        <w:tc>
          <w:tcPr>
            <w:tcW w:type="dxa" w:w="1984"/>
          </w:tcPr>
          <w:p>
            <w:r>
              <w:rPr>
                <w:sz w:val="20"/>
              </w:rPr>
              <w:t>Phase 2 — Sprint D</w:t>
            </w:r>
          </w:p>
        </w:tc>
        <w:tc>
          <w:tcPr>
            <w:tcW w:type="dxa" w:w="3969"/>
          </w:tcPr>
          <w:p>
            <w:r>
              <w:rPr>
                <w:sz w:val="20"/>
              </w:rPr>
              <w:t>Audit logging and access event capture</w:t>
            </w:r>
          </w:p>
        </w:tc>
        <w:tc>
          <w:tcPr>
            <w:tcW w:type="dxa" w:w="1701"/>
          </w:tcPr>
          <w:p>
            <w:r>
              <w:rPr>
                <w:sz w:val="20"/>
              </w:rPr>
              <w:t>~20 hours</w:t>
            </w:r>
          </w:p>
        </w:tc>
      </w:tr>
      <w:tr>
        <w:tc>
          <w:tcPr>
            <w:tcW w:type="dxa" w:w="1984"/>
          </w:tcPr>
          <w:p>
            <w:r>
              <w:rPr>
                <w:sz w:val="20"/>
              </w:rPr>
              <w:t>Phase 2 — Sprint E</w:t>
            </w:r>
          </w:p>
        </w:tc>
        <w:tc>
          <w:tcPr>
            <w:tcW w:type="dxa" w:w="3969"/>
          </w:tcPr>
          <w:p>
            <w:r>
              <w:rPr>
                <w:sz w:val="20"/>
              </w:rPr>
              <w:t>Production deployment and IT handover</w:t>
            </w:r>
          </w:p>
        </w:tc>
        <w:tc>
          <w:tcPr>
            <w:tcW w:type="dxa" w:w="1701"/>
          </w:tcPr>
          <w:p>
            <w:r>
              <w:rPr>
                <w:sz w:val="20"/>
              </w:rPr>
              <w:t>~20 hours</w:t>
            </w:r>
          </w:p>
        </w:tc>
      </w:tr>
      <w:tr>
        <w:tc>
          <w:tcPr>
            <w:tcW w:type="dxa" w:w="1984"/>
          </w:tcPr>
          <w:p>
            <w:r>
              <w:rPr>
                <w:sz w:val="20"/>
              </w:rPr>
              <w:t>Total</w:t>
            </w:r>
          </w:p>
        </w:tc>
        <w:tc>
          <w:tcPr>
            <w:tcW w:type="dxa" w:w="3969"/>
          </w:tcPr>
          <w:p>
            <w:r>
              <w:rPr>
                <w:sz w:val="20"/>
              </w:rPr>
            </w:r>
          </w:p>
        </w:tc>
        <w:tc>
          <w:tcPr>
            <w:tcW w:type="dxa" w:w="1701"/>
          </w:tcPr>
          <w:p>
            <w:r>
              <w:rPr>
                <w:sz w:val="20"/>
              </w:rPr>
              <w:t>~110 hours</w:t>
            </w:r>
          </w:p>
        </w:tc>
      </w:tr>
    </w:tbl>
    <w:p/>
    <w:p>
      <w:pPr>
        <w:pStyle w:val="Heading2"/>
      </w:pPr>
      <w:r>
        <w:rPr>
          <w:color w:val="2E4F7E"/>
        </w:rPr>
        <w:t>12.6 Single-User as Proof-of-Concept</w:t>
      </w:r>
    </w:p>
    <w:p>
      <w:pPr>
        <w:spacing w:after="160"/>
      </w:pPr>
      <w:r>
        <w:t>The single-user platform delivered in Phase 1 serves as the proof-of-concept that justifies Phase 2 investment. By operating JOM successfully against the production Atlassian estate, the platform demonstrates the following:</w:t>
      </w:r>
    </w:p>
    <w:p>
      <w:pPr>
        <w:pStyle w:val="ListBullet"/>
      </w:pPr>
      <w:r>
        <w:t>The runtime architecture works at production scale across the monitored Jira sites.</w:t>
      </w:r>
    </w:p>
    <w:p>
      <w:pPr>
        <w:pStyle w:val="ListBullet"/>
      </w:pPr>
      <w:r>
        <w:t>The alert and intelligence layers produce meaningful operational signals that surface real conditions.</w:t>
      </w:r>
    </w:p>
    <w:p>
      <w:pPr>
        <w:pStyle w:val="ListBullet"/>
      </w:pPr>
      <w:r>
        <w:t>The governance discipline scales with the data and survives operational use.</w:t>
      </w:r>
    </w:p>
    <w:p>
      <w:pPr>
        <w:pStyle w:val="ListBullet"/>
      </w:pPr>
      <w:r>
        <w:t>The audit posture is defensible against internal compliance review.</w:t>
      </w:r>
    </w:p>
    <w:p>
      <w:pPr>
        <w:pStyle w:val="ListBullet"/>
      </w:pPr>
      <w:r>
        <w:t>The user experience is functional and stakeholder-ready.</w:t>
      </w:r>
    </w:p>
    <w:p>
      <w:pPr>
        <w:pStyle w:val="ListBullet"/>
      </w:pPr>
      <w:r>
        <w:t>The platform is materially less expensive to operate than manual estate checking.</w:t>
      </w:r>
    </w:p>
    <w:p>
      <w:pPr>
        <w:spacing w:after="160"/>
      </w:pPr>
      <w:r>
        <w:t>These demonstrations form the evidence base for the business case to approve Phase 2.</w:t>
      </w:r>
    </w:p>
    <w:p>
      <w:pPr>
        <w:pStyle w:val="Heading2"/>
      </w:pPr>
      <w:r>
        <w:rPr>
          <w:color w:val="2E4F7E"/>
        </w:rPr>
        <w:t>12.7 Multi-User Scaffolding in Phase 1 Codebase</w:t>
      </w:r>
    </w:p>
    <w:p>
      <w:pPr>
        <w:spacing w:after="160"/>
      </w:pPr>
      <w:r>
        <w:t>To minimise the cost of the Phase 1 to Phase 2 transition, dormant scaffolding has been added to the codebase during Phase 1. This scaffolding does not affect Phase 1 operation. It exists as architectural intent and documentation, ready to be activated when Phase 2 is sanctioned:</w:t>
      </w:r>
    </w:p>
    <w:tbl>
      <w:tblPr>
        <w:tblStyle w:val="LightGrid-Accent1"/>
        <w:tblW w:type="auto" w:w="0"/>
        <w:tblLook w:firstColumn="1" w:firstRow="1" w:lastColumn="0" w:lastRow="0" w:noHBand="0" w:noVBand="1" w:val="04A0"/>
      </w:tblPr>
      <w:tblGrid>
        <w:gridCol w:w="2880"/>
        <w:gridCol w:w="2880"/>
        <w:gridCol w:w="2880"/>
      </w:tblGrid>
      <w:tr>
        <w:tc>
          <w:tcPr>
            <w:tcW w:type="dxa" w:w="3118"/>
          </w:tcPr>
          <w:p>
            <w:r>
              <w:rPr>
                <w:b/>
                <w:sz w:val="20"/>
              </w:rPr>
              <w:t>Component</w:t>
            </w:r>
          </w:p>
        </w:tc>
        <w:tc>
          <w:tcPr>
            <w:tcW w:type="dxa" w:w="3118"/>
          </w:tcPr>
          <w:p>
            <w:r>
              <w:rPr>
                <w:b/>
                <w:sz w:val="20"/>
              </w:rPr>
              <w:t>Purpose</w:t>
            </w:r>
          </w:p>
        </w:tc>
        <w:tc>
          <w:tcPr>
            <w:tcW w:type="dxa" w:w="2268"/>
          </w:tcPr>
          <w:p>
            <w:r>
              <w:rPr>
                <w:b/>
                <w:sz w:val="20"/>
              </w:rPr>
              <w:t>Status in Phase 1</w:t>
            </w:r>
          </w:p>
        </w:tc>
      </w:tr>
      <w:tr>
        <w:tc>
          <w:tcPr>
            <w:tcW w:type="dxa" w:w="3118"/>
          </w:tcPr>
          <w:p>
            <w:r>
              <w:rPr>
                <w:sz w:val="20"/>
              </w:rPr>
              <w:t>auth/multi_user/sso_handler.py</w:t>
            </w:r>
          </w:p>
        </w:tc>
        <w:tc>
          <w:tcPr>
            <w:tcW w:type="dxa" w:w="3118"/>
          </w:tcPr>
          <w:p>
            <w:r>
              <w:rPr>
                <w:sz w:val="20"/>
              </w:rPr>
              <w:t>Microsoft Entra ID OAuth entry point</w:t>
            </w:r>
          </w:p>
        </w:tc>
        <w:tc>
          <w:tcPr>
            <w:tcW w:type="dxa" w:w="2268"/>
          </w:tcPr>
          <w:p>
            <w:r>
              <w:rPr>
                <w:sz w:val="20"/>
              </w:rPr>
              <w:t>Dormant, feature-flagged off</w:t>
            </w:r>
          </w:p>
        </w:tc>
      </w:tr>
      <w:tr>
        <w:tc>
          <w:tcPr>
            <w:tcW w:type="dxa" w:w="3118"/>
          </w:tcPr>
          <w:p>
            <w:r>
              <w:rPr>
                <w:sz w:val="20"/>
              </w:rPr>
              <w:t>auth/multi_user/user_allowlist.py</w:t>
            </w:r>
          </w:p>
        </w:tc>
        <w:tc>
          <w:tcPr>
            <w:tcW w:type="dxa" w:w="3118"/>
          </w:tcPr>
          <w:p>
            <w:r>
              <w:rPr>
                <w:sz w:val="20"/>
              </w:rPr>
              <w:t>User access list management</w:t>
            </w:r>
          </w:p>
        </w:tc>
        <w:tc>
          <w:tcPr>
            <w:tcW w:type="dxa" w:w="2268"/>
          </w:tcPr>
          <w:p>
            <w:r>
              <w:rPr>
                <w:sz w:val="20"/>
              </w:rPr>
              <w:t>Dormant, feature-flagged off</w:t>
            </w:r>
          </w:p>
        </w:tc>
      </w:tr>
      <w:tr>
        <w:tc>
          <w:tcPr>
            <w:tcW w:type="dxa" w:w="3118"/>
          </w:tcPr>
          <w:p>
            <w:r>
              <w:rPr>
                <w:sz w:val="20"/>
              </w:rPr>
              <w:t>auth/multi_user/access_audit.py</w:t>
            </w:r>
          </w:p>
        </w:tc>
        <w:tc>
          <w:tcPr>
            <w:tcW w:type="dxa" w:w="3118"/>
          </w:tcPr>
          <w:p>
            <w:r>
              <w:rPr>
                <w:sz w:val="20"/>
              </w:rPr>
              <w:t>Access event logging</w:t>
            </w:r>
          </w:p>
        </w:tc>
        <w:tc>
          <w:tcPr>
            <w:tcW w:type="dxa" w:w="2268"/>
          </w:tcPr>
          <w:p>
            <w:r>
              <w:rPr>
                <w:sz w:val="20"/>
              </w:rPr>
              <w:t>Dormant, feature-flagged off</w:t>
            </w:r>
          </w:p>
        </w:tc>
      </w:tr>
      <w:tr>
        <w:tc>
          <w:tcPr>
            <w:tcW w:type="dxa" w:w="3118"/>
          </w:tcPr>
          <w:p>
            <w:r>
              <w:rPr>
                <w:sz w:val="20"/>
              </w:rPr>
              <w:t>config/feature_flags.py</w:t>
            </w:r>
          </w:p>
        </w:tc>
        <w:tc>
          <w:tcPr>
            <w:tcW w:type="dxa" w:w="3118"/>
          </w:tcPr>
          <w:p>
            <w:r>
              <w:rPr>
                <w:sz w:val="20"/>
              </w:rPr>
              <w:t>Feature toggle system</w:t>
            </w:r>
          </w:p>
        </w:tc>
        <w:tc>
          <w:tcPr>
            <w:tcW w:type="dxa" w:w="2268"/>
          </w:tcPr>
          <w:p>
            <w:r>
              <w:rPr>
                <w:sz w:val="20"/>
              </w:rPr>
              <w:t>Active, defaults to single-user</w:t>
            </w:r>
          </w:p>
        </w:tc>
      </w:tr>
      <w:tr>
        <w:tc>
          <w:tcPr>
            <w:tcW w:type="dxa" w:w="3118"/>
          </w:tcPr>
          <w:p>
            <w:r>
              <w:rPr>
                <w:sz w:val="20"/>
              </w:rPr>
              <w:t>users.example.json</w:t>
            </w:r>
          </w:p>
        </w:tc>
        <w:tc>
          <w:tcPr>
            <w:tcW w:type="dxa" w:w="3118"/>
          </w:tcPr>
          <w:p>
            <w:r>
              <w:rPr>
                <w:sz w:val="20"/>
              </w:rPr>
              <w:t>Template for user allow-list</w:t>
            </w:r>
          </w:p>
        </w:tc>
        <w:tc>
          <w:tcPr>
            <w:tcW w:type="dxa" w:w="2268"/>
          </w:tcPr>
          <w:p>
            <w:r>
              <w:rPr>
                <w:sz w:val="20"/>
              </w:rPr>
              <w:t>Reference only</w:t>
            </w:r>
          </w:p>
        </w:tc>
      </w:tr>
      <w:tr>
        <w:tc>
          <w:tcPr>
            <w:tcW w:type="dxa" w:w="3118"/>
          </w:tcPr>
          <w:p>
            <w:r>
              <w:rPr>
                <w:sz w:val="20"/>
              </w:rPr>
              <w:t>docs/architecture/MULTI_USER_ARCHITECTURE.md</w:t>
            </w:r>
          </w:p>
        </w:tc>
        <w:tc>
          <w:tcPr>
            <w:tcW w:type="dxa" w:w="3118"/>
          </w:tcPr>
          <w:p>
            <w:r>
              <w:rPr>
                <w:sz w:val="20"/>
              </w:rPr>
              <w:t>Technical design document</w:t>
            </w:r>
          </w:p>
        </w:tc>
        <w:tc>
          <w:tcPr>
            <w:tcW w:type="dxa" w:w="2268"/>
          </w:tcPr>
          <w:p>
            <w:r>
              <w:rPr>
                <w:sz w:val="20"/>
              </w:rPr>
              <w:t>Reference only</w:t>
            </w:r>
          </w:p>
        </w:tc>
      </w:tr>
      <w:tr>
        <w:tc>
          <w:tcPr>
            <w:tcW w:type="dxa" w:w="3118"/>
          </w:tcPr>
          <w:p>
            <w:r>
              <w:rPr>
                <w:sz w:val="20"/>
              </w:rPr>
              <w:t>docs/architecture/SSO_INTEGRATION_PLAN.md</w:t>
            </w:r>
          </w:p>
        </w:tc>
        <w:tc>
          <w:tcPr>
            <w:tcW w:type="dxa" w:w="3118"/>
          </w:tcPr>
          <w:p>
            <w:r>
              <w:rPr>
                <w:sz w:val="20"/>
              </w:rPr>
              <w:t>Entra ID integration guide</w:t>
            </w:r>
          </w:p>
        </w:tc>
        <w:tc>
          <w:tcPr>
            <w:tcW w:type="dxa" w:w="2268"/>
          </w:tcPr>
          <w:p>
            <w:r>
              <w:rPr>
                <w:sz w:val="20"/>
              </w:rPr>
              <w:t>Reference only</w:t>
            </w:r>
          </w:p>
        </w:tc>
      </w:tr>
    </w:tbl>
    <w:p/>
    <w:p>
      <w:pPr>
        <w:pStyle w:val="Heading2"/>
      </w:pPr>
      <w:r>
        <w:rPr>
          <w:color w:val="2E4F7E"/>
        </w:rPr>
        <w:t>12.8 Decision Authority</w:t>
      </w:r>
    </w:p>
    <w:p>
      <w:pPr>
        <w:spacing w:after="160"/>
      </w:pPr>
      <w:r>
        <w:t>Phase 2 expansion requires explicit approval from senior management. The owning engineer will not commence Phase 2 development without the following preconditions met:</w:t>
      </w:r>
    </w:p>
    <w:p>
      <w:pPr>
        <w:pStyle w:val="ListBullet"/>
      </w:pPr>
      <w:r>
        <w:t>Documented business case approval from senior management.</w:t>
      </w:r>
    </w:p>
    <w:p>
      <w:pPr>
        <w:pStyle w:val="ListBullet"/>
      </w:pPr>
      <w:r>
        <w:t>Server infrastructure availability, IT-provisioned and approved.</w:t>
      </w:r>
    </w:p>
    <w:p>
      <w:pPr>
        <w:pStyle w:val="ListBullet"/>
      </w:pPr>
      <w:r>
        <w:t>Confirmed identity management integration path with Microsoft Entra ID.</w:t>
      </w:r>
    </w:p>
    <w:p>
      <w:pPr>
        <w:pStyle w:val="ListBullet"/>
      </w:pPr>
      <w:r>
        <w:t>Authorisation to use Atlassian admin credentials in a shared, centralised context.</w:t>
      </w:r>
    </w:p>
    <w:p>
      <w:pPr>
        <w:pStyle w:val="ListBullet"/>
      </w:pPr>
      <w:r>
        <w:t>Defined user access policy specifying who can be granted access and under what circumstances.</w:t>
      </w:r>
    </w:p>
    <w:p>
      <w:pPr>
        <w:pStyle w:val="ListBullet"/>
      </w:pPr>
      <w:r>
        <w:t>Agreed budget for Phase 2 engineering effort and ongoing operational maintenance.</w:t>
      </w:r>
    </w:p>
    <w:p>
      <w:pPr>
        <w:pStyle w:val="Heading2"/>
      </w:pPr>
      <w:r>
        <w:rPr>
          <w:color w:val="2E4F7E"/>
        </w:rPr>
        <w:t>12.9 Strategic Closure</w:t>
      </w:r>
    </w:p>
    <w:p>
      <w:pPr>
        <w:spacing w:after="160"/>
      </w:pPr>
      <w:r>
        <w:t>JOM Phase 1 is complete, governed, and provably self-operating. Phase 2 is a deliberate strategic expansion, not a reaction to operational pressure. The platform's current value justifies its existence as a single-user tool. Phase 2 multiplies that value across the identified user base while preserving the principles that made Phase 1 successful: read-only architecture, runtime truth, drilldown-first design, and auditable evolution.</w:t>
      </w:r>
    </w:p>
    <w:p>
      <w:pPr>
        <w:spacing w:after="160"/>
      </w:pPr>
      <w:r>
        <w:t>The two-phase strategy ensures that GLI's investment in JOM is incremental and de-risked. Phase 1 delivers immediate operational value. Phase 2 multiplies that value at the point when the business case justifies the additional investment. Neither phase commits the organisation to the other.</w:t>
      </w:r>
    </w:p>
    <w:p>
      <w:pPr>
        <w:pStyle w:val="Heading1"/>
      </w:pPr>
      <w:r>
        <w:rPr>
          <w:color w:val="1F3A5F"/>
        </w:rPr>
        <w:t>13. Business Continuity and Handover Assurance</w:t>
      </w:r>
    </w:p>
    <w:p>
      <w:pPr>
        <w:spacing w:after="160"/>
      </w:pPr>
      <w:r>
        <w:t>The platform is intentionally engineered against single-person dependency. The runtime chain, the governance pack, the mechanics manuals, the sync workflow, the audit trail, and the recovery scripts together give a successor engineer enough context to take ownership without reverse engineering the system.</w:t>
      </w:r>
    </w:p>
    <w:p>
      <w:pPr>
        <w:spacing w:after="160"/>
      </w:pPr>
      <w:r>
        <w:t>If the original engineer becomes unavailable, the line manager can hand the governance pack, the mechanics manuals, and the local project tree to a Python/Flask-capable successor and expect them to operate the platform safely. The successor will have:</w:t>
      </w:r>
    </w:p>
    <w:p>
      <w:pPr>
        <w:pStyle w:val="ListBullet"/>
      </w:pPr>
      <w:r>
        <w:t>This Master Governance Pack (v3) explaining purpose, principles, architecture, runbook, roadmap, and strategic direction.</w:t>
      </w:r>
    </w:p>
    <w:p>
      <w:pPr>
        <w:pStyle w:val="ListBullet"/>
      </w:pPr>
      <w:r>
        <w:t>The Manager Stakeholder Brief explaining time investment, business case, and remaining work.</w:t>
      </w:r>
    </w:p>
    <w:p>
      <w:pPr>
        <w:pStyle w:val="ListBullet"/>
      </w:pPr>
      <w:r>
        <w:t>The Mechanics Manuals Appendix explaining Python, HTML, CSS, JavaScript, and JSON contract specifics.</w:t>
      </w:r>
    </w:p>
    <w:p>
      <w:pPr>
        <w:pStyle w:val="ListBullet"/>
      </w:pPr>
      <w:r>
        <w:t>The Sprint Deliverables document explaining what was built when and how long it took.</w:t>
      </w:r>
    </w:p>
    <w:p>
      <w:pPr>
        <w:pStyle w:val="ListBullet"/>
      </w:pPr>
      <w:r>
        <w:t>The Security Posture document explaining the read-only architecture and compliance alignment.</w:t>
      </w:r>
    </w:p>
    <w:p>
      <w:pPr>
        <w:pStyle w:val="ListBullet"/>
      </w:pPr>
      <w:r>
        <w:t>The Documentation Control System under docs/control providing change log, sync checklist, audit trail.</w:t>
      </w:r>
    </w:p>
    <w:p>
      <w:pPr>
        <w:pStyle w:val="ListBullet"/>
      </w:pPr>
      <w:r>
        <w:t>The active local project tree including all runtime scripts, configuration, and dormant multi-user scaffolding.</w:t>
      </w:r>
    </w:p>
    <w:p>
      <w:pPr>
        <w:spacing w:after="160"/>
      </w:pPr>
      <w:r>
        <w:t>The successor engineer does not need to reverse engineer the platform's basic purpose, truth model, auth model, route structure, or strategic direction. All are documented in the governance pack.</w:t>
      </w:r>
    </w:p>
    <w:p>
      <w:pPr>
        <w:pStyle w:val="Heading1"/>
      </w:pPr>
      <w:r>
        <w:rPr>
          <w:color w:val="1F3A5F"/>
        </w:rPr>
        <w:t>14. Source Artefacts Reviewed and Aligned</w:t>
      </w:r>
    </w:p>
    <w:p>
      <w:pPr>
        <w:spacing w:after="160"/>
      </w:pPr>
      <w:r>
        <w:t>This Master Governance Pack v3 supersedes and consolidates the following earlier artefacts. Earlier documents remain valuable historical records but should not be treated as the current source of truth where they conflict with this version:</w:t>
      </w:r>
    </w:p>
    <w:p>
      <w:pPr>
        <w:pStyle w:val="ListBullet"/>
      </w:pPr>
      <w:r>
        <w:t>JOM_Master_Governance_Delivery_Handover_Pack_v2.docx (June 2026) — superseded by this v3.</w:t>
      </w:r>
    </w:p>
    <w:p>
      <w:pPr>
        <w:pStyle w:val="ListBullet"/>
      </w:pPr>
      <w:r>
        <w:t>Jira_Observation_Monitor_Roadmap.docx — earlier roadmap baseline, superseded where it conflicts with Section 11 and Section 12.</w:t>
      </w:r>
    </w:p>
    <w:p>
      <w:pPr>
        <w:pStyle w:val="ListBullet"/>
      </w:pPr>
      <w:r>
        <w:t>JIRA OBSERVATION MONITOR.docx — broad project purpose, roadmap, architecture, and handover framing.</w:t>
      </w:r>
    </w:p>
    <w:p>
      <w:pPr>
        <w:pStyle w:val="ListBullet"/>
      </w:pPr>
      <w:r>
        <w:t>jira_observation_monitor_handover.docx — technical handover manual, routes, templates, flow, troubleshooting.</w:t>
      </w:r>
    </w:p>
    <w:p>
      <w:pPr>
        <w:pStyle w:val="ListBullet"/>
      </w:pPr>
      <w:r>
        <w:t>live_api_ingestion_pack_plan.txt — historical design context for the API/runtime migration.</w:t>
      </w:r>
    </w:p>
    <w:p>
      <w:pPr>
        <w:pStyle w:val="ListBullet"/>
      </w:pPr>
      <w:r>
        <w:t>manuals_index.txt — confirms existence and intended reading order of project language manuals.</w:t>
      </w:r>
    </w:p>
    <w:p>
      <w:pPr>
        <w:pStyle w:val="ListBullet"/>
      </w:pPr>
      <w:r>
        <w:t>Atlassian Estate Monitoring Platform.docx — earlier vision document, treat as future-state inspiration not current state.</w:t>
      </w:r>
    </w:p>
    <w:p>
      <w:pPr>
        <w:pStyle w:val="Heading1"/>
      </w:pPr>
      <w:r>
        <w:rPr>
          <w:color w:val="1F3A5F"/>
        </w:rPr>
        <w:t>15. Final Statement</w:t>
      </w:r>
    </w:p>
    <w:p>
      <w:pPr>
        <w:spacing w:after="160"/>
      </w:pPr>
      <w:r>
        <w:t>JOM is a functioning internal operational platform with verified auth, live runtime ingestion, admin enrichment, runtime alerting, intelligence overlays, automated 10-minute sync cycles, daily anchor snapshots, drift detection, and a documented recovery and handover safety net.</w:t>
      </w:r>
    </w:p>
    <w:p>
      <w:pPr>
        <w:spacing w:after="160"/>
      </w:pPr>
      <w:r>
        <w:t>The remaining Phase 1 work is primarily polish, resilience, and packaging — not first-principles invention. Phase 2 represents a strategic expansion opportunity, supported by a 13-user identified base and a 110-hour engineering estimate, pending senior management approval.</w:t>
      </w:r>
    </w:p>
    <w:p>
      <w:pPr>
        <w:spacing w:after="160"/>
      </w:pPr>
      <w:r>
        <w:t>Protecting time for the remaining Phase 1 phases is commercially sensible: most of the hard platform-building work has already been completed. The investment to date is auditable, defensible, and demonstrable. The path to Phase 1 completion is clear. The path to Phase 2 is documented, scaffolded, and ready when the business case is approved.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Jira Observation Monitor — Master Governance, Delivery, Handover, and Strategic Direction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Crockett</dc:creator>
  <keywords/>
  <dc:description>generated by python-docx</dc:description>
  <lastModifiedBy>Luke Crockett</lastModifiedBy>
  <revision>1</revision>
  <dcterms:created xsi:type="dcterms:W3CDTF">2026-06-19T11:59:12.9567099Z</dcterms:created>
  <dcterms:modified xsi:type="dcterms:W3CDTF">2026-06-19T11:59:12.9567099Z</dcterms:modified>
  <category/>
</coreProperties>
</file>