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Jira Observation Monitor</w:t>
      </w:r>
    </w:p>
    <w:p>
      <w:pPr>
        <w:jc w:val="center"/>
      </w:pPr>
      <w:r>
        <w:rPr>
          <w:b/>
          <w:color w:val="2E4F7E"/>
          <w:sz w:val="40"/>
        </w:rPr>
        <w:t>Security Posture Document</w:t>
      </w:r>
    </w:p>
    <w:p/>
    <w:p/>
    <w:p/>
    <w:p/>
    <w:p/>
    <w:p/>
    <w:p>
      <w:pPr>
        <w:jc w:val="center"/>
      </w:pPr>
      <w:r>
        <w:rPr>
          <w:b/>
          <w:sz w:val="22"/>
        </w:rPr>
        <w:t xml:space="preserve">Classification: </w:t>
      </w:r>
      <w:r>
        <w:rPr>
          <w:sz w:val="22"/>
        </w:rPr>
        <w:t>GLI Internal Use Only</w:t>
      </w:r>
    </w:p>
    <w:p>
      <w:pPr>
        <w:jc w:val="center"/>
      </w:pPr>
      <w:r>
        <w:rPr>
          <w:b/>
          <w:sz w:val="22"/>
        </w:rPr>
        <w:t xml:space="preserve">Version: </w:t>
      </w:r>
      <w:r>
        <w:rPr>
          <w:sz w:val="22"/>
        </w:rPr>
        <w:t>v1.0</w:t>
      </w:r>
    </w:p>
    <w:p>
      <w:pPr>
        <w:jc w:val="center"/>
      </w:pPr>
      <w:r>
        <w:rPr>
          <w:b/>
          <w:sz w:val="22"/>
        </w:rPr>
        <w:t xml:space="preserve">Date: </w:t>
      </w:r>
      <w:r>
        <w:rPr>
          <w:sz w:val="22"/>
        </w:rPr>
        <w:t>June 2026</w:t>
      </w:r>
    </w:p>
    <w:p>
      <w:pPr>
        <w:jc w:val="center"/>
      </w:pPr>
      <w:r>
        <w:rPr>
          <w:b/>
          <w:sz w:val="22"/>
        </w:rPr>
        <w:t xml:space="preserve">Owner: </w:t>
      </w:r>
      <w:r>
        <w:rPr>
          <w:sz w:val="22"/>
        </w:rPr>
        <w:t>Luke Crockett, Systems Engineer</w:t>
      </w:r>
    </w:p>
    <w:p>
      <w:pPr>
        <w:jc w:val="center"/>
      </w:pPr>
      <w:r>
        <w:rPr>
          <w:b/>
          <w:sz w:val="22"/>
        </w:rPr>
        <w:t xml:space="preserve">Programme: </w:t>
      </w:r>
      <w:r>
        <w:rPr>
          <w:sz w:val="22"/>
        </w:rPr>
        <w:t>GLI Atlassian Operational Intelligence</w:t>
      </w:r>
    </w:p>
    <w:p>
      <w:r>
        <w:br w:type="page"/>
      </w:r>
    </w:p>
    <w:p>
      <w:pPr>
        <w:pStyle w:val="Heading1"/>
      </w:pPr>
      <w:r>
        <w:rPr>
          <w:color w:val="1F3A5F"/>
        </w:rPr>
        <w:t>1. Executive Summary</w:t>
      </w:r>
    </w:p>
    <w:p>
      <w:pPr>
        <w:spacing w:after="160"/>
      </w:pPr>
      <w:r>
        <w:t>This document describes the security posture of the Jira Observation Monitor (JOM). It is intended to provide a clear, auditable account of how the platform handles credentials, how it accesses Atlassian APIs, where data is stored, how data is presented, what the platform will and will not do, and how the platform protects itself and the organisation from common operational risks.</w:t>
      </w:r>
    </w:p>
    <w:p>
      <w:pPr>
        <w:spacing w:after="160"/>
      </w:pPr>
      <w:r>
        <w:t>JOM is engineered as a strictly read-only operational intelligence platform. It observes the Atlassian estate, enriches the observations with organisation-level signals, classifies them through alert and intelligence rules, and presents the result through a local web interface. The platform does not modify Atlassian data, does not write back to any Atlassian product, does not expose public endpoints, does not synchronise data to external services, and does not store data anywhere other than the local hardware on which it runs.</w:t>
      </w:r>
    </w:p>
    <w:p>
      <w:pPr>
        <w:spacing w:after="160"/>
      </w:pPr>
      <w:r>
        <w:t>The security posture summarised in this document is the product of deliberate design choices. Each choice has been made with the intent of reducing risk, increasing auditability, and protecting both the engineer operating the platform and the organisation hosting it.</w:t>
      </w:r>
    </w:p>
    <w:p>
      <w:pPr>
        <w:pStyle w:val="Heading1"/>
      </w:pPr>
      <w:r>
        <w:rPr>
          <w:color w:val="1F3A5F"/>
        </w:rPr>
        <w:t>2. Security Mission Statement</w:t>
      </w:r>
    </w:p>
    <w:p>
      <w:pPr>
        <w:spacing w:after="160"/>
      </w:pPr>
      <w:r>
        <w:t>The mission of the JOM security model is to deliver operational intelligence without introducing operational risk. The platform must reveal what is happening in the Atlassian estate while remaining incapable of causing harm to it. Every architectural decision is filtered through this principle. Where a feature could introduce write access, lateral movement, external exposure or credential drift, that feature is either reshaped or rejected.</w:t>
      </w:r>
    </w:p>
    <w:p>
      <w:pPr>
        <w:spacing w:after="160"/>
      </w:pPr>
      <w:r>
        <w:t>In practical terms this means: the platform observes, enriches, classifies and presents. It does not change, push, synchronise, broadcast or transmit. It is a one-way mirror onto the estate, not a remote control of it.</w:t>
      </w:r>
    </w:p>
    <w:p>
      <w:pPr>
        <w:pStyle w:val="Heading1"/>
      </w:pPr>
      <w:r>
        <w:rPr>
          <w:color w:val="1F3A5F"/>
        </w:rPr>
        <w:t>3. Design Principles</w:t>
      </w:r>
    </w:p>
    <w:p>
      <w:pPr>
        <w:spacing w:after="160"/>
      </w:pPr>
      <w:r>
        <w:t>Five design principles drive the security posture. Together they form the architectural contract that every module in the platform is required to honour.</w:t>
      </w:r>
    </w:p>
    <w:p>
      <w:pPr>
        <w:pStyle w:val="ListBullet"/>
      </w:pPr>
      <w:r>
        <w:t>Read-only by design: the platform observes and explains; it does not change Atlassian data or configuration.</w:t>
      </w:r>
    </w:p>
    <w:p>
      <w:pPr>
        <w:pStyle w:val="ListBullet"/>
      </w:pPr>
      <w:r>
        <w:t>Local hardware only: all execution, all credentials, all runtime files and all snapshots remain on the local machine.</w:t>
      </w:r>
    </w:p>
    <w:p>
      <w:pPr>
        <w:pStyle w:val="ListBullet"/>
      </w:pPr>
      <w:r>
        <w:t>Bearer-token discipline: all Atlassian access is performed using bearer tokens issued through the official Atlassian flows.</w:t>
      </w:r>
    </w:p>
    <w:p>
      <w:pPr>
        <w:pStyle w:val="ListBullet"/>
      </w:pPr>
      <w:r>
        <w:t>Runtime truth: backend collectors and generated runtime JSON files create truth; the web layer only presents truth.</w:t>
      </w:r>
    </w:p>
    <w:p>
      <w:pPr>
        <w:pStyle w:val="ListBullet"/>
      </w:pPr>
      <w:r>
        <w:t>Auditable evolution: every detected change to the runtime contract is logged in plain text and tied to a timestamp.</w:t>
      </w:r>
    </w:p>
    <w:p>
      <w:pPr>
        <w:pStyle w:val="Heading1"/>
      </w:pPr>
      <w:r>
        <w:rPr>
          <w:color w:val="1F3A5F"/>
        </w:rPr>
        <w:t>4. Read-Only Architecture</w:t>
      </w:r>
    </w:p>
    <w:p>
      <w:pPr>
        <w:spacing w:after="160"/>
      </w:pPr>
      <w:r>
        <w:t>JOM is read-only at every layer. The Atlassian APIs used by the platform are read endpoints. The collectors that call those endpoints write only into the local runtime JSON chain. The enrichment, alerting and intelligence layers read from the runtime chain and write further enriched files into the same chain. The web layer reads runtime files and renders them to the local browser.</w:t>
      </w:r>
    </w:p>
    <w:p>
      <w:pPr>
        <w:spacing w:after="160"/>
      </w:pPr>
      <w:r>
        <w:t>There is no module in the platform that issues a write call back to Atlassian. There is no module that synchronises data to a third party. There is no module that exposes the local machine to inbound network requests beyond the local Flask development server bound to 127.0.0.1. The result is a platform that cannot, by design, change the Atlassian estate it observes.</w:t>
      </w:r>
    </w:p>
    <w:p>
      <w:pPr>
        <w:pStyle w:val="Heading1"/>
      </w:pPr>
      <w:r>
        <w:rPr>
          <w:color w:val="1F3A5F"/>
        </w:rPr>
        <w:t>5. Token and Credential Handling</w:t>
      </w:r>
    </w:p>
    <w:p>
      <w:pPr>
        <w:spacing w:after="160"/>
      </w:pPr>
      <w:r>
        <w:t>JOM uses two distinct credential channels: an Atlassian OAuth 2.0 (3LO) credential set for product-level access and an Atlassian Admin API key for organisation-level access. Both are treated as sensitive and are handled with bearer-token discipline.</w:t>
      </w:r>
    </w:p>
    <w:p>
      <w:pPr>
        <w:spacing w:after="160"/>
      </w:pPr>
      <w:r>
        <w:t>OAuth credentials consist of a client ID, a client secret and a redirect URI. These are read at runtime from a local .env file. The .env file is never copied, never transmitted, never embedded in source code, and is excluded from any version control routine that would push it outside the local environment.</w:t>
      </w:r>
    </w:p>
    <w:p>
      <w:pPr>
        <w:spacing w:after="160"/>
      </w:pPr>
      <w:r>
        <w:t>Tokens received as a result of the OAuth flow are stored in a local tokens.json file. The access token is short-lived; the refresh token is used solely to obtain a new access token when required. Token state is treated as machine-local; it is not copied off the host, not synchronised, and not used as a basis for any external authentication.</w:t>
      </w:r>
    </w:p>
    <w:p>
      <w:pPr>
        <w:spacing w:after="160"/>
      </w:pPr>
      <w:r>
        <w:t>The Admin API key is also held in the local .env file. It is used as a Bearer header on requests to the Atlassian Organizations and User Management endpoints. The key never appears in source code, never appears in committed files, and never leaves the local machine.</w:t>
      </w:r>
    </w:p>
    <w:p>
      <w:pPr>
        <w:pStyle w:val="Heading1"/>
      </w:pPr>
      <w:r>
        <w:rPr>
          <w:color w:val="1F3A5F"/>
        </w:rPr>
        <w:t>6. OAuth 3LO Flow</w:t>
      </w:r>
    </w:p>
    <w:p>
      <w:pPr>
        <w:spacing w:after="160"/>
      </w:pPr>
      <w:r>
        <w:t>The OAuth 2.0 3LO flow used by JOM follows the Atlassian standard authorisation pattern. The user authorises the application against the Atlassian authorisation server, the application receives an authorisation code on its redirect URI, and that code is exchanged for an access token and refresh token at the token endpoint.</w:t>
      </w:r>
    </w:p>
    <w:p>
      <w:pPr>
        <w:spacing w:after="160"/>
      </w:pPr>
      <w:r>
        <w:t>All steps of this exchange are initiated by the user on the local machine. The redirect URI used by the platform is a localhost address. No third party can complete this flow on behalf of the user, and no intermediate server is involved. The tokens that result from this exchange remain on the local machine.</w:t>
      </w:r>
    </w:p>
    <w:p>
      <w:pPr>
        <w:spacing w:after="160"/>
      </w:pPr>
      <w:r>
        <w:t>The platform exposes a small set of CLI commands to support this flow: a login command that produces the consent URL, a resources command that lists accessible Jira sites, and a token status command that reports the local token state. These commands operate purely locally and produce no outbound traffic beyond the documented Atlassian endpoints.</w:t>
      </w:r>
    </w:p>
    <w:p>
      <w:pPr>
        <w:pStyle w:val="Heading1"/>
      </w:pPr>
      <w:r>
        <w:rPr>
          <w:color w:val="1F3A5F"/>
        </w:rPr>
        <w:t>7. Admin API Key Handling</w:t>
      </w:r>
    </w:p>
    <w:p>
      <w:pPr>
        <w:spacing w:after="160"/>
      </w:pPr>
      <w:r>
        <w:t>The Atlassian Admin API key is a long-lived bearer credential. Its scope is the organisation-level admin surface, which is used by JOM to enrich user, account and admin signals.</w:t>
      </w:r>
    </w:p>
    <w:p>
      <w:pPr>
        <w:spacing w:after="160"/>
      </w:pPr>
      <w:r>
        <w:t>The Admin API key is treated with the same discipline as the OAuth client secret. It is held only in the local .env file, used only as a Bearer header on calls to the documented Atlassian admin endpoints, and never embedded in source code or committed to version control. Where rotation is required, rotation is performed in the Atlassian admin console and the new key is written into the local .env file. No external system is ever asked to hold or transmit the key.</w:t>
      </w:r>
    </w:p>
    <w:p>
      <w:pPr>
        <w:pStyle w:val="Heading1"/>
      </w:pPr>
      <w:r>
        <w:rPr>
          <w:color w:val="1F3A5F"/>
        </w:rPr>
        <w:t>8. Local Secrets Storage Model</w:t>
      </w:r>
    </w:p>
    <w:p>
      <w:pPr>
        <w:spacing w:after="160"/>
      </w:pPr>
      <w:r>
        <w:t>The platform deliberately keeps the secrets storage model simple: secrets live in a single local .env file, and operational state lives in a small set of local files. This keeps the security surface small, well-understood and easy to audit.</w:t>
      </w:r>
    </w:p>
    <w:p>
      <w:pPr>
        <w:pStyle w:val="ListBullet"/>
      </w:pPr>
      <w:r>
        <w:t>.env: holds the Atlassian client ID, client secret, redirect URI, scopes and admin API key.</w:t>
      </w:r>
    </w:p>
    <w:p>
      <w:pPr>
        <w:pStyle w:val="ListBullet"/>
      </w:pPr>
      <w:r>
        <w:t>tokens.json: holds the current access token, refresh token and expiry data.</w:t>
      </w:r>
    </w:p>
    <w:p>
      <w:pPr>
        <w:pStyle w:val="ListBullet"/>
      </w:pPr>
      <w:r>
        <w:t>.auth_state.json: holds short-lived state values used to validate the OAuth callback.</w:t>
      </w:r>
    </w:p>
    <w:p>
      <w:pPr>
        <w:pStyle w:val="ListBullet"/>
      </w:pPr>
      <w:r>
        <w:t>All three files are local, machine-bound, and excluded from any cloud-synchronised location.</w:t>
      </w:r>
    </w:p>
    <w:p>
      <w:pPr>
        <w:pStyle w:val="Heading1"/>
      </w:pPr>
      <w:r>
        <w:rPr>
          <w:color w:val="1F3A5F"/>
        </w:rPr>
        <w:t>9. Data Sources and Trust Model</w:t>
      </w:r>
    </w:p>
    <w:p>
      <w:pPr>
        <w:spacing w:after="160"/>
      </w:pPr>
      <w:r>
        <w:t>JOM treats Atlassian as the only upstream source of truth. The platform does not import data from third-party services. It does not blend Atlassian data with data from external feeds. It does not derive operational decisions from sources outside the Atlassian estate.</w:t>
      </w:r>
    </w:p>
    <w:p>
      <w:pPr>
        <w:spacing w:after="160"/>
      </w:pPr>
      <w:r>
        <w:t>This deliberate narrowness is a security choice. It means that the trust boundary is unambiguous: data either comes from Atlassian via the documented APIs, or it does not enter the platform at all. There is no hidden data path.</w:t>
      </w:r>
    </w:p>
    <w:p>
      <w:pPr>
        <w:pStyle w:val="Heading1"/>
      </w:pPr>
      <w:r>
        <w:rPr>
          <w:color w:val="1F3A5F"/>
        </w:rPr>
        <w:t>10. Runtime JSON Trust Layer</w:t>
      </w:r>
    </w:p>
    <w:p>
      <w:pPr>
        <w:spacing w:after="160"/>
      </w:pPr>
      <w:r>
        <w:t>The runtime JSON files form the trust layer of the platform. The web layer trusts runtime JSON. The runtime JSON, in turn, trusts only what the collectors wrote into it. The collectors trust only what the Atlassian APIs returned.</w:t>
      </w:r>
    </w:p>
    <w:p>
      <w:pPr>
        <w:spacing w:after="160"/>
      </w:pPr>
      <w:r>
        <w:t>This chained trust model has two important consequences. First, the web layer cannot be tricked into presenting data that did not pass through a controlled backend cycle. Second, any anomaly in the presented data can be traced backwards through the runtime files to the moment of collection. There are no hidden side channels.</w:t>
      </w:r>
    </w:p>
    <w:p>
      <w:pPr>
        <w:pStyle w:val="Heading1"/>
      </w:pPr>
      <w:r>
        <w:rPr>
          <w:color w:val="1F3A5F"/>
        </w:rPr>
        <w:t>11. Runtime Chain of Custody</w:t>
      </w:r>
    </w:p>
    <w:p>
      <w:pPr>
        <w:spacing w:after="160"/>
      </w:pPr>
      <w:r>
        <w:t>The runtime chain follows a defined order: latest_run.json is written by the collector, latest_run_admin_enriched.json is written by the admin enrichment stage, latest_run_alerted.json is written by the alert rules engine, and latest_run_intelligence.json is written by the intelligence engine. The source adapter selects the highest-order valid file at request time.</w:t>
      </w:r>
    </w:p>
    <w:p>
      <w:pPr>
        <w:spacing w:after="160"/>
      </w:pPr>
      <w:r>
        <w:t>Every file in this chain is local, named, dated and reproducible. Any successor engineer can read the chain in order and reconstruct exactly what the platform observed and how it classified those observations. This is the operational equivalent of a chain of custody on evidence.</w:t>
      </w:r>
    </w:p>
    <w:p>
      <w:pPr>
        <w:pStyle w:val="Heading1"/>
      </w:pPr>
      <w:r>
        <w:rPr>
          <w:color w:val="1F3A5F"/>
        </w:rPr>
        <w:t>12. Snapshot Integrity Strategy</w:t>
      </w:r>
    </w:p>
    <w:p>
      <w:pPr>
        <w:spacing w:after="160"/>
      </w:pPr>
      <w:r>
        <w:t>JOM produces dated snapshots of the runtime payload. The snapshot strategy is governed by three rules: snapshots are produced only by backend refresh cycles, snapshots are throttled by a minimum interval, and the snapshot store is capped at a defined retention count.</w:t>
      </w:r>
    </w:p>
    <w:p>
      <w:pPr>
        <w:spacing w:after="160"/>
      </w:pPr>
      <w:r>
        <w:t>These rules prevent two failure modes. First, they prevent unbounded growth of the snapshot store, which would consume disk space and obscure meaningful change. Second, they prevent browser refresh activity from triggering uncontrolled snapshot creation, which would distort the audit signal. The result is a snapshot store that is small, meaningful and trustworthy.</w:t>
      </w:r>
    </w:p>
    <w:p>
      <w:pPr>
        <w:pStyle w:val="Heading1"/>
      </w:pPr>
      <w:r>
        <w:rPr>
          <w:color w:val="1F3A5F"/>
        </w:rPr>
        <w:t>13. Drift Detection and Validator</w:t>
      </w:r>
    </w:p>
    <w:p>
      <w:pPr>
        <w:spacing w:after="160"/>
      </w:pPr>
      <w:r>
        <w:t>The contract validator is the platform's drift-detection mechanism. It compares the current /api/data payload with a stored runtime contract snapshot. When fields are added or removed, the validator reports the change explicitly.</w:t>
      </w:r>
    </w:p>
    <w:p>
      <w:pPr>
        <w:spacing w:after="160"/>
      </w:pPr>
      <w:r>
        <w:t>This validator turns silent change into visible change. It removes the possibility of the platform quietly evolving in ways that the documentation does not describe. It is also the basis of the platform's self-governing posture: code changes that affect the data contract become impossible to hide.</w:t>
      </w:r>
    </w:p>
    <w:p>
      <w:pPr>
        <w:pStyle w:val="Heading1"/>
      </w:pPr>
      <w:r>
        <w:rPr>
          <w:color w:val="1F3A5F"/>
        </w:rPr>
        <w:t>14. Audit Trail</w:t>
      </w:r>
    </w:p>
    <w:p>
      <w:pPr>
        <w:spacing w:after="160"/>
      </w:pPr>
      <w:r>
        <w:t>The audit trail file is a plain-text record of every detected runtime change. Each entry records the time of detection, the count of added fields and the count of removed fields. This file is intentionally simple. It is intended to be human-readable, append-only and easy to inspect.</w:t>
      </w:r>
    </w:p>
    <w:p>
      <w:pPr>
        <w:spacing w:after="160"/>
      </w:pPr>
      <w:r>
        <w:t>Combined with the mechanics change log and the runtime contract snapshot, the audit trail forms the platform's operational history. It allows the engineer, the line manager and any auditor to answer the question: what changed, and when did it change.</w:t>
      </w:r>
    </w:p>
    <w:p>
      <w:pPr>
        <w:pStyle w:val="Heading1"/>
      </w:pPr>
      <w:r>
        <w:rPr>
          <w:color w:val="1F3A5F"/>
        </w:rPr>
        <w:t>15. Change Tracking</w:t>
      </w:r>
    </w:p>
    <w:p>
      <w:pPr>
        <w:spacing w:after="160"/>
      </w:pPr>
      <w:r>
        <w:t>The auto change tracker compares live runtime against the snapshot, identifies structural differences, and writes structured entries into the mechanics change log. The change log is the documentation-side counterpart of the audit trail. The audit trail records the event; the change log records the meaning.</w:t>
      </w:r>
    </w:p>
    <w:p>
      <w:pPr>
        <w:spacing w:after="160"/>
      </w:pPr>
      <w:r>
        <w:t>Together, the tracker, the log and the audit trail enforce a clear discipline: the platform may evolve, but its evolution must be explained, dated and recoverable.</w:t>
      </w:r>
    </w:p>
    <w:p>
      <w:pPr>
        <w:pStyle w:val="Heading1"/>
      </w:pPr>
      <w:r>
        <w:rPr>
          <w:color w:val="1F3A5F"/>
        </w:rPr>
        <w:t>16. Web Layer Security Posture</w:t>
      </w:r>
    </w:p>
    <w:p>
      <w:pPr>
        <w:spacing w:after="160"/>
      </w:pPr>
      <w:r>
        <w:t>The web layer is a local Flask application bound to 127.0.0.1. It is not exposed to the wider network. It serves only the local user. It does not implement authentication of its own because the only consumer is the local user on the local machine.</w:t>
      </w:r>
    </w:p>
    <w:p>
      <w:pPr>
        <w:spacing w:after="160"/>
      </w:pPr>
      <w:r>
        <w:t>The web layer reads runtime JSON files and renders them through Jinja templates and CSS. It does not write to Atlassian. It does not perform privileged operations. Its only outbound calls are to its own /api/source-state and /api/data endpoints, both of which are local.</w:t>
      </w:r>
    </w:p>
    <w:p>
      <w:pPr>
        <w:pStyle w:val="Heading1"/>
      </w:pPr>
      <w:r>
        <w:rPr>
          <w:color w:val="1F3A5F"/>
        </w:rPr>
        <w:t>17. Browser Refresh Security</w:t>
      </w:r>
    </w:p>
    <w:p>
      <w:pPr>
        <w:spacing w:after="160"/>
      </w:pPr>
      <w:r>
        <w:t>The browser refresh layer is intentionally minimal. It polls the local API endpoints, displays a runtime widget, and triggers a full page reload at the defined cadence. It does not store data persistently in the browser. It does not interact with third-party domains. It does not collect telemetry.</w:t>
      </w:r>
    </w:p>
    <w:p>
      <w:pPr>
        <w:spacing w:after="160"/>
      </w:pPr>
      <w:r>
        <w:t>The runtime widget displays only data already exposed by the local API. It introduces no new data path. Its visual state changes are derived purely from the local runtime contract.</w:t>
      </w:r>
    </w:p>
    <w:p>
      <w:pPr>
        <w:pStyle w:val="Heading1"/>
      </w:pPr>
      <w:r>
        <w:rPr>
          <w:color w:val="1F3A5F"/>
        </w:rPr>
        <w:t>18. Refusal of Unsafe Actions</w:t>
      </w:r>
    </w:p>
    <w:p>
      <w:pPr>
        <w:spacing w:after="160"/>
      </w:pPr>
      <w:r>
        <w:t>JOM is deliberately incapable of performing certain actions. This refusal is structural, not procedural. It does not depend on the operator remembering a rule; it depends on the absence of the necessary code paths.</w:t>
      </w:r>
    </w:p>
    <w:p>
      <w:pPr>
        <w:pStyle w:val="ListBullet"/>
      </w:pPr>
      <w:r>
        <w:t>The platform does not POST, PUT, PATCH or DELETE against Atlassian.</w:t>
      </w:r>
    </w:p>
    <w:p>
      <w:pPr>
        <w:pStyle w:val="ListBullet"/>
      </w:pPr>
      <w:r>
        <w:t>The platform does not exfiltrate data to any external service.</w:t>
      </w:r>
    </w:p>
    <w:p>
      <w:pPr>
        <w:pStyle w:val="ListBullet"/>
      </w:pPr>
      <w:r>
        <w:t>The platform does not expose endpoints outside localhost.</w:t>
      </w:r>
    </w:p>
    <w:p>
      <w:pPr>
        <w:pStyle w:val="ListBullet"/>
      </w:pPr>
      <w:r>
        <w:t>The platform does not embed credentials in source code or commits.</w:t>
      </w:r>
    </w:p>
    <w:p>
      <w:pPr>
        <w:pStyle w:val="ListBullet"/>
      </w:pPr>
      <w:r>
        <w:t>The platform does not store data on third-party storage.</w:t>
      </w:r>
    </w:p>
    <w:p>
      <w:pPr>
        <w:pStyle w:val="Heading1"/>
      </w:pPr>
      <w:r>
        <w:rPr>
          <w:color w:val="1F3A5F"/>
        </w:rPr>
        <w:t>19. Local Storage Only Model</w:t>
      </w:r>
    </w:p>
    <w:p>
      <w:pPr>
        <w:spacing w:after="160"/>
      </w:pPr>
      <w:r>
        <w:t>All runtime files, all snapshots, all governance files, all mechanics manuals and all audit records reside on the local machine. The platform does not require a database, a cloud storage account, a shared network drive or a third-party synchronisation service.</w:t>
      </w:r>
    </w:p>
    <w:p>
      <w:pPr>
        <w:spacing w:after="160"/>
      </w:pPr>
      <w:r>
        <w:t>This local-only model has clear security advantages. The attack surface is reduced to the local host. The data is protected by the same controls that protect the host. The platform cannot become a vector for data leakage to a remote location because no such path exists.</w:t>
      </w:r>
    </w:p>
    <w:p>
      <w:pPr>
        <w:pStyle w:val="Heading1"/>
      </w:pPr>
      <w:r>
        <w:rPr>
          <w:color w:val="1F3A5F"/>
        </w:rPr>
        <w:t>20. Backup and Recovery</w:t>
      </w:r>
    </w:p>
    <w:p>
      <w:pPr>
        <w:spacing w:after="160"/>
      </w:pPr>
      <w:r>
        <w:t>Backup and recovery are handled in two ways. The first is the rolling snapshot store, which captures the runtime payload at controlled intervals and retains a defined history. The second is the version control history, which captures the evolution of the code and the governance pack over time.</w:t>
      </w:r>
    </w:p>
    <w:p>
      <w:pPr>
        <w:spacing w:after="160"/>
      </w:pPr>
      <w:r>
        <w:t>Together these mechanisms allow the platform to be restored to a known good state at any point covered by the retention windows. The recovery model has been used in practice: an explicit rollback runbook exists, and the safe cleanup tooling supports a quarantine model rather than immediate deletion. The platform's backup posture is therefore operationally validated, not merely theoretical.</w:t>
      </w:r>
    </w:p>
    <w:p>
      <w:pPr>
        <w:pStyle w:val="Heading1"/>
      </w:pPr>
      <w:r>
        <w:rPr>
          <w:color w:val="1F3A5F"/>
        </w:rPr>
        <w:t>21. Risks and Mitigations</w:t>
      </w:r>
    </w:p>
    <w:p>
      <w:pPr>
        <w:spacing w:after="160"/>
      </w:pPr>
      <w:r>
        <w:t>The platform tracks security-relevant risks explicitly. The table below summarises the principal risks and the active mitigations in place for each.</w:t>
      </w:r>
    </w:p>
    <w:tbl>
      <w:tblPr>
        <w:tblStyle w:val="LightGrid-Accent1"/>
        <w:tblW w:type="auto" w:w="0"/>
        <w:tblLook w:firstColumn="1" w:firstRow="1" w:lastColumn="0" w:lastRow="0" w:noHBand="0" w:noVBand="1" w:val="04A0"/>
      </w:tblPr>
      <w:tblGrid>
        <w:gridCol w:w="4320"/>
        <w:gridCol w:w="4320"/>
      </w:tblGrid>
      <w:tr>
        <w:tc>
          <w:tcPr>
            <w:tcW w:type="dxa" w:w="3402"/>
          </w:tcPr>
          <w:p>
            <w:r>
              <w:rPr>
                <w:b/>
                <w:sz w:val="20"/>
              </w:rPr>
              <w:t>Risk</w:t>
            </w:r>
          </w:p>
        </w:tc>
        <w:tc>
          <w:tcPr>
            <w:tcW w:type="dxa" w:w="4535"/>
          </w:tcPr>
          <w:p>
            <w:r>
              <w:rPr>
                <w:b/>
                <w:sz w:val="20"/>
              </w:rPr>
              <w:t>Mitigation</w:t>
            </w:r>
          </w:p>
        </w:tc>
      </w:tr>
      <w:tr>
        <w:tc>
          <w:tcPr>
            <w:tcW w:type="dxa" w:w="3402"/>
          </w:tcPr>
          <w:p>
            <w:r>
              <w:rPr>
                <w:sz w:val="20"/>
              </w:rPr>
              <w:t>Credential exposure via source control</w:t>
            </w:r>
          </w:p>
        </w:tc>
        <w:tc>
          <w:tcPr>
            <w:tcW w:type="dxa" w:w="4535"/>
          </w:tcPr>
          <w:p>
            <w:r>
              <w:rPr>
                <w:sz w:val="20"/>
              </w:rPr>
              <w:t>.env, tokens.json and .auth_state.json are local-only and excluded from version control.</w:t>
            </w:r>
          </w:p>
        </w:tc>
      </w:tr>
      <w:tr>
        <w:tc>
          <w:tcPr>
            <w:tcW w:type="dxa" w:w="3402"/>
          </w:tcPr>
          <w:p>
            <w:r>
              <w:rPr>
                <w:sz w:val="20"/>
              </w:rPr>
              <w:t>Token compromise on host</w:t>
            </w:r>
          </w:p>
        </w:tc>
        <w:tc>
          <w:tcPr>
            <w:tcW w:type="dxa" w:w="4535"/>
          </w:tcPr>
          <w:p>
            <w:r>
              <w:rPr>
                <w:sz w:val="20"/>
              </w:rPr>
              <w:t>Short-lived access tokens; refresh tokens stored locally; manual rotation supported.</w:t>
            </w:r>
          </w:p>
        </w:tc>
      </w:tr>
      <w:tr>
        <w:tc>
          <w:tcPr>
            <w:tcW w:type="dxa" w:w="3402"/>
          </w:tcPr>
          <w:p>
            <w:r>
              <w:rPr>
                <w:sz w:val="20"/>
              </w:rPr>
              <w:t>Drift between runtime and documentation</w:t>
            </w:r>
          </w:p>
        </w:tc>
        <w:tc>
          <w:tcPr>
            <w:tcW w:type="dxa" w:w="4535"/>
          </w:tcPr>
          <w:p>
            <w:r>
              <w:rPr>
                <w:sz w:val="20"/>
              </w:rPr>
              <w:t>Contract validator, change tracker, audit trail and sync orchestrator.</w:t>
            </w:r>
          </w:p>
        </w:tc>
      </w:tr>
      <w:tr>
        <w:tc>
          <w:tcPr>
            <w:tcW w:type="dxa" w:w="3402"/>
          </w:tcPr>
          <w:p>
            <w:r>
              <w:rPr>
                <w:sz w:val="20"/>
              </w:rPr>
              <w:t>Unauthorised local access</w:t>
            </w:r>
          </w:p>
        </w:tc>
        <w:tc>
          <w:tcPr>
            <w:tcW w:type="dxa" w:w="4535"/>
          </w:tcPr>
          <w:p>
            <w:r>
              <w:rPr>
                <w:sz w:val="20"/>
              </w:rPr>
              <w:t>Web layer bound to localhost; standard host-level access controls apply.</w:t>
            </w:r>
          </w:p>
        </w:tc>
      </w:tr>
      <w:tr>
        <w:tc>
          <w:tcPr>
            <w:tcW w:type="dxa" w:w="3402"/>
          </w:tcPr>
          <w:p>
            <w:r>
              <w:rPr>
                <w:sz w:val="20"/>
              </w:rPr>
              <w:t>Snapshot store growth</w:t>
            </w:r>
          </w:p>
        </w:tc>
        <w:tc>
          <w:tcPr>
            <w:tcW w:type="dxa" w:w="4535"/>
          </w:tcPr>
          <w:p>
            <w:r>
              <w:rPr>
                <w:sz w:val="20"/>
              </w:rPr>
              <w:t>Retention rules cap snapshot count; minimum interval prevents over-collection.</w:t>
            </w:r>
          </w:p>
        </w:tc>
      </w:tr>
      <w:tr>
        <w:tc>
          <w:tcPr>
            <w:tcW w:type="dxa" w:w="3402"/>
          </w:tcPr>
          <w:p>
            <w:r>
              <w:rPr>
                <w:sz w:val="20"/>
              </w:rPr>
              <w:t>Lost engineering knowledge</w:t>
            </w:r>
          </w:p>
        </w:tc>
        <w:tc>
          <w:tcPr>
            <w:tcW w:type="dxa" w:w="4535"/>
          </w:tcPr>
          <w:p>
            <w:r>
              <w:rPr>
                <w:sz w:val="20"/>
              </w:rPr>
              <w:t>Governance pack, manager brief, mechanics manuals, audit trail and change log.</w:t>
            </w:r>
          </w:p>
        </w:tc>
      </w:tr>
      <w:tr>
        <w:tc>
          <w:tcPr>
            <w:tcW w:type="dxa" w:w="3402"/>
          </w:tcPr>
          <w:p>
            <w:r>
              <w:rPr>
                <w:sz w:val="20"/>
              </w:rPr>
              <w:t>Unintended write to Atlassian</w:t>
            </w:r>
          </w:p>
        </w:tc>
        <w:tc>
          <w:tcPr>
            <w:tcW w:type="dxa" w:w="4535"/>
          </w:tcPr>
          <w:p>
            <w:r>
              <w:rPr>
                <w:sz w:val="20"/>
              </w:rPr>
              <w:t>No write code paths exist in the platform; refusal is structural.</w:t>
            </w:r>
          </w:p>
        </w:tc>
      </w:tr>
    </w:tbl>
    <w:p/>
    <w:p>
      <w:pPr>
        <w:pStyle w:val="Heading1"/>
      </w:pPr>
      <w:r>
        <w:rPr>
          <w:color w:val="1F3A5F"/>
        </w:rPr>
        <w:t>22. Compliance Alignment</w:t>
      </w:r>
    </w:p>
    <w:p>
      <w:pPr>
        <w:spacing w:after="160"/>
      </w:pPr>
      <w:r>
        <w:t>JOM is an internal operational platform. It is not a regulated production system. However, it is engineered to align with the principles that typical compliance frameworks emphasise: least privilege, minimal data movement, auditability, controlled access, separation of duties between observation and action, and documented change history.</w:t>
      </w:r>
    </w:p>
    <w:p>
      <w:pPr>
        <w:spacing w:after="160"/>
      </w:pPr>
      <w:r>
        <w:t>Specifically, the platform observes rather than acts, restricts itself to authorised credentials, retains its data on the local machine, and exposes a clear audit history of how its runtime contract has evolved. These properties are expressed in plain English in this document so that they can be referenced directly in any internal compliance review.</w:t>
      </w:r>
    </w:p>
    <w:p>
      <w:pPr>
        <w:pStyle w:val="Heading1"/>
      </w:pPr>
      <w:r>
        <w:rPr>
          <w:color w:val="1F3A5F"/>
        </w:rPr>
        <w:t>23. Future Hardening Roadmap</w:t>
      </w:r>
    </w:p>
    <w:p>
      <w:pPr>
        <w:spacing w:after="160"/>
      </w:pPr>
      <w:r>
        <w:t>While the current posture is already strong, several further hardening steps are planned in subsequent sprints. These are intended to reduce residual operational risk and to make the platform's good behaviour more visible to stakeholders.</w:t>
      </w:r>
    </w:p>
    <w:p>
      <w:pPr>
        <w:pStyle w:val="ListBullet"/>
      </w:pPr>
      <w:r>
        <w:t>Scheduled sync via Windows Task Scheduler to remove human triggering as a failure mode.</w:t>
      </w:r>
    </w:p>
    <w:p>
      <w:pPr>
        <w:pStyle w:val="ListBullet"/>
      </w:pPr>
      <w:r>
        <w:t>Secondary snapshot backup to a controlled local location for additional recovery margin.</w:t>
      </w:r>
    </w:p>
    <w:p>
      <w:pPr>
        <w:pStyle w:val="ListBullet"/>
      </w:pPr>
      <w:r>
        <w:t>Stronger drift visualisation in the web layer to make detected change immediately visible to the operator.</w:t>
      </w:r>
    </w:p>
    <w:p>
      <w:pPr>
        <w:pStyle w:val="ListBullet"/>
      </w:pPr>
      <w:r>
        <w:t>Documented credential rotation procedure for both OAuth client secret and Admin API key.</w:t>
      </w:r>
    </w:p>
    <w:p>
      <w:pPr>
        <w:pStyle w:val="ListBullet"/>
      </w:pPr>
      <w:r>
        <w:t>Documented incident response runbook for credential compromise, drift events and unexpected platform behaviour.</w:t>
      </w:r>
    </w:p>
    <w:p>
      <w:pPr>
        <w:pStyle w:val="Heading1"/>
      </w:pPr>
      <w:r>
        <w:rPr>
          <w:color w:val="1F3A5F"/>
        </w:rPr>
        <w:t>24. Stakeholder Statement</w:t>
      </w:r>
    </w:p>
    <w:p>
      <w:pPr>
        <w:spacing w:after="160"/>
      </w:pPr>
      <w:r>
        <w:t>Stakeholders should understand JOM as a strictly read-only internal observation platform. It cannot, by design, change the Atlassian estate. It does not store data outside the local machine. It uses only credentials issued through the official Atlassian flows. Its evolution is tracked through a runtime contract validator, a change log and an audit trail.</w:t>
      </w:r>
    </w:p>
    <w:p>
      <w:pPr>
        <w:spacing w:after="160"/>
      </w:pPr>
      <w:r>
        <w:t>From a security perspective, the platform is conservative, contained and explainable. It exists to make the estate more visible to the people responsible for it, not to act on the estate on their behalf.</w:t>
      </w:r>
    </w:p>
    <w:p>
      <w:pPr>
        <w:pStyle w:val="Heading1"/>
      </w:pPr>
      <w:r>
        <w:rPr>
          <w:color w:val="1F3A5F"/>
        </w:rPr>
        <w:t>25. Final Posture Summary</w:t>
      </w:r>
    </w:p>
    <w:p>
      <w:pPr>
        <w:spacing w:after="160"/>
      </w:pPr>
      <w:r>
        <w:t>The Jira Observation Monitor presents a security posture that is consistent at every layer: it is read-only, credential-disciplined, local-only, auditable, self-validating and conservatively scoped. Each of these properties is implemented in code, supported by documentation, and visible in operational evidence such as the audit trail, the mechanics change log and the runtime contract snapshot.</w:t>
      </w:r>
    </w:p>
    <w:p>
      <w:pPr>
        <w:spacing w:after="160"/>
      </w:pPr>
      <w:r>
        <w:t>This document, taken together with the master governance pack, the mechanics manuals, the sprint and deliverables document and the runtime contract snapshot, constitutes the platform's current security position of record. It is intended to be sufficient for management defence, audit response, successor engineer onboarding and stakeholder reassurance.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Jira Observation Monitor — Security Posture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Crockett</dc:creator>
  <keywords/>
  <dc:description>generated by python-docx</dc:description>
  <lastModifiedBy>Luke Crockett</lastModifiedBy>
  <revision>1</revision>
  <dcterms:created xsi:type="dcterms:W3CDTF">2026-06-19T07:58:50.1046506Z</dcterms:created>
  <dcterms:modified xsi:type="dcterms:W3CDTF">2026-06-19T07:58:50.1046506Z</dcterms:modified>
  <category/>
</coreProperties>
</file>