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JIRA OBSERVATION MONITOR</w:t>
        <w:br/>
      </w:r>
      <w:r>
        <w:rPr>
          <w:sz w:val="24"/>
        </w:rPr>
        <w:t>Manager / Stakeholder Brief</w:t>
        <w:br/>
        <w:t>Purpose, justification, progress, and time-protection summary</w:t>
        <w:br/>
        <w:t>GLI Internal Use Only</w:t>
        <w:br/>
        <w:t>Version 2.0 — Updated June 2026</w:t>
      </w:r>
    </w:p>
    <w:p>
      <w:pPr>
        <w:pStyle w:val="Heading1"/>
      </w:pPr>
      <w:r>
        <w:t>1. What This Tool Is</w:t>
      </w:r>
    </w:p>
    <w:p>
      <w:r>
        <w:t>Jira Observation Monitor is a read-only internal operational intelligence platform for GLI’s Atlassian estate. It exists to provide one operational control point across multiple Jira/Atlassian sites, with drilldowns, account/access signals, alerting, and intelligence outputs.</w:t>
      </w:r>
    </w:p>
    <w:p>
      <w:pPr>
        <w:pStyle w:val="Heading1"/>
      </w:pPr>
      <w:r>
        <w:t>2. Why This Work Exists</w:t>
      </w:r>
    </w:p>
    <w:p>
      <w:pPr>
        <w:pStyle w:val="ListBullet"/>
      </w:pPr>
      <w:r>
        <w:t>To provide estate-wide visibility that is otherwise fragmented across multiple Atlassian surfaces.</w:t>
      </w:r>
    </w:p>
    <w:p>
      <w:pPr>
        <w:pStyle w:val="ListBullet"/>
      </w:pPr>
      <w:r>
        <w:t>To shorten the time needed to identify operational anomalies, user/account issues, and site-level risk conditions.</w:t>
      </w:r>
    </w:p>
    <w:p>
      <w:pPr>
        <w:pStyle w:val="ListBullet"/>
      </w:pPr>
      <w:r>
        <w:t>To build a handover-safe internal capability that does not rely on one person remembering how everything works.</w:t>
      </w:r>
    </w:p>
    <w:p>
      <w:pPr>
        <w:pStyle w:val="ListBullet"/>
      </w:pPr>
      <w:r>
        <w:t>To create a reusable, governed internal asset rather than a one-off manual checking routine.</w:t>
      </w:r>
    </w:p>
    <w:p>
      <w:pPr>
        <w:pStyle w:val="Heading1"/>
      </w:pPr>
      <w:r>
        <w:t>3. What Has Been Delivered So Far</w:t>
      </w:r>
    </w:p>
    <w:p>
      <w:pPr>
        <w:pStyle w:val="ListBullet"/>
      </w:pPr>
      <w:r>
        <w:t>Live authentication to Jira product APIs is working.</w:t>
      </w:r>
    </w:p>
    <w:p>
      <w:pPr>
        <w:pStyle w:val="ListBullet"/>
      </w:pPr>
      <w:r>
        <w:t>Admin API enrichment is working.</w:t>
      </w:r>
    </w:p>
    <w:p>
      <w:pPr>
        <w:pStyle w:val="ListBullet"/>
      </w:pPr>
      <w:r>
        <w:t>The platform now runs on generated runtime JSON rather than UI-created truth.</w:t>
      </w:r>
    </w:p>
    <w:p>
      <w:pPr>
        <w:pStyle w:val="ListBullet"/>
      </w:pPr>
      <w:r>
        <w:t>Alert rules are active.</w:t>
      </w:r>
    </w:p>
    <w:p>
      <w:pPr>
        <w:pStyle w:val="ListBullet"/>
      </w:pPr>
      <w:r>
        <w:t>Intelligence outputs are active.</w:t>
      </w:r>
    </w:p>
    <w:p>
      <w:pPr>
        <w:pStyle w:val="ListBullet"/>
      </w:pPr>
      <w:r>
        <w:t>600-second automated refresh and browser refresh/status tooling are in place.</w:t>
      </w:r>
    </w:p>
    <w:p>
      <w:pPr>
        <w:pStyle w:val="ListBullet"/>
      </w:pPr>
      <w:r>
        <w:t>Recovery, cleanup, and handover materials are now significantly stronger.</w:t>
      </w:r>
    </w:p>
    <w:p>
      <w:pPr>
        <w:pStyle w:val="Heading1"/>
      </w:pPr>
      <w:r>
        <w:t>4. Current Project Position</w:t>
      </w:r>
    </w:p>
    <w:p>
      <w:r>
        <w:t>Current runtime source: latest_run_intelligence.json. This means the product is not only collecting and enriching live data — it is now also producing alert and intelligence output on top of that runtime chain.</w:t>
      </w:r>
    </w:p>
    <w:p>
      <w:r>
        <w:t>In practical terms, the project is beyond prototype stage. The work remaining is concentrated around tuning, validation, resilience testing, and stakeholder-readiness.</w:t>
      </w:r>
    </w:p>
    <w:p>
      <w:pPr>
        <w:pStyle w:val="Heading1"/>
      </w:pPr>
      <w:r>
        <w:t>5. Delivery Estimate Summary</w:t>
      </w:r>
    </w:p>
    <w:tbl>
      <w:tblPr>
        <w:tblStyle w:val="TableGrid"/>
        <w:tblW w:type="auto" w:w="0"/>
        <w:tblLook w:firstColumn="1" w:firstRow="1" w:lastColumn="0" w:lastRow="0" w:noHBand="0" w:noVBand="1" w:val="04A0"/>
      </w:tblPr>
      <w:tblGrid>
        <w:gridCol w:w="4320"/>
        <w:gridCol w:w="4320"/>
      </w:tblGrid>
      <w:tr>
        <w:tc>
          <w:tcPr>
            <w:tcW w:type="dxa" w:w="6048"/>
          </w:tcPr>
          <w:p>
            <w:r>
              <w:t>Area</w:t>
            </w:r>
          </w:p>
        </w:tc>
        <w:tc>
          <w:tcPr>
            <w:tcW w:type="dxa" w:w="2880"/>
          </w:tcPr>
          <w:p>
            <w:r>
              <w:t>Estimate</w:t>
            </w:r>
          </w:p>
        </w:tc>
      </w:tr>
      <w:tr>
        <w:tc>
          <w:tcPr>
            <w:tcW w:type="dxa" w:w="6048"/>
          </w:tcPr>
          <w:p>
            <w:r>
              <w:t>Delivered to current state</w:t>
            </w:r>
          </w:p>
        </w:tc>
        <w:tc>
          <w:tcPr>
            <w:tcW w:type="dxa" w:w="2880"/>
          </w:tcPr>
          <w:p>
            <w:r>
              <w:t>approx. 122–146h delivered to current state</w:t>
            </w:r>
          </w:p>
        </w:tc>
      </w:tr>
      <w:tr>
        <w:tc>
          <w:tcPr>
            <w:tcW w:type="dxa" w:w="6048"/>
          </w:tcPr>
          <w:p>
            <w:r>
              <w:t>Remaining to hardened internal product</w:t>
            </w:r>
          </w:p>
        </w:tc>
        <w:tc>
          <w:tcPr>
            <w:tcW w:type="dxa" w:w="2880"/>
          </w:tcPr>
          <w:p>
            <w:r>
              <w:t>approx. 60–94h to reach a hardened, deployment-ready, stakeholder-ready internal product</w:t>
            </w:r>
          </w:p>
        </w:tc>
      </w:tr>
      <w:tr>
        <w:tc>
          <w:tcPr>
            <w:tcW w:type="dxa" w:w="6048"/>
          </w:tcPr>
          <w:p>
            <w:r>
              <w:t>Working full lifecycle estimate</w:t>
            </w:r>
          </w:p>
        </w:tc>
        <w:tc>
          <w:tcPr>
            <w:tcW w:type="dxa" w:w="2880"/>
          </w:tcPr>
          <w:p>
            <w:r>
              <w:t>approx. 182–240h full lifecycle estimate based on current scope and live progress</w:t>
            </w:r>
          </w:p>
        </w:tc>
      </w:tr>
    </w:tbl>
    <w:p>
      <w:r>
        <w:t>This estimate is intended to protect focused engineering time by showing that the project is already materially advanced and that stopping now would strand value after many of the hardest technical items have been completed.</w:t>
      </w:r>
    </w:p>
    <w:p>
      <w:pPr>
        <w:pStyle w:val="Heading1"/>
      </w:pPr>
      <w:r>
        <w:t>6. Why Time Protection Is Reasonable</w:t>
      </w:r>
    </w:p>
    <w:p>
      <w:pPr>
        <w:pStyle w:val="ListBullet"/>
      </w:pPr>
      <w:r>
        <w:t>The project has already passed the most technically expensive phases: auth, runtime migration, admin enrichment, and live alert/intelligence activation.</w:t>
      </w:r>
    </w:p>
    <w:p>
      <w:pPr>
        <w:pStyle w:val="ListBullet"/>
      </w:pPr>
      <w:r>
        <w:t>The remaining work is lower-risk but still essential if the organisation wants a credible internal product rather than a fragile personal tool.</w:t>
      </w:r>
    </w:p>
    <w:p>
      <w:pPr>
        <w:pStyle w:val="ListBullet"/>
      </w:pPr>
      <w:r>
        <w:t>Documenting and hardening the platform now reduces single-point-of-failure risk and improves continuity if cover is needed.</w:t>
      </w:r>
    </w:p>
    <w:p>
      <w:pPr>
        <w:pStyle w:val="Heading1"/>
      </w:pPr>
      <w:r>
        <w:t>7. What Another Engineer Would Need if Cover Was Required</w:t>
      </w:r>
    </w:p>
    <w:p>
      <w:pPr>
        <w:pStyle w:val="ListBullet"/>
      </w:pPr>
      <w:r>
        <w:t>This manager brief</w:t>
      </w:r>
    </w:p>
    <w:p>
      <w:pPr>
        <w:pStyle w:val="ListBullet"/>
      </w:pPr>
      <w:r>
        <w:t>The full master governance / handover pack</w:t>
      </w:r>
    </w:p>
    <w:p>
      <w:pPr>
        <w:pStyle w:val="ListBullet"/>
      </w:pPr>
      <w:r>
        <w:t>The technical handover manual and manuals index</w:t>
      </w:r>
    </w:p>
    <w:p>
      <w:pPr>
        <w:pStyle w:val="ListBullet"/>
      </w:pPr>
      <w:r>
        <w:t>The local project folder with the runtime scripts and latest runtime files</w:t>
      </w:r>
    </w:p>
    <w:p>
      <w:r>
        <w:t>Those materials are specifically intended to support board/director scrutiny, line-manager protection of time, and operational continuity if ownership changes or the project owner is out of office.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Jira Observation Monitor — Manager and Stakeholder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