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jc w:val="center"/>
      </w:pPr>
      <w:r>
        <w:t>Finflow Transaction Platform</w:t>
        <w:br/>
      </w:r>
      <w:r>
        <w:rPr>
          <w:sz w:val="44"/>
        </w:rPr>
        <w:t>Architecture and Implementation Design</w:t>
      </w:r>
    </w:p>
    <w:p>
      <w:pPr>
        <w:pStyle w:val="ReportSubtitle"/>
        <w:jc w:val="center"/>
      </w:pPr>
      <w:r>
        <w:t>Production-grade Java backend system • Modular monolith • Fintech transaction processing</w:t>
      </w:r>
    </w:p>
    <w:p/>
    <w:tbl>
      <w:tblPr>
        <w:tblStyle w:val="TableGrid"/>
        <w:tblW w:type="auto" w:w="0"/>
        <w:jc w:val="center"/>
        <w:tblLook w:firstColumn="1" w:firstRow="1" w:lastColumn="0" w:lastRow="0" w:noHBand="0" w:noVBand="1" w:val="04A0"/>
      </w:tblPr>
      <w:tblGrid>
        <w:gridCol w:w="4873"/>
        <w:gridCol w:w="4873"/>
      </w:tblGrid>
      <w:tr>
        <w:trPr>
          <w:trHeight w:hRule="atLeast"/>
        </w:trPr>
        <w:tc>
          <w:tcPr>
            <w:tcW w:type="dxa" w:w="4873"/>
            <w:tcMar>
              <w:top w:w="80" w:type="dxa"/>
              <w:start w:w="90" w:type="dxa"/>
              <w:bottom w:w="80" w:type="dxa"/>
              <w:end w:w="90" w:type="dxa"/>
            </w:tcMar>
            <w:vAlign w:val="center"/>
            <w:shd w:fill="DBEAFE"/>
          </w:tcPr>
          <w:p>
            <w:pPr>
              <w:spacing w:before="40" w:after="40"/>
            </w:pPr>
            <w:r>
              <w:rPr>
                <w:b/>
              </w:rPr>
              <w:t>Language / Runtime</w:t>
            </w:r>
          </w:p>
        </w:tc>
        <w:tc>
          <w:tcPr>
            <w:tcW w:type="dxa" w:w="4873"/>
            <w:tcMar>
              <w:top w:w="80" w:type="dxa"/>
              <w:start w:w="90" w:type="dxa"/>
              <w:bottom w:w="80" w:type="dxa"/>
              <w:end w:w="90" w:type="dxa"/>
            </w:tcMar>
            <w:vAlign w:val="center"/>
            <w:shd w:fill="DBEAFE"/>
          </w:tcPr>
          <w:p>
            <w:pPr>
              <w:spacing w:before="40" w:after="40"/>
            </w:pPr>
            <w:r>
              <w:rPr>
                <w:b/>
              </w:rPr>
              <w:t>Java 21</w:t>
            </w:r>
          </w:p>
        </w:tc>
      </w:tr>
      <w:tr>
        <w:trPr>
          <w:trHeight w:hRule="atLeast"/>
        </w:trPr>
        <w:tc>
          <w:tcPr>
            <w:tcW w:type="dxa" w:w="4873"/>
            <w:tcMar>
              <w:top w:w="80" w:type="dxa"/>
              <w:start w:w="90" w:type="dxa"/>
              <w:bottom w:w="80" w:type="dxa"/>
              <w:end w:w="90" w:type="dxa"/>
            </w:tcMar>
            <w:vAlign w:val="center"/>
            <w:shd w:fill="F8FAFC"/>
          </w:tcPr>
          <w:p>
            <w:pPr>
              <w:spacing w:before="40" w:after="40"/>
            </w:pPr>
            <w:r>
              <w:t>Framework</w:t>
            </w:r>
          </w:p>
        </w:tc>
        <w:tc>
          <w:tcPr>
            <w:tcW w:type="dxa" w:w="4873"/>
            <w:tcMar>
              <w:top w:w="80" w:type="dxa"/>
              <w:start w:w="90" w:type="dxa"/>
              <w:bottom w:w="80" w:type="dxa"/>
              <w:end w:w="90" w:type="dxa"/>
            </w:tcMar>
            <w:vAlign w:val="center"/>
            <w:shd w:fill="F8FAFC"/>
          </w:tcPr>
          <w:p>
            <w:pPr>
              <w:spacing w:before="40" w:after="40"/>
            </w:pPr>
            <w:r>
              <w:t>Spring Boot 3.5.x, Spring MVC, Spring Data JPA, Spring Security</w:t>
            </w:r>
          </w:p>
        </w:tc>
      </w:tr>
      <w:tr>
        <w:trPr>
          <w:trHeight w:hRule="atLeast"/>
        </w:trPr>
        <w:tc>
          <w:tcPr>
            <w:tcW w:type="dxa" w:w="4873"/>
            <w:tcMar>
              <w:top w:w="80" w:type="dxa"/>
              <w:start w:w="90" w:type="dxa"/>
              <w:bottom w:w="80" w:type="dxa"/>
              <w:end w:w="90" w:type="dxa"/>
            </w:tcMar>
            <w:vAlign w:val="center"/>
          </w:tcPr>
          <w:p>
            <w:pPr>
              <w:spacing w:before="40" w:after="40"/>
            </w:pPr>
            <w:r>
              <w:t>Core Platform</w:t>
            </w:r>
          </w:p>
        </w:tc>
        <w:tc>
          <w:tcPr>
            <w:tcW w:type="dxa" w:w="4873"/>
            <w:tcMar>
              <w:top w:w="80" w:type="dxa"/>
              <w:start w:w="90" w:type="dxa"/>
              <w:bottom w:w="80" w:type="dxa"/>
              <w:end w:w="90" w:type="dxa"/>
            </w:tcMar>
            <w:vAlign w:val="center"/>
          </w:tcPr>
          <w:p>
            <w:pPr>
              <w:spacing w:before="40" w:after="40"/>
            </w:pPr>
            <w:r>
              <w:t>PostgreSQL, Redis, Kafka-compatible broker, Docker, Kubernetes</w:t>
            </w:r>
          </w:p>
        </w:tc>
      </w:tr>
      <w:tr>
        <w:trPr>
          <w:trHeight w:hRule="atLeast"/>
        </w:trPr>
        <w:tc>
          <w:tcPr>
            <w:tcW w:type="dxa" w:w="4873"/>
            <w:tcMar>
              <w:top w:w="80" w:type="dxa"/>
              <w:start w:w="90" w:type="dxa"/>
              <w:bottom w:w="80" w:type="dxa"/>
              <w:end w:w="90" w:type="dxa"/>
            </w:tcMar>
            <w:vAlign w:val="center"/>
            <w:shd w:fill="F8FAFC"/>
          </w:tcPr>
          <w:p>
            <w:pPr>
              <w:spacing w:before="40" w:after="40"/>
            </w:pPr>
            <w:r>
              <w:t>Repository Artifact</w:t>
            </w:r>
          </w:p>
        </w:tc>
        <w:tc>
          <w:tcPr>
            <w:tcW w:type="dxa" w:w="4873"/>
            <w:tcMar>
              <w:top w:w="80" w:type="dxa"/>
              <w:start w:w="90" w:type="dxa"/>
              <w:bottom w:w="80" w:type="dxa"/>
              <w:end w:w="90" w:type="dxa"/>
            </w:tcMar>
            <w:vAlign w:val="center"/>
            <w:shd w:fill="F8FAFC"/>
          </w:tcPr>
          <w:p>
            <w:pPr>
              <w:spacing w:before="40" w:after="40"/>
            </w:pPr>
            <w:r>
              <w:t>Generated Maven project with tests, CI workflow, and deployment assets</w:t>
            </w:r>
          </w:p>
        </w:tc>
      </w:tr>
    </w:tbl>
    <w:p>
      <w:pPr>
        <w:jc w:val="center"/>
      </w:pPr>
      <w:r>
        <w:rPr>
          <w:b/>
        </w:rPr>
        <w:t xml:space="preserve">Purpose: </w:t>
      </w:r>
      <w:r>
        <w:t>demonstrate the backend technologies, patterns, and operational practices most demanded for senior Java backend roles.</w:t>
      </w:r>
    </w:p>
    <w:p>
      <w:r>
        <w:br w:type="page"/>
      </w:r>
    </w:p>
    <w:p>
      <w:pPr>
        <w:pStyle w:val="Heading1"/>
      </w:pPr>
      <w:r>
        <w:t>1. Executive Summary</w:t>
      </w:r>
    </w:p>
    <w:p>
      <w:pPr/>
      <w:r>
        <w:t>Finflow is a production-grade backend platform for outbound money transfers. It exposes a versioned REST API, performs concurrent pre-checks against risk and validation services, persists transfer state in PostgreSQL, writes integration events into an outbox table inside the same transaction, and publishes those events asynchronously to Kafka. The deployment model is containerized, Kubernetes-ready, and instrumented for logs, metrics, tracing, and health monitoring.</w:t>
      </w:r>
    </w:p>
    <w:p>
      <w:pPr/>
      <w:r>
        <w:t>This project is strong for the current backend hiring market because it demonstrates the technologies and engineering decisions that companies actually screen for: Java 21 concurrency, Spring Boot, relational data modeling, idempotent API design, Redis caching, Kafka event delivery, JWT security, Flyway migrations, Docker/Kubernetes deployment, CI/CD, and failure handling with retries, circuit breakers, and bulkheads.</w:t>
      </w:r>
    </w:p>
    <w:p>
      <w:pPr>
        <w:pStyle w:val="Heading1"/>
      </w:pPr>
      <w:r>
        <w:t>2. Business Requirements</w:t>
      </w:r>
    </w:p>
    <w:p>
      <w:pPr>
        <w:pStyle w:val="Heading2"/>
      </w:pPr>
      <w:r>
        <w:t>Functional requirements</w:t>
      </w:r>
    </w:p>
    <w:p>
      <w:pPr>
        <w:pStyle w:val="ListBullet"/>
      </w:pPr>
      <w:r>
        <w:t>Create outbound transfer requests through a versioned REST API.</w:t>
      </w:r>
    </w:p>
    <w:p>
      <w:pPr>
        <w:pStyle w:val="ListBullet"/>
      </w:pPr>
      <w:r>
        <w:t>Enforce idempotency on transfer creation using a client-supplied Idempotency-Key.</w:t>
      </w:r>
    </w:p>
    <w:p>
      <w:pPr>
        <w:pStyle w:val="ListBullet"/>
      </w:pPr>
      <w:r>
        <w:t>Retrieve a transfer by identifier and list transfers with filters, pagination, and sorting.</w:t>
      </w:r>
    </w:p>
    <w:p>
      <w:pPr>
        <w:pStyle w:val="ListBullet"/>
      </w:pPr>
      <w:r>
        <w:t>Run synchronous pre-checks: source account validation, beneficiary screening, and fraud scoring.</w:t>
      </w:r>
    </w:p>
    <w:p>
      <w:pPr>
        <w:pStyle w:val="ListBullet"/>
      </w:pPr>
      <w:r>
        <w:t>Persist a durable event publication intent and publish transfer-created events asynchronously.</w:t>
      </w:r>
    </w:p>
    <w:p>
      <w:pPr>
        <w:pStyle w:val="Heading2"/>
      </w:pPr>
      <w:r>
        <w:t>Non-functional requirements</w:t>
      </w:r>
    </w:p>
    <w:p>
      <w:pPr>
        <w:pStyle w:val="ListBullet"/>
      </w:pPr>
      <w:r>
        <w:t>Strong write consistency for transfer state and idempotency constraints.</w:t>
      </w:r>
    </w:p>
    <w:p>
      <w:pPr>
        <w:pStyle w:val="ListBullet"/>
      </w:pPr>
      <w:r>
        <w:t>At-least-once event publication with downstream deduplication support.</w:t>
      </w:r>
    </w:p>
    <w:p>
      <w:pPr>
        <w:pStyle w:val="ListBullet"/>
      </w:pPr>
      <w:r>
        <w:t>Horizontal scalability for stateless application nodes.</w:t>
      </w:r>
    </w:p>
    <w:p>
      <w:pPr>
        <w:pStyle w:val="ListBullet"/>
      </w:pPr>
      <w:r>
        <w:t>Secure API using JWT bearer tokens and scope-based authorization.</w:t>
      </w:r>
    </w:p>
    <w:p>
      <w:pPr>
        <w:pStyle w:val="ListBullet"/>
      </w:pPr>
      <w:r>
        <w:t>Comprehensive observability: structured logging, metrics, tracing, health checks, and dashboards.</w:t>
      </w:r>
    </w:p>
    <w:p>
      <w:pPr>
        <w:pStyle w:val="ListBullet"/>
      </w:pPr>
      <w:r>
        <w:t>Cloud-ready deployment model with immutable containers and automated CI/CD.</w:t>
      </w:r>
    </w:p>
    <w:p>
      <w:pPr>
        <w:pStyle w:val="Heading2"/>
      </w:pPr>
      <w:r>
        <w:t>Scale and service objectives</w:t>
      </w:r>
    </w:p>
    <w:tbl>
      <w:tblPr>
        <w:tblStyle w:val="TableGrid"/>
        <w:tblW w:type="auto" w:w="0"/>
        <w:jc w:val="center"/>
        <w:tblLook w:firstColumn="1" w:firstRow="1" w:lastColumn="0" w:lastRow="0" w:noHBand="0" w:noVBand="1" w:val="04A0"/>
      </w:tblPr>
      <w:tblGrid>
        <w:gridCol w:w="4873"/>
        <w:gridCol w:w="4873"/>
      </w:tblGrid>
      <w:tr>
        <w:trPr>
          <w:trHeight w:hRule="atLeast"/>
        </w:trPr>
        <w:tc>
          <w:tcPr>
            <w:tcW w:type="dxa" w:w="4873"/>
            <w:tcMar>
              <w:top w:w="80" w:type="dxa"/>
              <w:start w:w="90" w:type="dxa"/>
              <w:bottom w:w="80" w:type="dxa"/>
              <w:end w:w="90" w:type="dxa"/>
            </w:tcMar>
            <w:vAlign w:val="center"/>
            <w:shd w:fill="E2E8F0"/>
          </w:tcPr>
          <w:p>
            <w:pPr>
              <w:spacing w:before="40" w:after="40"/>
            </w:pPr>
            <w:r>
              <w:rPr>
                <w:b/>
              </w:rPr>
              <w:t>Dimension</w:t>
            </w:r>
          </w:p>
        </w:tc>
        <w:tc>
          <w:tcPr>
            <w:tcW w:type="dxa" w:w="4873"/>
            <w:tcMar>
              <w:top w:w="80" w:type="dxa"/>
              <w:start w:w="90" w:type="dxa"/>
              <w:bottom w:w="80" w:type="dxa"/>
              <w:end w:w="90" w:type="dxa"/>
            </w:tcMar>
            <w:vAlign w:val="center"/>
            <w:shd w:fill="E2E8F0"/>
          </w:tcPr>
          <w:p>
            <w:pPr>
              <w:spacing w:before="40" w:after="40"/>
            </w:pPr>
            <w:r>
              <w:rPr>
                <w:b/>
              </w:rPr>
              <w:t>Assumption</w:t>
            </w:r>
          </w:p>
        </w:tc>
      </w:tr>
      <w:tr>
        <w:trPr>
          <w:trHeight w:hRule="atLeast"/>
        </w:trPr>
        <w:tc>
          <w:tcPr>
            <w:tcW w:type="dxa" w:w="4873"/>
            <w:tcMar>
              <w:top w:w="80" w:type="dxa"/>
              <w:start w:w="90" w:type="dxa"/>
              <w:bottom w:w="80" w:type="dxa"/>
              <w:end w:w="90" w:type="dxa"/>
            </w:tcMar>
            <w:vAlign w:val="center"/>
            <w:shd w:fill="F8FAFC"/>
          </w:tcPr>
          <w:p>
            <w:pPr>
              <w:spacing w:before="40" w:after="40"/>
            </w:pPr>
            <w:r>
              <w:t>Sustained throughput</w:t>
            </w:r>
          </w:p>
        </w:tc>
        <w:tc>
          <w:tcPr>
            <w:tcW w:type="dxa" w:w="4873"/>
            <w:tcMar>
              <w:top w:w="80" w:type="dxa"/>
              <w:start w:w="90" w:type="dxa"/>
              <w:bottom w:w="80" w:type="dxa"/>
              <w:end w:w="90" w:type="dxa"/>
            </w:tcMar>
            <w:vAlign w:val="center"/>
            <w:shd w:fill="F8FAFC"/>
          </w:tcPr>
          <w:p>
            <w:pPr>
              <w:spacing w:before="40" w:after="40"/>
            </w:pPr>
            <w:r>
              <w:t>200–500 TPS</w:t>
            </w:r>
          </w:p>
        </w:tc>
      </w:tr>
      <w:tr>
        <w:trPr>
          <w:trHeight w:hRule="atLeast"/>
        </w:trPr>
        <w:tc>
          <w:tcPr>
            <w:tcW w:type="dxa" w:w="4873"/>
            <w:tcMar>
              <w:top w:w="80" w:type="dxa"/>
              <w:start w:w="90" w:type="dxa"/>
              <w:bottom w:w="80" w:type="dxa"/>
              <w:end w:w="90" w:type="dxa"/>
            </w:tcMar>
            <w:vAlign w:val="center"/>
          </w:tcPr>
          <w:p>
            <w:pPr>
              <w:spacing w:before="40" w:after="40"/>
            </w:pPr>
            <w:r>
              <w:t>Burst throughput</w:t>
            </w:r>
          </w:p>
        </w:tc>
        <w:tc>
          <w:tcPr>
            <w:tcW w:type="dxa" w:w="4873"/>
            <w:tcMar>
              <w:top w:w="80" w:type="dxa"/>
              <w:start w:w="90" w:type="dxa"/>
              <w:bottom w:w="80" w:type="dxa"/>
              <w:end w:w="90" w:type="dxa"/>
            </w:tcMar>
            <w:vAlign w:val="center"/>
          </w:tcPr>
          <w:p>
            <w:pPr>
              <w:spacing w:before="40" w:after="40"/>
            </w:pPr>
            <w:r>
              <w:t>Up to 2,000 TPS during payroll and payment windows</w:t>
            </w:r>
          </w:p>
        </w:tc>
      </w:tr>
      <w:tr>
        <w:trPr>
          <w:trHeight w:hRule="atLeast"/>
        </w:trPr>
        <w:tc>
          <w:tcPr>
            <w:tcW w:type="dxa" w:w="4873"/>
            <w:tcMar>
              <w:top w:w="80" w:type="dxa"/>
              <w:start w:w="90" w:type="dxa"/>
              <w:bottom w:w="80" w:type="dxa"/>
              <w:end w:w="90" w:type="dxa"/>
            </w:tcMar>
            <w:vAlign w:val="center"/>
            <w:shd w:fill="F8FAFC"/>
          </w:tcPr>
          <w:p>
            <w:pPr>
              <w:spacing w:before="40" w:after="40"/>
            </w:pPr>
            <w:r>
              <w:t>Annual volume</w:t>
            </w:r>
          </w:p>
        </w:tc>
        <w:tc>
          <w:tcPr>
            <w:tcW w:type="dxa" w:w="4873"/>
            <w:tcMar>
              <w:top w:w="80" w:type="dxa"/>
              <w:start w:w="90" w:type="dxa"/>
              <w:bottom w:w="80" w:type="dxa"/>
              <w:end w:w="90" w:type="dxa"/>
            </w:tcMar>
            <w:vAlign w:val="center"/>
            <w:shd w:fill="F8FAFC"/>
          </w:tcPr>
          <w:p>
            <w:pPr>
              <w:spacing w:before="40" w:after="40"/>
            </w:pPr>
            <w:r>
              <w:t>50M+ transfers per year</w:t>
            </w:r>
          </w:p>
        </w:tc>
      </w:tr>
      <w:tr>
        <w:trPr>
          <w:trHeight w:hRule="atLeast"/>
        </w:trPr>
        <w:tc>
          <w:tcPr>
            <w:tcW w:type="dxa" w:w="4873"/>
            <w:tcMar>
              <w:top w:w="80" w:type="dxa"/>
              <w:start w:w="90" w:type="dxa"/>
              <w:bottom w:w="80" w:type="dxa"/>
              <w:end w:w="90" w:type="dxa"/>
            </w:tcMar>
            <w:vAlign w:val="center"/>
          </w:tcPr>
          <w:p>
            <w:pPr>
              <w:spacing w:before="40" w:after="40"/>
            </w:pPr>
            <w:r>
              <w:t>Availability target</w:t>
            </w:r>
          </w:p>
        </w:tc>
        <w:tc>
          <w:tcPr>
            <w:tcW w:type="dxa" w:w="4873"/>
            <w:tcMar>
              <w:top w:w="80" w:type="dxa"/>
              <w:start w:w="90" w:type="dxa"/>
              <w:bottom w:w="80" w:type="dxa"/>
              <w:end w:w="90" w:type="dxa"/>
            </w:tcMar>
            <w:vAlign w:val="center"/>
          </w:tcPr>
          <w:p>
            <w:pPr>
              <w:spacing w:before="40" w:after="40"/>
            </w:pPr>
            <w:r>
              <w:t>99.95% API availability</w:t>
            </w:r>
          </w:p>
        </w:tc>
      </w:tr>
      <w:tr>
        <w:trPr>
          <w:trHeight w:hRule="atLeast"/>
        </w:trPr>
        <w:tc>
          <w:tcPr>
            <w:tcW w:type="dxa" w:w="4873"/>
            <w:tcMar>
              <w:top w:w="80" w:type="dxa"/>
              <w:start w:w="90" w:type="dxa"/>
              <w:bottom w:w="80" w:type="dxa"/>
              <w:end w:w="90" w:type="dxa"/>
            </w:tcMar>
            <w:vAlign w:val="center"/>
            <w:shd w:fill="F8FAFC"/>
          </w:tcPr>
          <w:p>
            <w:pPr>
              <w:spacing w:before="40" w:after="40"/>
            </w:pPr>
            <w:r>
              <w:t>Latency target</w:t>
            </w:r>
          </w:p>
        </w:tc>
        <w:tc>
          <w:tcPr>
            <w:tcW w:type="dxa" w:w="4873"/>
            <w:tcMar>
              <w:top w:w="80" w:type="dxa"/>
              <w:start w:w="90" w:type="dxa"/>
              <w:bottom w:w="80" w:type="dxa"/>
              <w:end w:w="90" w:type="dxa"/>
            </w:tcMar>
            <w:vAlign w:val="center"/>
            <w:shd w:fill="F8FAFC"/>
          </w:tcPr>
          <w:p>
            <w:pPr>
              <w:spacing w:before="40" w:after="40"/>
            </w:pPr>
            <w:r>
              <w:t>P95 transfer creation under 250 ms when downstream checks are healthy</w:t>
            </w:r>
          </w:p>
        </w:tc>
      </w:tr>
    </w:tbl>
    <w:p>
      <w:pPr>
        <w:pStyle w:val="Heading1"/>
      </w:pPr>
      <w:r>
        <w:t>3. High-Level Architecture</w:t>
      </w:r>
    </w:p>
    <w:p>
      <w:pPr>
        <w:pStyle w:val="Heading2"/>
      </w:pPr>
      <w:r>
        <w:t>Architecture decision</w:t>
      </w:r>
    </w:p>
    <w:p>
      <w:pPr/>
      <w:r>
        <w:t>The system is implemented as a modular monolith. This is the correct tradeoff for realism, cost, complexity, and hiring value. It avoids the operational theater of premature microservices while still demonstrating distributed-systems concerns such as async messaging, outbox reliability, resilience patterns, and infrastructure automation. The design preserves extraction seams for future service decomposition if transaction throughput or organizational scale later justify it.</w:t>
      </w:r>
    </w:p>
    <w:p>
      <w:pPr>
        <w:pStyle w:val="Heading2"/>
      </w:pPr>
      <w:r>
        <w:t>Major components</w:t>
      </w:r>
    </w:p>
    <w:p>
      <w:pPr>
        <w:pStyle w:val="ListBullet"/>
      </w:pPr>
      <w:r>
        <w:t>Transfer API and request validation layer</w:t>
      </w:r>
    </w:p>
    <w:p>
      <w:pPr>
        <w:pStyle w:val="ListBullet"/>
      </w:pPr>
      <w:r>
        <w:t>Transfer application service and business orchestration</w:t>
      </w:r>
    </w:p>
    <w:p>
      <w:pPr>
        <w:pStyle w:val="ListBullet"/>
      </w:pPr>
      <w:r>
        <w:t>Synchronous pre-check clients</w:t>
      </w:r>
    </w:p>
    <w:p>
      <w:pPr>
        <w:pStyle w:val="ListBullet"/>
      </w:pPr>
      <w:r>
        <w:t>Transfer persistence and query repository</w:t>
      </w:r>
    </w:p>
    <w:p>
      <w:pPr>
        <w:pStyle w:val="ListBullet"/>
      </w:pPr>
      <w:r>
        <w:t>Transactional outbox writer</w:t>
      </w:r>
    </w:p>
    <w:p>
      <w:pPr>
        <w:pStyle w:val="ListBullet"/>
      </w:pPr>
      <w:r>
        <w:t>Outbox processor and Kafka publisher</w:t>
      </w:r>
    </w:p>
    <w:p>
      <w:pPr>
        <w:pStyle w:val="ListBullet"/>
      </w:pPr>
      <w:r>
        <w:t>Security, observability, and operational configuration</w:t>
      </w:r>
    </w:p>
    <w:p>
      <w:pPr>
        <w:pStyle w:val="Heading2"/>
      </w:pPr>
      <w:r>
        <w:t>Architecture diagram</w:t>
      </w:r>
    </w:p>
    <w:p>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6126480" cy="3446145"/>
                    </a:xfrm>
                    <a:prstGeom prst="rect"/>
                  </pic:spPr>
                </pic:pic>
              </a:graphicData>
            </a:graphic>
          </wp:inline>
        </w:drawing>
      </w:r>
    </w:p>
    <w:p>
      <w:pPr>
        <w:jc w:val="center"/>
      </w:pPr>
      <w:r>
        <w:rPr>
          <w:i/>
        </w:rPr>
        <w:t>Figure 1. High-level component flow for Finflow.</w:t>
      </w:r>
    </w:p>
    <w:p>
      <w:pPr>
        <w:pStyle w:val="Heading1"/>
      </w:pPr>
      <w:r>
        <w:t>4. Technology Stack</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hRule="atLeast"/>
        </w:trPr>
        <w:tc>
          <w:tcPr>
            <w:tcW w:type="dxa" w:w="1949"/>
            <w:tcMar>
              <w:top w:w="80" w:type="dxa"/>
              <w:start w:w="90" w:type="dxa"/>
              <w:bottom w:w="80" w:type="dxa"/>
              <w:end w:w="90" w:type="dxa"/>
            </w:tcMar>
            <w:vAlign w:val="center"/>
            <w:shd w:fill="E2E8F0"/>
          </w:tcPr>
          <w:p>
            <w:pPr>
              <w:spacing w:before="40" w:after="40"/>
            </w:pPr>
            <w:r>
              <w:rPr>
                <w:b/>
              </w:rPr>
              <w:t>Category</w:t>
            </w:r>
          </w:p>
        </w:tc>
        <w:tc>
          <w:tcPr>
            <w:tcW w:type="dxa" w:w="1949"/>
            <w:tcMar>
              <w:top w:w="80" w:type="dxa"/>
              <w:start w:w="90" w:type="dxa"/>
              <w:bottom w:w="80" w:type="dxa"/>
              <w:end w:w="90" w:type="dxa"/>
            </w:tcMar>
            <w:vAlign w:val="center"/>
            <w:shd w:fill="E2E8F0"/>
          </w:tcPr>
          <w:p>
            <w:pPr>
              <w:spacing w:before="40" w:after="40"/>
            </w:pPr>
            <w:r>
              <w:rPr>
                <w:b/>
              </w:rPr>
              <w:t>Chosen technology</w:t>
            </w:r>
          </w:p>
        </w:tc>
        <w:tc>
          <w:tcPr>
            <w:tcW w:type="dxa" w:w="1949"/>
            <w:tcMar>
              <w:top w:w="80" w:type="dxa"/>
              <w:start w:w="90" w:type="dxa"/>
              <w:bottom w:w="80" w:type="dxa"/>
              <w:end w:w="90" w:type="dxa"/>
            </w:tcMar>
            <w:vAlign w:val="center"/>
            <w:shd w:fill="E2E8F0"/>
          </w:tcPr>
          <w:p>
            <w:pPr>
              <w:spacing w:before="40" w:after="40"/>
            </w:pPr>
            <w:r>
              <w:rPr>
                <w:b/>
              </w:rPr>
              <w:t>Version guidance</w:t>
            </w:r>
          </w:p>
        </w:tc>
        <w:tc>
          <w:tcPr>
            <w:tcW w:type="dxa" w:w="1949"/>
            <w:tcMar>
              <w:top w:w="80" w:type="dxa"/>
              <w:start w:w="90" w:type="dxa"/>
              <w:bottom w:w="80" w:type="dxa"/>
              <w:end w:w="90" w:type="dxa"/>
            </w:tcMar>
            <w:vAlign w:val="center"/>
            <w:shd w:fill="E2E8F0"/>
          </w:tcPr>
          <w:p>
            <w:pPr>
              <w:spacing w:before="40" w:after="40"/>
            </w:pPr>
            <w:r>
              <w:rPr>
                <w:b/>
              </w:rPr>
              <w:t>Why selected</w:t>
            </w:r>
          </w:p>
        </w:tc>
        <w:tc>
          <w:tcPr>
            <w:tcW w:type="dxa" w:w="1949"/>
            <w:tcMar>
              <w:top w:w="80" w:type="dxa"/>
              <w:start w:w="90" w:type="dxa"/>
              <w:bottom w:w="80" w:type="dxa"/>
              <w:end w:w="90" w:type="dxa"/>
            </w:tcMar>
            <w:vAlign w:val="center"/>
            <w:shd w:fill="E2E8F0"/>
          </w:tcPr>
          <w:p>
            <w:pPr>
              <w:spacing w:before="40" w:after="40"/>
            </w:pPr>
            <w:r>
              <w:rPr>
                <w:b/>
              </w:rPr>
              <w:t>Alternatives considered</w:t>
            </w:r>
          </w:p>
        </w:tc>
      </w:tr>
      <w:tr>
        <w:trPr>
          <w:trHeight w:hRule="atLeast"/>
        </w:trPr>
        <w:tc>
          <w:tcPr>
            <w:tcW w:type="dxa" w:w="1949"/>
            <w:tcMar>
              <w:top w:w="80" w:type="dxa"/>
              <w:start w:w="90" w:type="dxa"/>
              <w:bottom w:w="80" w:type="dxa"/>
              <w:end w:w="90" w:type="dxa"/>
            </w:tcMar>
            <w:vAlign w:val="center"/>
            <w:shd w:fill="F8FAFC"/>
          </w:tcPr>
          <w:p>
            <w:pPr>
              <w:spacing w:before="40" w:after="40"/>
            </w:pPr>
            <w:r>
              <w:t>Language</w:t>
            </w:r>
          </w:p>
        </w:tc>
        <w:tc>
          <w:tcPr>
            <w:tcW w:type="dxa" w:w="1949"/>
            <w:tcMar>
              <w:top w:w="80" w:type="dxa"/>
              <w:start w:w="90" w:type="dxa"/>
              <w:bottom w:w="80" w:type="dxa"/>
              <w:end w:w="90" w:type="dxa"/>
            </w:tcMar>
            <w:vAlign w:val="center"/>
            <w:shd w:fill="F8FAFC"/>
          </w:tcPr>
          <w:p>
            <w:pPr>
              <w:spacing w:before="40" w:after="40"/>
            </w:pPr>
            <w:r>
              <w:t>Java</w:t>
            </w:r>
          </w:p>
        </w:tc>
        <w:tc>
          <w:tcPr>
            <w:tcW w:type="dxa" w:w="1949"/>
            <w:tcMar>
              <w:top w:w="80" w:type="dxa"/>
              <w:start w:w="90" w:type="dxa"/>
              <w:bottom w:w="80" w:type="dxa"/>
              <w:end w:w="90" w:type="dxa"/>
            </w:tcMar>
            <w:vAlign w:val="center"/>
            <w:shd w:fill="F8FAFC"/>
          </w:tcPr>
          <w:p>
            <w:pPr>
              <w:spacing w:before="40" w:after="40"/>
            </w:pPr>
            <w:r>
              <w:t>21</w:t>
            </w:r>
          </w:p>
        </w:tc>
        <w:tc>
          <w:tcPr>
            <w:tcW w:type="dxa" w:w="1949"/>
            <w:tcMar>
              <w:top w:w="80" w:type="dxa"/>
              <w:start w:w="90" w:type="dxa"/>
              <w:bottom w:w="80" w:type="dxa"/>
              <w:end w:w="90" w:type="dxa"/>
            </w:tcMar>
            <w:vAlign w:val="center"/>
            <w:shd w:fill="F8FAFC"/>
          </w:tcPr>
          <w:p>
            <w:pPr>
              <w:spacing w:before="40" w:after="40"/>
            </w:pPr>
            <w:r>
              <w:t>Highest-adoption enterprise baseline with virtual threads and modern JVM features</w:t>
            </w:r>
          </w:p>
        </w:tc>
        <w:tc>
          <w:tcPr>
            <w:tcW w:type="dxa" w:w="1949"/>
            <w:tcMar>
              <w:top w:w="80" w:type="dxa"/>
              <w:start w:w="90" w:type="dxa"/>
              <w:bottom w:w="80" w:type="dxa"/>
              <w:end w:w="90" w:type="dxa"/>
            </w:tcMar>
            <w:vAlign w:val="center"/>
            <w:shd w:fill="F8FAFC"/>
          </w:tcPr>
          <w:p>
            <w:pPr>
              <w:spacing w:before="40" w:after="40"/>
            </w:pPr>
            <w:r>
              <w:t>Java 25</w:t>
            </w:r>
          </w:p>
        </w:tc>
      </w:tr>
      <w:tr>
        <w:trPr>
          <w:trHeight w:hRule="atLeast"/>
        </w:trPr>
        <w:tc>
          <w:tcPr>
            <w:tcW w:type="dxa" w:w="1949"/>
            <w:tcMar>
              <w:top w:w="80" w:type="dxa"/>
              <w:start w:w="90" w:type="dxa"/>
              <w:bottom w:w="80" w:type="dxa"/>
              <w:end w:w="90" w:type="dxa"/>
            </w:tcMar>
            <w:vAlign w:val="center"/>
          </w:tcPr>
          <w:p>
            <w:pPr>
              <w:spacing w:before="40" w:after="40"/>
            </w:pPr>
            <w:r>
              <w:t>Framework</w:t>
            </w:r>
          </w:p>
        </w:tc>
        <w:tc>
          <w:tcPr>
            <w:tcW w:type="dxa" w:w="1949"/>
            <w:tcMar>
              <w:top w:w="80" w:type="dxa"/>
              <w:start w:w="90" w:type="dxa"/>
              <w:bottom w:w="80" w:type="dxa"/>
              <w:end w:w="90" w:type="dxa"/>
            </w:tcMar>
            <w:vAlign w:val="center"/>
          </w:tcPr>
          <w:p>
            <w:pPr>
              <w:spacing w:before="40" w:after="40"/>
            </w:pPr>
            <w:r>
              <w:t>Spring Boot</w:t>
            </w:r>
          </w:p>
        </w:tc>
        <w:tc>
          <w:tcPr>
            <w:tcW w:type="dxa" w:w="1949"/>
            <w:tcMar>
              <w:top w:w="80" w:type="dxa"/>
              <w:start w:w="90" w:type="dxa"/>
              <w:bottom w:w="80" w:type="dxa"/>
              <w:end w:w="90" w:type="dxa"/>
            </w:tcMar>
            <w:vAlign w:val="center"/>
          </w:tcPr>
          <w:p>
            <w:pPr>
              <w:spacing w:before="40" w:after="40"/>
            </w:pPr>
            <w:r>
              <w:t>3.5.x</w:t>
            </w:r>
          </w:p>
        </w:tc>
        <w:tc>
          <w:tcPr>
            <w:tcW w:type="dxa" w:w="1949"/>
            <w:tcMar>
              <w:top w:w="80" w:type="dxa"/>
              <w:start w:w="90" w:type="dxa"/>
              <w:bottom w:w="80" w:type="dxa"/>
              <w:end w:w="90" w:type="dxa"/>
            </w:tcMar>
            <w:vAlign w:val="center"/>
          </w:tcPr>
          <w:p>
            <w:pPr>
              <w:spacing w:before="40" w:after="40"/>
            </w:pPr>
            <w:r>
              <w:t>Stable, modern, and heavily used in enterprise hiring markets</w:t>
            </w:r>
          </w:p>
        </w:tc>
        <w:tc>
          <w:tcPr>
            <w:tcW w:type="dxa" w:w="1949"/>
            <w:tcMar>
              <w:top w:w="80" w:type="dxa"/>
              <w:start w:w="90" w:type="dxa"/>
              <w:bottom w:w="80" w:type="dxa"/>
              <w:end w:w="90" w:type="dxa"/>
            </w:tcMar>
            <w:vAlign w:val="center"/>
          </w:tcPr>
          <w:p>
            <w:pPr>
              <w:spacing w:before="40" w:after="40"/>
            </w:pPr>
            <w:r>
              <w:t>Spring Boot 4.x</w:t>
            </w:r>
          </w:p>
        </w:tc>
      </w:tr>
      <w:tr>
        <w:trPr>
          <w:trHeight w:hRule="atLeast"/>
        </w:trPr>
        <w:tc>
          <w:tcPr>
            <w:tcW w:type="dxa" w:w="1949"/>
            <w:tcMar>
              <w:top w:w="80" w:type="dxa"/>
              <w:start w:w="90" w:type="dxa"/>
              <w:bottom w:w="80" w:type="dxa"/>
              <w:end w:w="90" w:type="dxa"/>
            </w:tcMar>
            <w:vAlign w:val="center"/>
            <w:shd w:fill="F8FAFC"/>
          </w:tcPr>
          <w:p>
            <w:pPr>
              <w:spacing w:before="40" w:after="40"/>
            </w:pPr>
            <w:r>
              <w:t>Web</w:t>
            </w:r>
          </w:p>
        </w:tc>
        <w:tc>
          <w:tcPr>
            <w:tcW w:type="dxa" w:w="1949"/>
            <w:tcMar>
              <w:top w:w="80" w:type="dxa"/>
              <w:start w:w="90" w:type="dxa"/>
              <w:bottom w:w="80" w:type="dxa"/>
              <w:end w:w="90" w:type="dxa"/>
            </w:tcMar>
            <w:vAlign w:val="center"/>
            <w:shd w:fill="F8FAFC"/>
          </w:tcPr>
          <w:p>
            <w:pPr>
              <w:spacing w:before="40" w:after="40"/>
            </w:pPr>
            <w:r>
              <w:t>Spring MVC</w:t>
            </w:r>
          </w:p>
        </w:tc>
        <w:tc>
          <w:tcPr>
            <w:tcW w:type="dxa" w:w="1949"/>
            <w:tcMar>
              <w:top w:w="80" w:type="dxa"/>
              <w:start w:w="90" w:type="dxa"/>
              <w:bottom w:w="80" w:type="dxa"/>
              <w:end w:w="90" w:type="dxa"/>
            </w:tcMar>
            <w:vAlign w:val="center"/>
            <w:shd w:fill="F8FAFC"/>
          </w:tcPr>
          <w:p>
            <w:pPr>
              <w:spacing w:before="40" w:after="40"/>
            </w:pPr>
            <w:r>
              <w:t>Boot-managed</w:t>
            </w:r>
          </w:p>
        </w:tc>
        <w:tc>
          <w:tcPr>
            <w:tcW w:type="dxa" w:w="1949"/>
            <w:tcMar>
              <w:top w:w="80" w:type="dxa"/>
              <w:start w:w="90" w:type="dxa"/>
              <w:bottom w:w="80" w:type="dxa"/>
              <w:end w:w="90" w:type="dxa"/>
            </w:tcMar>
            <w:vAlign w:val="center"/>
            <w:shd w:fill="F8FAFC"/>
          </w:tcPr>
          <w:p>
            <w:pPr>
              <w:spacing w:before="40" w:after="40"/>
            </w:pPr>
            <w:r>
              <w:t>REST-first, simple operational model, strong fit with virtual threads</w:t>
            </w:r>
          </w:p>
        </w:tc>
        <w:tc>
          <w:tcPr>
            <w:tcW w:type="dxa" w:w="1949"/>
            <w:tcMar>
              <w:top w:w="80" w:type="dxa"/>
              <w:start w:w="90" w:type="dxa"/>
              <w:bottom w:w="80" w:type="dxa"/>
              <w:end w:w="90" w:type="dxa"/>
            </w:tcMar>
            <w:vAlign w:val="center"/>
            <w:shd w:fill="F8FAFC"/>
          </w:tcPr>
          <w:p>
            <w:pPr>
              <w:spacing w:before="40" w:after="40"/>
            </w:pPr>
            <w:r>
              <w:t>WebFlux</w:t>
            </w:r>
          </w:p>
        </w:tc>
      </w:tr>
      <w:tr>
        <w:trPr>
          <w:trHeight w:hRule="atLeast"/>
        </w:trPr>
        <w:tc>
          <w:tcPr>
            <w:tcW w:type="dxa" w:w="1949"/>
            <w:tcMar>
              <w:top w:w="80" w:type="dxa"/>
              <w:start w:w="90" w:type="dxa"/>
              <w:bottom w:w="80" w:type="dxa"/>
              <w:end w:w="90" w:type="dxa"/>
            </w:tcMar>
            <w:vAlign w:val="center"/>
          </w:tcPr>
          <w:p>
            <w:pPr>
              <w:spacing w:before="40" w:after="40"/>
            </w:pPr>
            <w:r>
              <w:t>ORM / persistence</w:t>
            </w:r>
          </w:p>
        </w:tc>
        <w:tc>
          <w:tcPr>
            <w:tcW w:type="dxa" w:w="1949"/>
            <w:tcMar>
              <w:top w:w="80" w:type="dxa"/>
              <w:start w:w="90" w:type="dxa"/>
              <w:bottom w:w="80" w:type="dxa"/>
              <w:end w:w="90" w:type="dxa"/>
            </w:tcMar>
            <w:vAlign w:val="center"/>
          </w:tcPr>
          <w:p>
            <w:pPr>
              <w:spacing w:before="40" w:after="40"/>
            </w:pPr>
            <w:r>
              <w:t>Spring Data JPA + Hibernate</w:t>
            </w:r>
          </w:p>
        </w:tc>
        <w:tc>
          <w:tcPr>
            <w:tcW w:type="dxa" w:w="1949"/>
            <w:tcMar>
              <w:top w:w="80" w:type="dxa"/>
              <w:start w:w="90" w:type="dxa"/>
              <w:bottom w:w="80" w:type="dxa"/>
              <w:end w:w="90" w:type="dxa"/>
            </w:tcMar>
            <w:vAlign w:val="center"/>
          </w:tcPr>
          <w:p>
            <w:pPr>
              <w:spacing w:before="40" w:after="40"/>
            </w:pPr>
            <w:r>
              <w:t>Boot-managed</w:t>
            </w:r>
          </w:p>
        </w:tc>
        <w:tc>
          <w:tcPr>
            <w:tcW w:type="dxa" w:w="1949"/>
            <w:tcMar>
              <w:top w:w="80" w:type="dxa"/>
              <w:start w:w="90" w:type="dxa"/>
              <w:bottom w:w="80" w:type="dxa"/>
              <w:end w:w="90" w:type="dxa"/>
            </w:tcMar>
            <w:vAlign w:val="center"/>
          </w:tcPr>
          <w:p>
            <w:pPr>
              <w:spacing w:before="40" w:after="40"/>
            </w:pPr>
            <w:r>
              <w:t>Still the dominant stack for enterprise transactional systems</w:t>
            </w:r>
          </w:p>
        </w:tc>
        <w:tc>
          <w:tcPr>
            <w:tcW w:type="dxa" w:w="1949"/>
            <w:tcMar>
              <w:top w:w="80" w:type="dxa"/>
              <w:start w:w="90" w:type="dxa"/>
              <w:bottom w:w="80" w:type="dxa"/>
              <w:end w:w="90" w:type="dxa"/>
            </w:tcMar>
            <w:vAlign w:val="center"/>
          </w:tcPr>
          <w:p>
            <w:pPr>
              <w:spacing w:before="40" w:after="40"/>
            </w:pPr>
            <w:r>
              <w:t>jOOQ</w:t>
            </w:r>
          </w:p>
        </w:tc>
      </w:tr>
      <w:tr>
        <w:trPr>
          <w:trHeight w:hRule="atLeast"/>
        </w:trPr>
        <w:tc>
          <w:tcPr>
            <w:tcW w:type="dxa" w:w="1949"/>
            <w:tcMar>
              <w:top w:w="80" w:type="dxa"/>
              <w:start w:w="90" w:type="dxa"/>
              <w:bottom w:w="80" w:type="dxa"/>
              <w:end w:w="90" w:type="dxa"/>
            </w:tcMar>
            <w:vAlign w:val="center"/>
            <w:shd w:fill="F8FAFC"/>
          </w:tcPr>
          <w:p>
            <w:pPr>
              <w:spacing w:before="40" w:after="40"/>
            </w:pPr>
            <w:r>
              <w:t>Database</w:t>
            </w:r>
          </w:p>
        </w:tc>
        <w:tc>
          <w:tcPr>
            <w:tcW w:type="dxa" w:w="1949"/>
            <w:tcMar>
              <w:top w:w="80" w:type="dxa"/>
              <w:start w:w="90" w:type="dxa"/>
              <w:bottom w:w="80" w:type="dxa"/>
              <w:end w:w="90" w:type="dxa"/>
            </w:tcMar>
            <w:vAlign w:val="center"/>
            <w:shd w:fill="F8FAFC"/>
          </w:tcPr>
          <w:p>
            <w:pPr>
              <w:spacing w:before="40" w:after="40"/>
            </w:pPr>
            <w:r>
              <w:t>PostgreSQL</w:t>
            </w:r>
          </w:p>
        </w:tc>
        <w:tc>
          <w:tcPr>
            <w:tcW w:type="dxa" w:w="1949"/>
            <w:tcMar>
              <w:top w:w="80" w:type="dxa"/>
              <w:start w:w="90" w:type="dxa"/>
              <w:bottom w:w="80" w:type="dxa"/>
              <w:end w:w="90" w:type="dxa"/>
            </w:tcMar>
            <w:vAlign w:val="center"/>
            <w:shd w:fill="F8FAFC"/>
          </w:tcPr>
          <w:p>
            <w:pPr>
              <w:spacing w:before="40" w:after="40"/>
            </w:pPr>
            <w:r>
              <w:t>16/17</w:t>
            </w:r>
          </w:p>
        </w:tc>
        <w:tc>
          <w:tcPr>
            <w:tcW w:type="dxa" w:w="1949"/>
            <w:tcMar>
              <w:top w:w="80" w:type="dxa"/>
              <w:start w:w="90" w:type="dxa"/>
              <w:bottom w:w="80" w:type="dxa"/>
              <w:end w:w="90" w:type="dxa"/>
            </w:tcMar>
            <w:vAlign w:val="center"/>
            <w:shd w:fill="F8FAFC"/>
          </w:tcPr>
          <w:p>
            <w:pPr>
              <w:spacing w:before="40" w:after="40"/>
            </w:pPr>
            <w:r>
              <w:t>Strong ACID guarantees, rich indexing, and operational maturity</w:t>
            </w:r>
          </w:p>
        </w:tc>
        <w:tc>
          <w:tcPr>
            <w:tcW w:type="dxa" w:w="1949"/>
            <w:tcMar>
              <w:top w:w="80" w:type="dxa"/>
              <w:start w:w="90" w:type="dxa"/>
              <w:bottom w:w="80" w:type="dxa"/>
              <w:end w:w="90" w:type="dxa"/>
            </w:tcMar>
            <w:vAlign w:val="center"/>
            <w:shd w:fill="F8FAFC"/>
          </w:tcPr>
          <w:p>
            <w:pPr>
              <w:spacing w:before="40" w:after="40"/>
            </w:pPr>
            <w:r>
              <w:t>MySQL</w:t>
            </w:r>
          </w:p>
        </w:tc>
      </w:tr>
      <w:tr>
        <w:trPr>
          <w:trHeight w:hRule="atLeast"/>
        </w:trPr>
        <w:tc>
          <w:tcPr>
            <w:tcW w:type="dxa" w:w="1949"/>
            <w:tcMar>
              <w:top w:w="80" w:type="dxa"/>
              <w:start w:w="90" w:type="dxa"/>
              <w:bottom w:w="80" w:type="dxa"/>
              <w:end w:w="90" w:type="dxa"/>
            </w:tcMar>
            <w:vAlign w:val="center"/>
          </w:tcPr>
          <w:p>
            <w:pPr>
              <w:spacing w:before="40" w:after="40"/>
            </w:pPr>
            <w:r>
              <w:t>Caching</w:t>
            </w:r>
          </w:p>
        </w:tc>
        <w:tc>
          <w:tcPr>
            <w:tcW w:type="dxa" w:w="1949"/>
            <w:tcMar>
              <w:top w:w="80" w:type="dxa"/>
              <w:start w:w="90" w:type="dxa"/>
              <w:bottom w:w="80" w:type="dxa"/>
              <w:end w:w="90" w:type="dxa"/>
            </w:tcMar>
            <w:vAlign w:val="center"/>
          </w:tcPr>
          <w:p>
            <w:pPr>
              <w:spacing w:before="40" w:after="40"/>
            </w:pPr>
            <w:r>
              <w:t>Redis + Caffeine</w:t>
            </w:r>
          </w:p>
        </w:tc>
        <w:tc>
          <w:tcPr>
            <w:tcW w:type="dxa" w:w="1949"/>
            <w:tcMar>
              <w:top w:w="80" w:type="dxa"/>
              <w:start w:w="90" w:type="dxa"/>
              <w:bottom w:w="80" w:type="dxa"/>
              <w:end w:w="90" w:type="dxa"/>
            </w:tcMar>
            <w:vAlign w:val="center"/>
          </w:tcPr>
          <w:p>
            <w:pPr>
              <w:spacing w:before="40" w:after="40"/>
            </w:pPr>
            <w:r>
              <w:t>7.x / current</w:t>
            </w:r>
          </w:p>
        </w:tc>
        <w:tc>
          <w:tcPr>
            <w:tcW w:type="dxa" w:w="1949"/>
            <w:tcMar>
              <w:top w:w="80" w:type="dxa"/>
              <w:start w:w="90" w:type="dxa"/>
              <w:bottom w:w="80" w:type="dxa"/>
              <w:end w:w="90" w:type="dxa"/>
            </w:tcMar>
            <w:vAlign w:val="center"/>
          </w:tcPr>
          <w:p>
            <w:pPr>
              <w:spacing w:before="40" w:after="40"/>
            </w:pPr>
            <w:r>
              <w:t>Redis for cross-node concerns, Caffeine for in-process hot reads</w:t>
            </w:r>
          </w:p>
        </w:tc>
        <w:tc>
          <w:tcPr>
            <w:tcW w:type="dxa" w:w="1949"/>
            <w:tcMar>
              <w:top w:w="80" w:type="dxa"/>
              <w:start w:w="90" w:type="dxa"/>
              <w:bottom w:w="80" w:type="dxa"/>
              <w:end w:w="90" w:type="dxa"/>
            </w:tcMar>
            <w:vAlign w:val="center"/>
          </w:tcPr>
          <w:p>
            <w:pPr>
              <w:spacing w:before="40" w:after="40"/>
            </w:pPr>
            <w:r>
              <w:t>EHCache only</w:t>
            </w:r>
          </w:p>
        </w:tc>
      </w:tr>
      <w:tr>
        <w:trPr>
          <w:trHeight w:hRule="atLeast"/>
        </w:trPr>
        <w:tc>
          <w:tcPr>
            <w:tcW w:type="dxa" w:w="1949"/>
            <w:tcMar>
              <w:top w:w="80" w:type="dxa"/>
              <w:start w:w="90" w:type="dxa"/>
              <w:bottom w:w="80" w:type="dxa"/>
              <w:end w:w="90" w:type="dxa"/>
            </w:tcMar>
            <w:vAlign w:val="center"/>
            <w:shd w:fill="F8FAFC"/>
          </w:tcPr>
          <w:p>
            <w:pPr>
              <w:spacing w:before="40" w:after="40"/>
            </w:pPr>
            <w:r>
              <w:t>Messaging</w:t>
            </w:r>
          </w:p>
        </w:tc>
        <w:tc>
          <w:tcPr>
            <w:tcW w:type="dxa" w:w="1949"/>
            <w:tcMar>
              <w:top w:w="80" w:type="dxa"/>
              <w:start w:w="90" w:type="dxa"/>
              <w:bottom w:w="80" w:type="dxa"/>
              <w:end w:w="90" w:type="dxa"/>
            </w:tcMar>
            <w:vAlign w:val="center"/>
            <w:shd w:fill="F8FAFC"/>
          </w:tcPr>
          <w:p>
            <w:pPr>
              <w:spacing w:before="40" w:after="40"/>
            </w:pPr>
            <w:r>
              <w:t>Kafka-compatible broker</w:t>
            </w:r>
          </w:p>
        </w:tc>
        <w:tc>
          <w:tcPr>
            <w:tcW w:type="dxa" w:w="1949"/>
            <w:tcMar>
              <w:top w:w="80" w:type="dxa"/>
              <w:start w:w="90" w:type="dxa"/>
              <w:bottom w:w="80" w:type="dxa"/>
              <w:end w:w="90" w:type="dxa"/>
            </w:tcMar>
            <w:vAlign w:val="center"/>
            <w:shd w:fill="F8FAFC"/>
          </w:tcPr>
          <w:p>
            <w:pPr>
              <w:spacing w:before="40" w:after="40"/>
            </w:pPr>
            <w:r>
              <w:t>Kafka / Redpanda</w:t>
            </w:r>
          </w:p>
        </w:tc>
        <w:tc>
          <w:tcPr>
            <w:tcW w:type="dxa" w:w="1949"/>
            <w:tcMar>
              <w:top w:w="80" w:type="dxa"/>
              <w:start w:w="90" w:type="dxa"/>
              <w:bottom w:w="80" w:type="dxa"/>
              <w:end w:w="90" w:type="dxa"/>
            </w:tcMar>
            <w:vAlign w:val="center"/>
            <w:shd w:fill="F8FAFC"/>
          </w:tcPr>
          <w:p>
            <w:pPr>
              <w:spacing w:before="40" w:after="40"/>
            </w:pPr>
            <w:r>
              <w:t>Best market relevance for event-driven backend systems</w:t>
            </w:r>
          </w:p>
        </w:tc>
        <w:tc>
          <w:tcPr>
            <w:tcW w:type="dxa" w:w="1949"/>
            <w:tcMar>
              <w:top w:w="80" w:type="dxa"/>
              <w:start w:w="90" w:type="dxa"/>
              <w:bottom w:w="80" w:type="dxa"/>
              <w:end w:w="90" w:type="dxa"/>
            </w:tcMar>
            <w:vAlign w:val="center"/>
            <w:shd w:fill="F8FAFC"/>
          </w:tcPr>
          <w:p>
            <w:pPr>
              <w:spacing w:before="40" w:after="40"/>
            </w:pPr>
            <w:r>
              <w:t>RabbitMQ</w:t>
            </w:r>
          </w:p>
        </w:tc>
      </w:tr>
      <w:tr>
        <w:trPr>
          <w:trHeight w:hRule="atLeast"/>
        </w:trPr>
        <w:tc>
          <w:tcPr>
            <w:tcW w:type="dxa" w:w="1949"/>
            <w:tcMar>
              <w:top w:w="80" w:type="dxa"/>
              <w:start w:w="90" w:type="dxa"/>
              <w:bottom w:w="80" w:type="dxa"/>
              <w:end w:w="90" w:type="dxa"/>
            </w:tcMar>
            <w:vAlign w:val="center"/>
          </w:tcPr>
          <w:p>
            <w:pPr>
              <w:spacing w:before="40" w:after="40"/>
            </w:pPr>
            <w:r>
              <w:t>Security</w:t>
            </w:r>
          </w:p>
        </w:tc>
        <w:tc>
          <w:tcPr>
            <w:tcW w:type="dxa" w:w="1949"/>
            <w:tcMar>
              <w:top w:w="80" w:type="dxa"/>
              <w:start w:w="90" w:type="dxa"/>
              <w:bottom w:w="80" w:type="dxa"/>
              <w:end w:w="90" w:type="dxa"/>
            </w:tcMar>
            <w:vAlign w:val="center"/>
          </w:tcPr>
          <w:p>
            <w:pPr>
              <w:spacing w:before="40" w:after="40"/>
            </w:pPr>
            <w:r>
              <w:t>Spring Security OAuth2 Resource Server</w:t>
            </w:r>
          </w:p>
        </w:tc>
        <w:tc>
          <w:tcPr>
            <w:tcW w:type="dxa" w:w="1949"/>
            <w:tcMar>
              <w:top w:w="80" w:type="dxa"/>
              <w:start w:w="90" w:type="dxa"/>
              <w:bottom w:w="80" w:type="dxa"/>
              <w:end w:w="90" w:type="dxa"/>
            </w:tcMar>
            <w:vAlign w:val="center"/>
          </w:tcPr>
          <w:p>
            <w:pPr>
              <w:spacing w:before="40" w:after="40"/>
            </w:pPr>
            <w:r>
              <w:t>Boot-managed</w:t>
            </w:r>
          </w:p>
        </w:tc>
        <w:tc>
          <w:tcPr>
            <w:tcW w:type="dxa" w:w="1949"/>
            <w:tcMar>
              <w:top w:w="80" w:type="dxa"/>
              <w:start w:w="90" w:type="dxa"/>
              <w:bottom w:w="80" w:type="dxa"/>
              <w:end w:w="90" w:type="dxa"/>
            </w:tcMar>
            <w:vAlign w:val="center"/>
          </w:tcPr>
          <w:p>
            <w:pPr>
              <w:spacing w:before="40" w:after="40"/>
            </w:pPr>
            <w:r>
              <w:t>Standard path for JWT/OIDC-secured APIs</w:t>
            </w:r>
          </w:p>
        </w:tc>
        <w:tc>
          <w:tcPr>
            <w:tcW w:type="dxa" w:w="1949"/>
            <w:tcMar>
              <w:top w:w="80" w:type="dxa"/>
              <w:start w:w="90" w:type="dxa"/>
              <w:bottom w:w="80" w:type="dxa"/>
              <w:end w:w="90" w:type="dxa"/>
            </w:tcMar>
            <w:vAlign w:val="center"/>
          </w:tcPr>
          <w:p>
            <w:pPr>
              <w:spacing w:before="40" w:after="40"/>
            </w:pPr>
            <w:r>
              <w:t>Custom auth stack</w:t>
            </w:r>
          </w:p>
        </w:tc>
      </w:tr>
      <w:tr>
        <w:trPr>
          <w:trHeight w:hRule="atLeast"/>
        </w:trPr>
        <w:tc>
          <w:tcPr>
            <w:tcW w:type="dxa" w:w="1949"/>
            <w:tcMar>
              <w:top w:w="80" w:type="dxa"/>
              <w:start w:w="90" w:type="dxa"/>
              <w:bottom w:w="80" w:type="dxa"/>
              <w:end w:w="90" w:type="dxa"/>
            </w:tcMar>
            <w:vAlign w:val="center"/>
            <w:shd w:fill="F8FAFC"/>
          </w:tcPr>
          <w:p>
            <w:pPr>
              <w:spacing w:before="40" w:after="40"/>
            </w:pPr>
            <w:r>
              <w:t>Migrations</w:t>
            </w:r>
          </w:p>
        </w:tc>
        <w:tc>
          <w:tcPr>
            <w:tcW w:type="dxa" w:w="1949"/>
            <w:tcMar>
              <w:top w:w="80" w:type="dxa"/>
              <w:start w:w="90" w:type="dxa"/>
              <w:bottom w:w="80" w:type="dxa"/>
              <w:end w:w="90" w:type="dxa"/>
            </w:tcMar>
            <w:vAlign w:val="center"/>
            <w:shd w:fill="F8FAFC"/>
          </w:tcPr>
          <w:p>
            <w:pPr>
              <w:spacing w:before="40" w:after="40"/>
            </w:pPr>
            <w:r>
              <w:t>Flyway</w:t>
            </w:r>
          </w:p>
        </w:tc>
        <w:tc>
          <w:tcPr>
            <w:tcW w:type="dxa" w:w="1949"/>
            <w:tcMar>
              <w:top w:w="80" w:type="dxa"/>
              <w:start w:w="90" w:type="dxa"/>
              <w:bottom w:w="80" w:type="dxa"/>
              <w:end w:w="90" w:type="dxa"/>
            </w:tcMar>
            <w:vAlign w:val="center"/>
            <w:shd w:fill="F8FAFC"/>
          </w:tcPr>
          <w:p>
            <w:pPr>
              <w:spacing w:before="40" w:after="40"/>
            </w:pPr>
            <w:r>
              <w:t>current</w:t>
            </w:r>
          </w:p>
        </w:tc>
        <w:tc>
          <w:tcPr>
            <w:tcW w:type="dxa" w:w="1949"/>
            <w:tcMar>
              <w:top w:w="80" w:type="dxa"/>
              <w:start w:w="90" w:type="dxa"/>
              <w:bottom w:w="80" w:type="dxa"/>
              <w:end w:w="90" w:type="dxa"/>
            </w:tcMar>
            <w:vAlign w:val="center"/>
            <w:shd w:fill="F8FAFC"/>
          </w:tcPr>
          <w:p>
            <w:pPr>
              <w:spacing w:before="40" w:after="40"/>
            </w:pPr>
            <w:r>
              <w:t>SQL-first, explicit, and operationally predictable</w:t>
            </w:r>
          </w:p>
        </w:tc>
        <w:tc>
          <w:tcPr>
            <w:tcW w:type="dxa" w:w="1949"/>
            <w:tcMar>
              <w:top w:w="80" w:type="dxa"/>
              <w:start w:w="90" w:type="dxa"/>
              <w:bottom w:w="80" w:type="dxa"/>
              <w:end w:w="90" w:type="dxa"/>
            </w:tcMar>
            <w:vAlign w:val="center"/>
            <w:shd w:fill="F8FAFC"/>
          </w:tcPr>
          <w:p>
            <w:pPr>
              <w:spacing w:before="40" w:after="40"/>
            </w:pPr>
            <w:r>
              <w:t>Liquibase</w:t>
            </w:r>
          </w:p>
        </w:tc>
      </w:tr>
      <w:tr>
        <w:trPr>
          <w:trHeight w:hRule="atLeast"/>
        </w:trPr>
        <w:tc>
          <w:tcPr>
            <w:tcW w:type="dxa" w:w="1949"/>
            <w:tcMar>
              <w:top w:w="80" w:type="dxa"/>
              <w:start w:w="90" w:type="dxa"/>
              <w:bottom w:w="80" w:type="dxa"/>
              <w:end w:w="90" w:type="dxa"/>
            </w:tcMar>
            <w:vAlign w:val="center"/>
          </w:tcPr>
          <w:p>
            <w:pPr>
              <w:spacing w:before="40" w:after="40"/>
            </w:pPr>
            <w:r>
              <w:t>Resilience</w:t>
            </w:r>
          </w:p>
        </w:tc>
        <w:tc>
          <w:tcPr>
            <w:tcW w:type="dxa" w:w="1949"/>
            <w:tcMar>
              <w:top w:w="80" w:type="dxa"/>
              <w:start w:w="90" w:type="dxa"/>
              <w:bottom w:w="80" w:type="dxa"/>
              <w:end w:w="90" w:type="dxa"/>
            </w:tcMar>
            <w:vAlign w:val="center"/>
          </w:tcPr>
          <w:p>
            <w:pPr>
              <w:spacing w:before="40" w:after="40"/>
            </w:pPr>
            <w:r>
              <w:t>Resilience4j</w:t>
            </w:r>
          </w:p>
        </w:tc>
        <w:tc>
          <w:tcPr>
            <w:tcW w:type="dxa" w:w="1949"/>
            <w:tcMar>
              <w:top w:w="80" w:type="dxa"/>
              <w:start w:w="90" w:type="dxa"/>
              <w:bottom w:w="80" w:type="dxa"/>
              <w:end w:w="90" w:type="dxa"/>
            </w:tcMar>
            <w:vAlign w:val="center"/>
          </w:tcPr>
          <w:p>
            <w:pPr>
              <w:spacing w:before="40" w:after="40"/>
            </w:pPr>
            <w:r>
              <w:t>2.x</w:t>
            </w:r>
          </w:p>
        </w:tc>
        <w:tc>
          <w:tcPr>
            <w:tcW w:type="dxa" w:w="1949"/>
            <w:tcMar>
              <w:top w:w="80" w:type="dxa"/>
              <w:start w:w="90" w:type="dxa"/>
              <w:bottom w:w="80" w:type="dxa"/>
              <w:end w:w="90" w:type="dxa"/>
            </w:tcMar>
            <w:vAlign w:val="center"/>
          </w:tcPr>
          <w:p>
            <w:pPr>
              <w:spacing w:before="40" w:after="40"/>
            </w:pPr>
            <w:r>
              <w:t>Modern JVM resilience library with clear Spring integration</w:t>
            </w:r>
          </w:p>
        </w:tc>
        <w:tc>
          <w:tcPr>
            <w:tcW w:type="dxa" w:w="1949"/>
            <w:tcMar>
              <w:top w:w="80" w:type="dxa"/>
              <w:start w:w="90" w:type="dxa"/>
              <w:bottom w:w="80" w:type="dxa"/>
              <w:end w:w="90" w:type="dxa"/>
            </w:tcMar>
            <w:vAlign w:val="center"/>
          </w:tcPr>
          <w:p>
            <w:pPr>
              <w:spacing w:before="40" w:after="40"/>
            </w:pPr>
            <w:r>
              <w:t>Spring Retry only</w:t>
            </w:r>
          </w:p>
        </w:tc>
      </w:tr>
      <w:tr>
        <w:trPr>
          <w:trHeight w:hRule="atLeast"/>
        </w:trPr>
        <w:tc>
          <w:tcPr>
            <w:tcW w:type="dxa" w:w="1949"/>
            <w:tcMar>
              <w:top w:w="80" w:type="dxa"/>
              <w:start w:w="90" w:type="dxa"/>
              <w:bottom w:w="80" w:type="dxa"/>
              <w:end w:w="90" w:type="dxa"/>
            </w:tcMar>
            <w:vAlign w:val="center"/>
            <w:shd w:fill="F8FAFC"/>
          </w:tcPr>
          <w:p>
            <w:pPr>
              <w:spacing w:before="40" w:after="40"/>
            </w:pPr>
            <w:r>
              <w:t>Observability</w:t>
            </w:r>
          </w:p>
        </w:tc>
        <w:tc>
          <w:tcPr>
            <w:tcW w:type="dxa" w:w="1949"/>
            <w:tcMar>
              <w:top w:w="80" w:type="dxa"/>
              <w:start w:w="90" w:type="dxa"/>
              <w:bottom w:w="80" w:type="dxa"/>
              <w:end w:w="90" w:type="dxa"/>
            </w:tcMar>
            <w:vAlign w:val="center"/>
            <w:shd w:fill="F8FAFC"/>
          </w:tcPr>
          <w:p>
            <w:pPr>
              <w:spacing w:before="40" w:after="40"/>
            </w:pPr>
            <w:r>
              <w:t>Micrometer + Prometheus + OTel</w:t>
            </w:r>
          </w:p>
        </w:tc>
        <w:tc>
          <w:tcPr>
            <w:tcW w:type="dxa" w:w="1949"/>
            <w:tcMar>
              <w:top w:w="80" w:type="dxa"/>
              <w:start w:w="90" w:type="dxa"/>
              <w:bottom w:w="80" w:type="dxa"/>
              <w:end w:w="90" w:type="dxa"/>
            </w:tcMar>
            <w:vAlign w:val="center"/>
            <w:shd w:fill="F8FAFC"/>
          </w:tcPr>
          <w:p>
            <w:pPr>
              <w:spacing w:before="40" w:after="40"/>
            </w:pPr>
            <w:r>
              <w:t>Boot-managed</w:t>
            </w:r>
          </w:p>
        </w:tc>
        <w:tc>
          <w:tcPr>
            <w:tcW w:type="dxa" w:w="1949"/>
            <w:tcMar>
              <w:top w:w="80" w:type="dxa"/>
              <w:start w:w="90" w:type="dxa"/>
              <w:bottom w:w="80" w:type="dxa"/>
              <w:end w:w="90" w:type="dxa"/>
            </w:tcMar>
            <w:vAlign w:val="center"/>
            <w:shd w:fill="F8FAFC"/>
          </w:tcPr>
          <w:p>
            <w:pPr>
              <w:spacing w:before="40" w:after="40"/>
            </w:pPr>
            <w:r>
              <w:t>Market-standard metrics and tracing path</w:t>
            </w:r>
          </w:p>
        </w:tc>
        <w:tc>
          <w:tcPr>
            <w:tcW w:type="dxa" w:w="1949"/>
            <w:tcMar>
              <w:top w:w="80" w:type="dxa"/>
              <w:start w:w="90" w:type="dxa"/>
              <w:bottom w:w="80" w:type="dxa"/>
              <w:end w:w="90" w:type="dxa"/>
            </w:tcMar>
            <w:vAlign w:val="center"/>
            <w:shd w:fill="F8FAFC"/>
          </w:tcPr>
          <w:p>
            <w:pPr>
              <w:spacing w:before="40" w:after="40"/>
            </w:pPr>
            <w:r>
              <w:t>Zipkin-only</w:t>
            </w:r>
          </w:p>
        </w:tc>
      </w:tr>
      <w:tr>
        <w:trPr>
          <w:trHeight w:hRule="atLeast"/>
        </w:trPr>
        <w:tc>
          <w:tcPr>
            <w:tcW w:type="dxa" w:w="1949"/>
            <w:tcMar>
              <w:top w:w="80" w:type="dxa"/>
              <w:start w:w="90" w:type="dxa"/>
              <w:bottom w:w="80" w:type="dxa"/>
              <w:end w:w="90" w:type="dxa"/>
            </w:tcMar>
            <w:vAlign w:val="center"/>
          </w:tcPr>
          <w:p>
            <w:pPr>
              <w:spacing w:before="40" w:after="40"/>
            </w:pPr>
            <w:r>
              <w:t>Build / CI</w:t>
            </w:r>
          </w:p>
        </w:tc>
        <w:tc>
          <w:tcPr>
            <w:tcW w:type="dxa" w:w="1949"/>
            <w:tcMar>
              <w:top w:w="80" w:type="dxa"/>
              <w:start w:w="90" w:type="dxa"/>
              <w:bottom w:w="80" w:type="dxa"/>
              <w:end w:w="90" w:type="dxa"/>
            </w:tcMar>
            <w:vAlign w:val="center"/>
          </w:tcPr>
          <w:p>
            <w:pPr>
              <w:spacing w:before="40" w:after="40"/>
            </w:pPr>
            <w:r>
              <w:t>Maven + GitHub Actions</w:t>
            </w:r>
          </w:p>
        </w:tc>
        <w:tc>
          <w:tcPr>
            <w:tcW w:type="dxa" w:w="1949"/>
            <w:tcMar>
              <w:top w:w="80" w:type="dxa"/>
              <w:start w:w="90" w:type="dxa"/>
              <w:bottom w:w="80" w:type="dxa"/>
              <w:end w:w="90" w:type="dxa"/>
            </w:tcMar>
            <w:vAlign w:val="center"/>
          </w:tcPr>
          <w:p>
            <w:pPr>
              <w:spacing w:before="40" w:after="40"/>
            </w:pPr>
            <w:r>
              <w:t>3.9.x / current</w:t>
            </w:r>
          </w:p>
        </w:tc>
        <w:tc>
          <w:tcPr>
            <w:tcW w:type="dxa" w:w="1949"/>
            <w:tcMar>
              <w:top w:w="80" w:type="dxa"/>
              <w:start w:w="90" w:type="dxa"/>
              <w:bottom w:w="80" w:type="dxa"/>
              <w:end w:w="90" w:type="dxa"/>
            </w:tcMar>
            <w:vAlign w:val="center"/>
          </w:tcPr>
          <w:p>
            <w:pPr>
              <w:spacing w:before="40" w:after="40"/>
            </w:pPr>
            <w:r>
              <w:t>Enterprise-default build tool and strong hiring relevance</w:t>
            </w:r>
          </w:p>
        </w:tc>
        <w:tc>
          <w:tcPr>
            <w:tcW w:type="dxa" w:w="1949"/>
            <w:tcMar>
              <w:top w:w="80" w:type="dxa"/>
              <w:start w:w="90" w:type="dxa"/>
              <w:bottom w:w="80" w:type="dxa"/>
              <w:end w:w="90" w:type="dxa"/>
            </w:tcMar>
            <w:vAlign w:val="center"/>
          </w:tcPr>
          <w:p>
            <w:pPr>
              <w:spacing w:before="40" w:after="40"/>
            </w:pPr>
            <w:r>
              <w:t>Gradle, Jenkins</w:t>
            </w:r>
          </w:p>
        </w:tc>
      </w:tr>
      <w:tr>
        <w:trPr>
          <w:trHeight w:hRule="atLeast"/>
        </w:trPr>
        <w:tc>
          <w:tcPr>
            <w:tcW w:type="dxa" w:w="1949"/>
            <w:tcMar>
              <w:top w:w="80" w:type="dxa"/>
              <w:start w:w="90" w:type="dxa"/>
              <w:bottom w:w="80" w:type="dxa"/>
              <w:end w:w="90" w:type="dxa"/>
            </w:tcMar>
            <w:vAlign w:val="center"/>
            <w:shd w:fill="F8FAFC"/>
          </w:tcPr>
          <w:p>
            <w:pPr>
              <w:spacing w:before="40" w:after="40"/>
            </w:pPr>
            <w:r>
              <w:t>Deployment</w:t>
            </w:r>
          </w:p>
        </w:tc>
        <w:tc>
          <w:tcPr>
            <w:tcW w:type="dxa" w:w="1949"/>
            <w:tcMar>
              <w:top w:w="80" w:type="dxa"/>
              <w:start w:w="90" w:type="dxa"/>
              <w:bottom w:w="80" w:type="dxa"/>
              <w:end w:w="90" w:type="dxa"/>
            </w:tcMar>
            <w:vAlign w:val="center"/>
            <w:shd w:fill="F8FAFC"/>
          </w:tcPr>
          <w:p>
            <w:pPr>
              <w:spacing w:before="40" w:after="40"/>
            </w:pPr>
            <w:r>
              <w:t>Docker + Kubernetes</w:t>
            </w:r>
          </w:p>
        </w:tc>
        <w:tc>
          <w:tcPr>
            <w:tcW w:type="dxa" w:w="1949"/>
            <w:tcMar>
              <w:top w:w="80" w:type="dxa"/>
              <w:start w:w="90" w:type="dxa"/>
              <w:bottom w:w="80" w:type="dxa"/>
              <w:end w:w="90" w:type="dxa"/>
            </w:tcMar>
            <w:vAlign w:val="center"/>
            <w:shd w:fill="F8FAFC"/>
          </w:tcPr>
          <w:p>
            <w:pPr>
              <w:spacing w:before="40" w:after="40"/>
            </w:pPr>
            <w:r>
              <w:t>current</w:t>
            </w:r>
          </w:p>
        </w:tc>
        <w:tc>
          <w:tcPr>
            <w:tcW w:type="dxa" w:w="1949"/>
            <w:tcMar>
              <w:top w:w="80" w:type="dxa"/>
              <w:start w:w="90" w:type="dxa"/>
              <w:bottom w:w="80" w:type="dxa"/>
              <w:end w:w="90" w:type="dxa"/>
            </w:tcMar>
            <w:vAlign w:val="center"/>
            <w:shd w:fill="F8FAFC"/>
          </w:tcPr>
          <w:p>
            <w:pPr>
              <w:spacing w:before="40" w:after="40"/>
            </w:pPr>
            <w:r>
              <w:t>Portable containers and standard cloud deployment model</w:t>
            </w:r>
          </w:p>
        </w:tc>
        <w:tc>
          <w:tcPr>
            <w:tcW w:type="dxa" w:w="1949"/>
            <w:tcMar>
              <w:top w:w="80" w:type="dxa"/>
              <w:start w:w="90" w:type="dxa"/>
              <w:bottom w:w="80" w:type="dxa"/>
              <w:end w:w="90" w:type="dxa"/>
            </w:tcMar>
            <w:vAlign w:val="center"/>
            <w:shd w:fill="F8FAFC"/>
          </w:tcPr>
          <w:p>
            <w:pPr>
              <w:spacing w:before="40" w:after="40"/>
            </w:pPr>
            <w:r>
              <w:t>ECS only</w:t>
            </w:r>
          </w:p>
        </w:tc>
      </w:tr>
    </w:tbl>
    <w:p>
      <w:pPr>
        <w:pStyle w:val="Heading2"/>
      </w:pPr>
      <w:r>
        <w:t>Version guidance rationale</w:t>
      </w:r>
    </w:p>
    <w:p>
      <w:pPr/>
      <w:r>
        <w:t>Java 21 is the chosen implementation target because it delivers the specific modern runtime capabilities that matter here—especially virtual threads—while remaining the safest enterprise baseline for broad library compatibility and job-market recognition. Spring Boot 3.5.x is preferred over Spring Boot 4.x for this artifact because it retains ecosystem stability while still providing current operational features and first-class observability integration.</w:t>
      </w:r>
    </w:p>
    <w:p>
      <w:pPr>
        <w:pStyle w:val="Heading1"/>
      </w:pPr>
      <w:r>
        <w:t>5. Detailed Component Design</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rHeight w:hRule="atLeast"/>
        </w:trPr>
        <w:tc>
          <w:tcPr>
            <w:tcW w:type="dxa" w:w="1624"/>
            <w:tcMar>
              <w:top w:w="80" w:type="dxa"/>
              <w:start w:w="90" w:type="dxa"/>
              <w:bottom w:w="80" w:type="dxa"/>
              <w:end w:w="90" w:type="dxa"/>
            </w:tcMar>
            <w:vAlign w:val="center"/>
            <w:shd w:fill="E2E8F0"/>
          </w:tcPr>
          <w:p>
            <w:pPr>
              <w:spacing w:before="40" w:after="40"/>
            </w:pPr>
            <w:r>
              <w:rPr>
                <w:b/>
              </w:rPr>
              <w:t>Component</w:t>
            </w:r>
          </w:p>
        </w:tc>
        <w:tc>
          <w:tcPr>
            <w:tcW w:type="dxa" w:w="1624"/>
            <w:tcMar>
              <w:top w:w="80" w:type="dxa"/>
              <w:start w:w="90" w:type="dxa"/>
              <w:bottom w:w="80" w:type="dxa"/>
              <w:end w:w="90" w:type="dxa"/>
            </w:tcMar>
            <w:vAlign w:val="center"/>
            <w:shd w:fill="E2E8F0"/>
          </w:tcPr>
          <w:p>
            <w:pPr>
              <w:spacing w:before="40" w:after="40"/>
            </w:pPr>
            <w:r>
              <w:rPr>
                <w:b/>
              </w:rPr>
              <w:t>Responsibilities</w:t>
            </w:r>
          </w:p>
        </w:tc>
        <w:tc>
          <w:tcPr>
            <w:tcW w:type="dxa" w:w="1624"/>
            <w:tcMar>
              <w:top w:w="80" w:type="dxa"/>
              <w:start w:w="90" w:type="dxa"/>
              <w:bottom w:w="80" w:type="dxa"/>
              <w:end w:w="90" w:type="dxa"/>
            </w:tcMar>
            <w:vAlign w:val="center"/>
            <w:shd w:fill="E2E8F0"/>
          </w:tcPr>
          <w:p>
            <w:pPr>
              <w:spacing w:before="40" w:after="40"/>
            </w:pPr>
            <w:r>
              <w:rPr>
                <w:b/>
              </w:rPr>
              <w:t>APIs / Events</w:t>
            </w:r>
          </w:p>
        </w:tc>
        <w:tc>
          <w:tcPr>
            <w:tcW w:type="dxa" w:w="1624"/>
            <w:tcMar>
              <w:top w:w="80" w:type="dxa"/>
              <w:start w:w="90" w:type="dxa"/>
              <w:bottom w:w="80" w:type="dxa"/>
              <w:end w:w="90" w:type="dxa"/>
            </w:tcMar>
            <w:vAlign w:val="center"/>
            <w:shd w:fill="E2E8F0"/>
          </w:tcPr>
          <w:p>
            <w:pPr>
              <w:spacing w:before="40" w:after="40"/>
            </w:pPr>
            <w:r>
              <w:rPr>
                <w:b/>
              </w:rPr>
              <w:t>Data ownership</w:t>
            </w:r>
          </w:p>
        </w:tc>
        <w:tc>
          <w:tcPr>
            <w:tcW w:type="dxa" w:w="1624"/>
            <w:tcMar>
              <w:top w:w="80" w:type="dxa"/>
              <w:start w:w="90" w:type="dxa"/>
              <w:bottom w:w="80" w:type="dxa"/>
              <w:end w:w="90" w:type="dxa"/>
            </w:tcMar>
            <w:vAlign w:val="center"/>
            <w:shd w:fill="E2E8F0"/>
          </w:tcPr>
          <w:p>
            <w:pPr>
              <w:spacing w:before="40" w:after="40"/>
            </w:pPr>
            <w:r>
              <w:rPr>
                <w:b/>
              </w:rPr>
              <w:t>Failure modes</w:t>
            </w:r>
          </w:p>
        </w:tc>
        <w:tc>
          <w:tcPr>
            <w:tcW w:type="dxa" w:w="1624"/>
            <w:tcMar>
              <w:top w:w="80" w:type="dxa"/>
              <w:start w:w="90" w:type="dxa"/>
              <w:bottom w:w="80" w:type="dxa"/>
              <w:end w:w="90" w:type="dxa"/>
            </w:tcMar>
            <w:vAlign w:val="center"/>
            <w:shd w:fill="E2E8F0"/>
          </w:tcPr>
          <w:p>
            <w:pPr>
              <w:spacing w:before="40" w:after="40"/>
            </w:pPr>
            <w:r>
              <w:rPr>
                <w:b/>
              </w:rPr>
              <w:t>Scaling considerations</w:t>
            </w:r>
          </w:p>
        </w:tc>
      </w:tr>
      <w:tr>
        <w:trPr>
          <w:trHeight w:hRule="atLeast"/>
        </w:trPr>
        <w:tc>
          <w:tcPr>
            <w:tcW w:type="dxa" w:w="1624"/>
            <w:tcMar>
              <w:top w:w="80" w:type="dxa"/>
              <w:start w:w="90" w:type="dxa"/>
              <w:bottom w:w="80" w:type="dxa"/>
              <w:end w:w="90" w:type="dxa"/>
            </w:tcMar>
            <w:vAlign w:val="center"/>
            <w:shd w:fill="F8FAFC"/>
          </w:tcPr>
          <w:p>
            <w:pPr>
              <w:spacing w:before="40" w:after="40"/>
            </w:pPr>
            <w:r>
              <w:t>Transfer API</w:t>
            </w:r>
          </w:p>
        </w:tc>
        <w:tc>
          <w:tcPr>
            <w:tcW w:type="dxa" w:w="1624"/>
            <w:tcMar>
              <w:top w:w="80" w:type="dxa"/>
              <w:start w:w="90" w:type="dxa"/>
              <w:bottom w:w="80" w:type="dxa"/>
              <w:end w:w="90" w:type="dxa"/>
            </w:tcMar>
            <w:vAlign w:val="center"/>
            <w:shd w:fill="F8FAFC"/>
          </w:tcPr>
          <w:p>
            <w:pPr>
              <w:spacing w:before="40" w:after="40"/>
            </w:pPr>
            <w:r>
              <w:t>Accept requests, validate input, enforce authz, expose retrieval endpoints.</w:t>
            </w:r>
          </w:p>
        </w:tc>
        <w:tc>
          <w:tcPr>
            <w:tcW w:type="dxa" w:w="1624"/>
            <w:tcMar>
              <w:top w:w="80" w:type="dxa"/>
              <w:start w:w="90" w:type="dxa"/>
              <w:bottom w:w="80" w:type="dxa"/>
              <w:end w:w="90" w:type="dxa"/>
            </w:tcMar>
            <w:vAlign w:val="center"/>
            <w:shd w:fill="F8FAFC"/>
          </w:tcPr>
          <w:p>
            <w:pPr>
              <w:spacing w:before="40" w:after="40"/>
            </w:pPr>
            <w:r>
              <w:t>POST /api/v1/transfers; GET /api/v1/transfers/{id}; GET /api/v1/transfers</w:t>
            </w:r>
          </w:p>
        </w:tc>
        <w:tc>
          <w:tcPr>
            <w:tcW w:type="dxa" w:w="1624"/>
            <w:tcMar>
              <w:top w:w="80" w:type="dxa"/>
              <w:start w:w="90" w:type="dxa"/>
              <w:bottom w:w="80" w:type="dxa"/>
              <w:end w:w="90" w:type="dxa"/>
            </w:tcMar>
            <w:vAlign w:val="center"/>
            <w:shd w:fill="F8FAFC"/>
          </w:tcPr>
          <w:p>
            <w:pPr>
              <w:spacing w:before="40" w:after="40"/>
            </w:pPr>
            <w:r>
              <w:t>None directly</w:t>
            </w:r>
          </w:p>
        </w:tc>
        <w:tc>
          <w:tcPr>
            <w:tcW w:type="dxa" w:w="1624"/>
            <w:tcMar>
              <w:top w:w="80" w:type="dxa"/>
              <w:start w:w="90" w:type="dxa"/>
              <w:bottom w:w="80" w:type="dxa"/>
              <w:end w:w="90" w:type="dxa"/>
            </w:tcMar>
            <w:vAlign w:val="center"/>
            <w:shd w:fill="F8FAFC"/>
          </w:tcPr>
          <w:p>
            <w:pPr>
              <w:spacing w:before="40" w:after="40"/>
            </w:pPr>
            <w:r>
              <w:t>Validation errors, auth failures, duplicate replay</w:t>
            </w:r>
          </w:p>
        </w:tc>
        <w:tc>
          <w:tcPr>
            <w:tcW w:type="dxa" w:w="1624"/>
            <w:tcMar>
              <w:top w:w="80" w:type="dxa"/>
              <w:start w:w="90" w:type="dxa"/>
              <w:bottom w:w="80" w:type="dxa"/>
              <w:end w:w="90" w:type="dxa"/>
            </w:tcMar>
            <w:vAlign w:val="center"/>
            <w:shd w:fill="F8FAFC"/>
          </w:tcPr>
          <w:p>
            <w:pPr>
              <w:spacing w:before="40" w:after="40"/>
            </w:pPr>
            <w:r>
              <w:t>Stateless and horizontally scalable</w:t>
            </w:r>
          </w:p>
        </w:tc>
      </w:tr>
      <w:tr>
        <w:trPr>
          <w:trHeight w:hRule="atLeast"/>
        </w:trPr>
        <w:tc>
          <w:tcPr>
            <w:tcW w:type="dxa" w:w="1624"/>
            <w:tcMar>
              <w:top w:w="80" w:type="dxa"/>
              <w:start w:w="90" w:type="dxa"/>
              <w:bottom w:w="80" w:type="dxa"/>
              <w:end w:w="90" w:type="dxa"/>
            </w:tcMar>
            <w:vAlign w:val="center"/>
          </w:tcPr>
          <w:p>
            <w:pPr>
              <w:spacing w:before="40" w:after="40"/>
            </w:pPr>
            <w:r>
              <w:t>Transfer Service</w:t>
            </w:r>
          </w:p>
        </w:tc>
        <w:tc>
          <w:tcPr>
            <w:tcW w:type="dxa" w:w="1624"/>
            <w:tcMar>
              <w:top w:w="80" w:type="dxa"/>
              <w:start w:w="90" w:type="dxa"/>
              <w:bottom w:w="80" w:type="dxa"/>
              <w:end w:w="90" w:type="dxa"/>
            </w:tcMar>
            <w:vAlign w:val="center"/>
          </w:tcPr>
          <w:p>
            <w:pPr>
              <w:spacing w:before="40" w:after="40"/>
            </w:pPr>
            <w:r>
              <w:t>Owns transaction boundary, pre-check orchestration, persistence, outbox creation.</w:t>
            </w:r>
          </w:p>
        </w:tc>
        <w:tc>
          <w:tcPr>
            <w:tcW w:type="dxa" w:w="1624"/>
            <w:tcMar>
              <w:top w:w="80" w:type="dxa"/>
              <w:start w:w="90" w:type="dxa"/>
              <w:bottom w:w="80" w:type="dxa"/>
              <w:end w:w="90" w:type="dxa"/>
            </w:tcMar>
            <w:vAlign w:val="center"/>
          </w:tcPr>
          <w:p>
            <w:pPr>
              <w:spacing w:before="40" w:after="40"/>
            </w:pPr>
            <w:r>
              <w:t>Internal service only</w:t>
            </w:r>
          </w:p>
        </w:tc>
        <w:tc>
          <w:tcPr>
            <w:tcW w:type="dxa" w:w="1624"/>
            <w:tcMar>
              <w:top w:w="80" w:type="dxa"/>
              <w:start w:w="90" w:type="dxa"/>
              <w:bottom w:w="80" w:type="dxa"/>
              <w:end w:w="90" w:type="dxa"/>
            </w:tcMar>
            <w:vAlign w:val="center"/>
          </w:tcPr>
          <w:p>
            <w:pPr>
              <w:spacing w:before="40" w:after="40"/>
            </w:pPr>
            <w:r>
              <w:t>transfers table</w:t>
            </w:r>
          </w:p>
        </w:tc>
        <w:tc>
          <w:tcPr>
            <w:tcW w:type="dxa" w:w="1624"/>
            <w:tcMar>
              <w:top w:w="80" w:type="dxa"/>
              <w:start w:w="90" w:type="dxa"/>
              <w:bottom w:w="80" w:type="dxa"/>
              <w:end w:w="90" w:type="dxa"/>
            </w:tcMar>
            <w:vAlign w:val="center"/>
          </w:tcPr>
          <w:p>
            <w:pPr>
              <w:spacing w:before="40" w:after="40"/>
            </w:pPr>
            <w:r>
              <w:t>Unique-key conflicts, DB timeouts, downstream dependency failures</w:t>
            </w:r>
          </w:p>
        </w:tc>
        <w:tc>
          <w:tcPr>
            <w:tcW w:type="dxa" w:w="1624"/>
            <w:tcMar>
              <w:top w:w="80" w:type="dxa"/>
              <w:start w:w="90" w:type="dxa"/>
              <w:bottom w:w="80" w:type="dxa"/>
              <w:end w:w="90" w:type="dxa"/>
            </w:tcMar>
            <w:vAlign w:val="center"/>
          </w:tcPr>
          <w:p>
            <w:pPr>
              <w:spacing w:before="40" w:after="40"/>
            </w:pPr>
            <w:r>
              <w:t>App nodes scale horizontally; DB is main write bottleneck</w:t>
            </w:r>
          </w:p>
        </w:tc>
      </w:tr>
      <w:tr>
        <w:trPr>
          <w:trHeight w:hRule="atLeast"/>
        </w:trPr>
        <w:tc>
          <w:tcPr>
            <w:tcW w:type="dxa" w:w="1624"/>
            <w:tcMar>
              <w:top w:w="80" w:type="dxa"/>
              <w:start w:w="90" w:type="dxa"/>
              <w:bottom w:w="80" w:type="dxa"/>
              <w:end w:w="90" w:type="dxa"/>
            </w:tcMar>
            <w:vAlign w:val="center"/>
            <w:shd w:fill="F8FAFC"/>
          </w:tcPr>
          <w:p>
            <w:pPr>
              <w:spacing w:before="40" w:after="40"/>
            </w:pPr>
            <w:r>
              <w:t>Pre-check Orchestrator</w:t>
            </w:r>
          </w:p>
        </w:tc>
        <w:tc>
          <w:tcPr>
            <w:tcW w:type="dxa" w:w="1624"/>
            <w:tcMar>
              <w:top w:w="80" w:type="dxa"/>
              <w:start w:w="90" w:type="dxa"/>
              <w:bottom w:w="80" w:type="dxa"/>
              <w:end w:w="90" w:type="dxa"/>
            </w:tcMar>
            <w:vAlign w:val="center"/>
            <w:shd w:fill="F8FAFC"/>
          </w:tcPr>
          <w:p>
            <w:pPr>
              <w:spacing w:before="40" w:after="40"/>
            </w:pPr>
            <w:r>
              <w:t>Runs account validation, screening, and fraud scoring concurrently.</w:t>
            </w:r>
          </w:p>
        </w:tc>
        <w:tc>
          <w:tcPr>
            <w:tcW w:type="dxa" w:w="1624"/>
            <w:tcMar>
              <w:top w:w="80" w:type="dxa"/>
              <w:start w:w="90" w:type="dxa"/>
              <w:bottom w:w="80" w:type="dxa"/>
              <w:end w:w="90" w:type="dxa"/>
            </w:tcMar>
            <w:vAlign w:val="center"/>
            <w:shd w:fill="F8FAFC"/>
          </w:tcPr>
          <w:p>
            <w:pPr>
              <w:spacing w:before="40" w:after="40"/>
            </w:pPr>
            <w:r>
              <w:t>Internal service only</w:t>
            </w:r>
          </w:p>
        </w:tc>
        <w:tc>
          <w:tcPr>
            <w:tcW w:type="dxa" w:w="1624"/>
            <w:tcMar>
              <w:top w:w="80" w:type="dxa"/>
              <w:start w:w="90" w:type="dxa"/>
              <w:bottom w:w="80" w:type="dxa"/>
              <w:end w:w="90" w:type="dxa"/>
            </w:tcMar>
            <w:vAlign w:val="center"/>
            <w:shd w:fill="F8FAFC"/>
          </w:tcPr>
          <w:p>
            <w:pPr>
              <w:spacing w:before="40" w:after="40"/>
            </w:pPr>
            <w:r>
              <w:t>None</w:t>
            </w:r>
          </w:p>
        </w:tc>
        <w:tc>
          <w:tcPr>
            <w:tcW w:type="dxa" w:w="1624"/>
            <w:tcMar>
              <w:top w:w="80" w:type="dxa"/>
              <w:start w:w="90" w:type="dxa"/>
              <w:bottom w:w="80" w:type="dxa"/>
              <w:end w:w="90" w:type="dxa"/>
            </w:tcMar>
            <w:vAlign w:val="center"/>
            <w:shd w:fill="F8FAFC"/>
          </w:tcPr>
          <w:p>
            <w:pPr>
              <w:spacing w:before="40" w:after="40"/>
            </w:pPr>
            <w:r>
              <w:t>Timeouts, circuit-open states, degraded dependencies</w:t>
            </w:r>
          </w:p>
        </w:tc>
        <w:tc>
          <w:tcPr>
            <w:tcW w:type="dxa" w:w="1624"/>
            <w:tcMar>
              <w:top w:w="80" w:type="dxa"/>
              <w:start w:w="90" w:type="dxa"/>
              <w:bottom w:w="80" w:type="dxa"/>
              <w:end w:w="90" w:type="dxa"/>
            </w:tcMar>
            <w:vAlign w:val="center"/>
            <w:shd w:fill="F8FAFC"/>
          </w:tcPr>
          <w:p>
            <w:pPr>
              <w:spacing w:before="40" w:after="40"/>
            </w:pPr>
            <w:r>
              <w:t>Benefits from virtual threads for I/O concurrency</w:t>
            </w:r>
          </w:p>
        </w:tc>
      </w:tr>
      <w:tr>
        <w:trPr>
          <w:trHeight w:hRule="atLeast"/>
        </w:trPr>
        <w:tc>
          <w:tcPr>
            <w:tcW w:type="dxa" w:w="1624"/>
            <w:tcMar>
              <w:top w:w="80" w:type="dxa"/>
              <w:start w:w="90" w:type="dxa"/>
              <w:bottom w:w="80" w:type="dxa"/>
              <w:end w:w="90" w:type="dxa"/>
            </w:tcMar>
            <w:vAlign w:val="center"/>
          </w:tcPr>
          <w:p>
            <w:pPr>
              <w:spacing w:before="40" w:after="40"/>
            </w:pPr>
            <w:r>
              <w:t>Persistence Layer</w:t>
            </w:r>
          </w:p>
        </w:tc>
        <w:tc>
          <w:tcPr>
            <w:tcW w:type="dxa" w:w="1624"/>
            <w:tcMar>
              <w:top w:w="80" w:type="dxa"/>
              <w:start w:w="90" w:type="dxa"/>
              <w:bottom w:w="80" w:type="dxa"/>
              <w:end w:w="90" w:type="dxa"/>
            </w:tcMar>
            <w:vAlign w:val="center"/>
          </w:tcPr>
          <w:p>
            <w:pPr>
              <w:spacing w:before="40" w:after="40"/>
            </w:pPr>
            <w:r>
              <w:t>Manages JPA entities, repository queries, optimistic locking.</w:t>
            </w:r>
          </w:p>
        </w:tc>
        <w:tc>
          <w:tcPr>
            <w:tcW w:type="dxa" w:w="1624"/>
            <w:tcMar>
              <w:top w:w="80" w:type="dxa"/>
              <w:start w:w="90" w:type="dxa"/>
              <w:bottom w:w="80" w:type="dxa"/>
              <w:end w:w="90" w:type="dxa"/>
            </w:tcMar>
            <w:vAlign w:val="center"/>
          </w:tcPr>
          <w:p>
            <w:pPr>
              <w:spacing w:before="40" w:after="40"/>
            </w:pPr>
            <w:r>
              <w:t>Repository methods</w:t>
            </w:r>
          </w:p>
        </w:tc>
        <w:tc>
          <w:tcPr>
            <w:tcW w:type="dxa" w:w="1624"/>
            <w:tcMar>
              <w:top w:w="80" w:type="dxa"/>
              <w:start w:w="90" w:type="dxa"/>
              <w:bottom w:w="80" w:type="dxa"/>
              <w:end w:w="90" w:type="dxa"/>
            </w:tcMar>
            <w:vAlign w:val="center"/>
          </w:tcPr>
          <w:p>
            <w:pPr>
              <w:spacing w:before="40" w:after="40"/>
            </w:pPr>
            <w:r>
              <w:t>transfers table</w:t>
            </w:r>
          </w:p>
        </w:tc>
        <w:tc>
          <w:tcPr>
            <w:tcW w:type="dxa" w:w="1624"/>
            <w:tcMar>
              <w:top w:w="80" w:type="dxa"/>
              <w:start w:w="90" w:type="dxa"/>
              <w:bottom w:w="80" w:type="dxa"/>
              <w:end w:w="90" w:type="dxa"/>
            </w:tcMar>
            <w:vAlign w:val="center"/>
          </w:tcPr>
          <w:p>
            <w:pPr>
              <w:spacing w:before="40" w:after="40"/>
            </w:pPr>
            <w:r>
              <w:t>Deadlocks, pool exhaustion, lock conflicts</w:t>
            </w:r>
          </w:p>
        </w:tc>
        <w:tc>
          <w:tcPr>
            <w:tcW w:type="dxa" w:w="1624"/>
            <w:tcMar>
              <w:top w:w="80" w:type="dxa"/>
              <w:start w:w="90" w:type="dxa"/>
              <w:bottom w:w="80" w:type="dxa"/>
              <w:end w:w="90" w:type="dxa"/>
            </w:tcMar>
            <w:vAlign w:val="center"/>
          </w:tcPr>
          <w:p>
            <w:pPr>
              <w:spacing w:before="40" w:after="40"/>
            </w:pPr>
            <w:r>
              <w:t>Indexing and query design are critical</w:t>
            </w:r>
          </w:p>
        </w:tc>
      </w:tr>
      <w:tr>
        <w:trPr>
          <w:trHeight w:hRule="atLeast"/>
        </w:trPr>
        <w:tc>
          <w:tcPr>
            <w:tcW w:type="dxa" w:w="1624"/>
            <w:tcMar>
              <w:top w:w="80" w:type="dxa"/>
              <w:start w:w="90" w:type="dxa"/>
              <w:bottom w:w="80" w:type="dxa"/>
              <w:end w:w="90" w:type="dxa"/>
            </w:tcMar>
            <w:vAlign w:val="center"/>
            <w:shd w:fill="F8FAFC"/>
          </w:tcPr>
          <w:p>
            <w:pPr>
              <w:spacing w:before="40" w:after="40"/>
            </w:pPr>
            <w:r>
              <w:t>Outbox Writer</w:t>
            </w:r>
          </w:p>
        </w:tc>
        <w:tc>
          <w:tcPr>
            <w:tcW w:type="dxa" w:w="1624"/>
            <w:tcMar>
              <w:top w:w="80" w:type="dxa"/>
              <w:start w:w="90" w:type="dxa"/>
              <w:bottom w:w="80" w:type="dxa"/>
              <w:end w:w="90" w:type="dxa"/>
            </w:tcMar>
            <w:vAlign w:val="center"/>
            <w:shd w:fill="F8FAFC"/>
          </w:tcPr>
          <w:p>
            <w:pPr>
              <w:spacing w:before="40" w:after="40"/>
            </w:pPr>
            <w:r>
              <w:t>Persists event publication intent in same transaction as transfer write.</w:t>
            </w:r>
          </w:p>
        </w:tc>
        <w:tc>
          <w:tcPr>
            <w:tcW w:type="dxa" w:w="1624"/>
            <w:tcMar>
              <w:top w:w="80" w:type="dxa"/>
              <w:start w:w="90" w:type="dxa"/>
              <w:bottom w:w="80" w:type="dxa"/>
              <w:end w:w="90" w:type="dxa"/>
            </w:tcMar>
            <w:vAlign w:val="center"/>
            <w:shd w:fill="F8FAFC"/>
          </w:tcPr>
          <w:p>
            <w:pPr>
              <w:spacing w:before="40" w:after="40"/>
            </w:pPr>
            <w:r>
              <w:t>Internal event persistence</w:t>
            </w:r>
          </w:p>
        </w:tc>
        <w:tc>
          <w:tcPr>
            <w:tcW w:type="dxa" w:w="1624"/>
            <w:tcMar>
              <w:top w:w="80" w:type="dxa"/>
              <w:start w:w="90" w:type="dxa"/>
              <w:bottom w:w="80" w:type="dxa"/>
              <w:end w:w="90" w:type="dxa"/>
            </w:tcMar>
            <w:vAlign w:val="center"/>
            <w:shd w:fill="F8FAFC"/>
          </w:tcPr>
          <w:p>
            <w:pPr>
              <w:spacing w:before="40" w:after="40"/>
            </w:pPr>
            <w:r>
              <w:t>outbox_events table</w:t>
            </w:r>
          </w:p>
        </w:tc>
        <w:tc>
          <w:tcPr>
            <w:tcW w:type="dxa" w:w="1624"/>
            <w:tcMar>
              <w:top w:w="80" w:type="dxa"/>
              <w:start w:w="90" w:type="dxa"/>
              <w:bottom w:w="80" w:type="dxa"/>
              <w:end w:w="90" w:type="dxa"/>
            </w:tcMar>
            <w:vAlign w:val="center"/>
            <w:shd w:fill="F8FAFC"/>
          </w:tcPr>
          <w:p>
            <w:pPr>
              <w:spacing w:before="40" w:after="40"/>
            </w:pPr>
            <w:r>
              <w:t>Serialization failure, DB write failure</w:t>
            </w:r>
          </w:p>
        </w:tc>
        <w:tc>
          <w:tcPr>
            <w:tcW w:type="dxa" w:w="1624"/>
            <w:tcMar>
              <w:top w:w="80" w:type="dxa"/>
              <w:start w:w="90" w:type="dxa"/>
              <w:bottom w:w="80" w:type="dxa"/>
              <w:end w:w="90" w:type="dxa"/>
            </w:tcMar>
            <w:vAlign w:val="center"/>
            <w:shd w:fill="F8FAFC"/>
          </w:tcPr>
          <w:p>
            <w:pPr>
              <w:spacing w:before="40" w:after="40"/>
            </w:pPr>
            <w:r>
              <w:t>Low cost until volume requires dedicated relay node</w:t>
            </w:r>
          </w:p>
        </w:tc>
      </w:tr>
      <w:tr>
        <w:trPr>
          <w:trHeight w:hRule="atLeast"/>
        </w:trPr>
        <w:tc>
          <w:tcPr>
            <w:tcW w:type="dxa" w:w="1624"/>
            <w:tcMar>
              <w:top w:w="80" w:type="dxa"/>
              <w:start w:w="90" w:type="dxa"/>
              <w:bottom w:w="80" w:type="dxa"/>
              <w:end w:w="90" w:type="dxa"/>
            </w:tcMar>
            <w:vAlign w:val="center"/>
          </w:tcPr>
          <w:p>
            <w:pPr>
              <w:spacing w:before="40" w:after="40"/>
            </w:pPr>
            <w:r>
              <w:t>Outbox Processor</w:t>
            </w:r>
          </w:p>
        </w:tc>
        <w:tc>
          <w:tcPr>
            <w:tcW w:type="dxa" w:w="1624"/>
            <w:tcMar>
              <w:top w:w="80" w:type="dxa"/>
              <w:start w:w="90" w:type="dxa"/>
              <w:bottom w:w="80" w:type="dxa"/>
              <w:end w:w="90" w:type="dxa"/>
            </w:tcMar>
            <w:vAlign w:val="center"/>
          </w:tcPr>
          <w:p>
            <w:pPr>
              <w:spacing w:before="40" w:after="40"/>
            </w:pPr>
            <w:r>
              <w:t>Polls pending rows, publishes to Kafka, updates status/retry metadata.</w:t>
            </w:r>
          </w:p>
        </w:tc>
        <w:tc>
          <w:tcPr>
            <w:tcW w:type="dxa" w:w="1624"/>
            <w:tcMar>
              <w:top w:w="80" w:type="dxa"/>
              <w:start w:w="90" w:type="dxa"/>
              <w:bottom w:w="80" w:type="dxa"/>
              <w:end w:w="90" w:type="dxa"/>
            </w:tcMar>
            <w:vAlign w:val="center"/>
          </w:tcPr>
          <w:p>
            <w:pPr>
              <w:spacing w:before="40" w:after="40"/>
            </w:pPr>
            <w:r>
              <w:t>transfer.created.v1</w:t>
            </w:r>
          </w:p>
        </w:tc>
        <w:tc>
          <w:tcPr>
            <w:tcW w:type="dxa" w:w="1624"/>
            <w:tcMar>
              <w:top w:w="80" w:type="dxa"/>
              <w:start w:w="90" w:type="dxa"/>
              <w:bottom w:w="80" w:type="dxa"/>
              <w:end w:w="90" w:type="dxa"/>
            </w:tcMar>
            <w:vAlign w:val="center"/>
          </w:tcPr>
          <w:p>
            <w:pPr>
              <w:spacing w:before="40" w:after="40"/>
            </w:pPr>
            <w:r>
              <w:t>outbox_events table</w:t>
            </w:r>
          </w:p>
        </w:tc>
        <w:tc>
          <w:tcPr>
            <w:tcW w:type="dxa" w:w="1624"/>
            <w:tcMar>
              <w:top w:w="80" w:type="dxa"/>
              <w:start w:w="90" w:type="dxa"/>
              <w:bottom w:w="80" w:type="dxa"/>
              <w:end w:w="90" w:type="dxa"/>
            </w:tcMar>
            <w:vAlign w:val="center"/>
          </w:tcPr>
          <w:p>
            <w:pPr>
              <w:spacing w:before="40" w:after="40"/>
            </w:pPr>
            <w:r>
              <w:t>Broker unavailable, poison messages, repeated publish failure</w:t>
            </w:r>
          </w:p>
        </w:tc>
        <w:tc>
          <w:tcPr>
            <w:tcW w:type="dxa" w:w="1624"/>
            <w:tcMar>
              <w:top w:w="80" w:type="dxa"/>
              <w:start w:w="90" w:type="dxa"/>
              <w:bottom w:w="80" w:type="dxa"/>
              <w:end w:w="90" w:type="dxa"/>
            </w:tcMar>
            <w:vAlign w:val="center"/>
          </w:tcPr>
          <w:p>
            <w:pPr>
              <w:spacing w:before="40" w:after="40"/>
            </w:pPr>
            <w:r>
              <w:t>Can later be extracted or separately scaled</w:t>
            </w:r>
          </w:p>
        </w:tc>
      </w:tr>
    </w:tbl>
    <w:p>
      <w:pPr>
        <w:pStyle w:val="Heading1"/>
      </w:pPr>
      <w:r>
        <w:t>6. API Design</w:t>
      </w:r>
    </w:p>
    <w:p>
      <w:pPr>
        <w:pStyle w:val="Heading2"/>
      </w:pPr>
      <w:r>
        <w:t>Versioning strategy</w:t>
      </w:r>
    </w:p>
    <w:p>
      <w:pPr/>
      <w:r>
        <w:t>REST endpoints are versioned in the URI. Breaking API changes create a new major path such as /api/v2, while backward-compatible changes remain inside the existing version. Event schemas use explicit version suffixes in message names, such as transfer.created.v1.</w:t>
      </w:r>
    </w:p>
    <w:p>
      <w:pPr>
        <w:pStyle w:val="Heading2"/>
      </w:pPr>
      <w:r>
        <w:t>Primary endpoints</w:t>
      </w:r>
    </w:p>
    <w:tbl>
      <w:tblPr>
        <w:tblStyle w:val="TableGrid"/>
        <w:tblW w:type="auto" w:w="0"/>
        <w:jc w:val="center"/>
        <w:tblLook w:firstColumn="1" w:firstRow="1" w:lastColumn="0" w:lastRow="0" w:noHBand="0" w:noVBand="1" w:val="04A0"/>
      </w:tblPr>
      <w:tblGrid>
        <w:gridCol w:w="3249"/>
        <w:gridCol w:w="3249"/>
        <w:gridCol w:w="3249"/>
      </w:tblGrid>
      <w:tr>
        <w:trPr>
          <w:trHeight w:hRule="atLeast"/>
        </w:trPr>
        <w:tc>
          <w:tcPr>
            <w:tcW w:type="dxa" w:w="3249"/>
            <w:tcMar>
              <w:top w:w="80" w:type="dxa"/>
              <w:start w:w="90" w:type="dxa"/>
              <w:bottom w:w="80" w:type="dxa"/>
              <w:end w:w="90" w:type="dxa"/>
            </w:tcMar>
            <w:vAlign w:val="center"/>
            <w:shd w:fill="E2E8F0"/>
          </w:tcPr>
          <w:p>
            <w:pPr>
              <w:spacing w:before="40" w:after="40"/>
            </w:pPr>
            <w:r>
              <w:rPr>
                <w:b/>
              </w:rPr>
              <w:t>Method</w:t>
            </w:r>
          </w:p>
        </w:tc>
        <w:tc>
          <w:tcPr>
            <w:tcW w:type="dxa" w:w="3249"/>
            <w:tcMar>
              <w:top w:w="80" w:type="dxa"/>
              <w:start w:w="90" w:type="dxa"/>
              <w:bottom w:w="80" w:type="dxa"/>
              <w:end w:w="90" w:type="dxa"/>
            </w:tcMar>
            <w:vAlign w:val="center"/>
            <w:shd w:fill="E2E8F0"/>
          </w:tcPr>
          <w:p>
            <w:pPr>
              <w:spacing w:before="40" w:after="40"/>
            </w:pPr>
            <w:r>
              <w:rPr>
                <w:b/>
              </w:rPr>
              <w:t>Path</w:t>
            </w:r>
          </w:p>
        </w:tc>
        <w:tc>
          <w:tcPr>
            <w:tcW w:type="dxa" w:w="3249"/>
            <w:tcMar>
              <w:top w:w="80" w:type="dxa"/>
              <w:start w:w="90" w:type="dxa"/>
              <w:bottom w:w="80" w:type="dxa"/>
              <w:end w:w="90" w:type="dxa"/>
            </w:tcMar>
            <w:vAlign w:val="center"/>
            <w:shd w:fill="E2E8F0"/>
          </w:tcPr>
          <w:p>
            <w:pPr>
              <w:spacing w:before="40" w:after="40"/>
            </w:pPr>
            <w:r>
              <w:rPr>
                <w:b/>
              </w:rPr>
              <w:t>Purpose</w:t>
            </w:r>
          </w:p>
        </w:tc>
      </w:tr>
      <w:tr>
        <w:trPr>
          <w:trHeight w:hRule="atLeast"/>
        </w:trPr>
        <w:tc>
          <w:tcPr>
            <w:tcW w:type="dxa" w:w="3249"/>
            <w:tcMar>
              <w:top w:w="80" w:type="dxa"/>
              <w:start w:w="90" w:type="dxa"/>
              <w:bottom w:w="80" w:type="dxa"/>
              <w:end w:w="90" w:type="dxa"/>
            </w:tcMar>
            <w:vAlign w:val="center"/>
            <w:shd w:fill="F8FAFC"/>
          </w:tcPr>
          <w:p>
            <w:pPr>
              <w:spacing w:before="40" w:after="40"/>
            </w:pPr>
            <w:r>
              <w:t>POST</w:t>
            </w:r>
          </w:p>
        </w:tc>
        <w:tc>
          <w:tcPr>
            <w:tcW w:type="dxa" w:w="3249"/>
            <w:tcMar>
              <w:top w:w="80" w:type="dxa"/>
              <w:start w:w="90" w:type="dxa"/>
              <w:bottom w:w="80" w:type="dxa"/>
              <w:end w:w="90" w:type="dxa"/>
            </w:tcMar>
            <w:vAlign w:val="center"/>
            <w:shd w:fill="F8FAFC"/>
          </w:tcPr>
          <w:p>
            <w:pPr>
              <w:spacing w:before="40" w:after="40"/>
            </w:pPr>
            <w:r>
              <w:t>/api/v1/transfers</w:t>
            </w:r>
          </w:p>
        </w:tc>
        <w:tc>
          <w:tcPr>
            <w:tcW w:type="dxa" w:w="3249"/>
            <w:tcMar>
              <w:top w:w="80" w:type="dxa"/>
              <w:start w:w="90" w:type="dxa"/>
              <w:bottom w:w="80" w:type="dxa"/>
              <w:end w:w="90" w:type="dxa"/>
            </w:tcMar>
            <w:vAlign w:val="center"/>
            <w:shd w:fill="F8FAFC"/>
          </w:tcPr>
          <w:p>
            <w:pPr>
              <w:spacing w:before="40" w:after="40"/>
            </w:pPr>
            <w:r>
              <w:t>Create a new transfer request</w:t>
            </w:r>
          </w:p>
        </w:tc>
      </w:tr>
      <w:tr>
        <w:trPr>
          <w:trHeight w:hRule="atLeast"/>
        </w:trPr>
        <w:tc>
          <w:tcPr>
            <w:tcW w:type="dxa" w:w="3249"/>
            <w:tcMar>
              <w:top w:w="80" w:type="dxa"/>
              <w:start w:w="90" w:type="dxa"/>
              <w:bottom w:w="80" w:type="dxa"/>
              <w:end w:w="90" w:type="dxa"/>
            </w:tcMar>
            <w:vAlign w:val="center"/>
          </w:tcPr>
          <w:p>
            <w:pPr>
              <w:spacing w:before="40" w:after="40"/>
            </w:pPr>
            <w:r>
              <w:t>GET</w:t>
            </w:r>
          </w:p>
        </w:tc>
        <w:tc>
          <w:tcPr>
            <w:tcW w:type="dxa" w:w="3249"/>
            <w:tcMar>
              <w:top w:w="80" w:type="dxa"/>
              <w:start w:w="90" w:type="dxa"/>
              <w:bottom w:w="80" w:type="dxa"/>
              <w:end w:w="90" w:type="dxa"/>
            </w:tcMar>
            <w:vAlign w:val="center"/>
          </w:tcPr>
          <w:p>
            <w:pPr>
              <w:spacing w:before="40" w:after="40"/>
            </w:pPr>
            <w:r>
              <w:t>/api/v1/transfers/{transferId}</w:t>
            </w:r>
          </w:p>
        </w:tc>
        <w:tc>
          <w:tcPr>
            <w:tcW w:type="dxa" w:w="3249"/>
            <w:tcMar>
              <w:top w:w="80" w:type="dxa"/>
              <w:start w:w="90" w:type="dxa"/>
              <w:bottom w:w="80" w:type="dxa"/>
              <w:end w:w="90" w:type="dxa"/>
            </w:tcMar>
            <w:vAlign w:val="center"/>
          </w:tcPr>
          <w:p>
            <w:pPr>
              <w:spacing w:before="40" w:after="40"/>
            </w:pPr>
            <w:r>
              <w:t>Retrieve a transfer by identifier</w:t>
            </w:r>
          </w:p>
        </w:tc>
      </w:tr>
      <w:tr>
        <w:trPr>
          <w:trHeight w:hRule="atLeast"/>
        </w:trPr>
        <w:tc>
          <w:tcPr>
            <w:tcW w:type="dxa" w:w="3249"/>
            <w:tcMar>
              <w:top w:w="80" w:type="dxa"/>
              <w:start w:w="90" w:type="dxa"/>
              <w:bottom w:w="80" w:type="dxa"/>
              <w:end w:w="90" w:type="dxa"/>
            </w:tcMar>
            <w:vAlign w:val="center"/>
            <w:shd w:fill="F8FAFC"/>
          </w:tcPr>
          <w:p>
            <w:pPr>
              <w:spacing w:before="40" w:after="40"/>
            </w:pPr>
            <w:r>
              <w:t>GET</w:t>
            </w:r>
          </w:p>
        </w:tc>
        <w:tc>
          <w:tcPr>
            <w:tcW w:type="dxa" w:w="3249"/>
            <w:tcMar>
              <w:top w:w="80" w:type="dxa"/>
              <w:start w:w="90" w:type="dxa"/>
              <w:bottom w:w="80" w:type="dxa"/>
              <w:end w:w="90" w:type="dxa"/>
            </w:tcMar>
            <w:vAlign w:val="center"/>
            <w:shd w:fill="F8FAFC"/>
          </w:tcPr>
          <w:p>
            <w:pPr>
              <w:spacing w:before="40" w:after="40"/>
            </w:pPr>
            <w:r>
              <w:t>/api/v1/transfers?status=PENDING_REVIEW&amp;page=0&amp;size=20&amp;sort=createdAt,desc</w:t>
            </w:r>
          </w:p>
        </w:tc>
        <w:tc>
          <w:tcPr>
            <w:tcW w:type="dxa" w:w="3249"/>
            <w:tcMar>
              <w:top w:w="80" w:type="dxa"/>
              <w:start w:w="90" w:type="dxa"/>
              <w:bottom w:w="80" w:type="dxa"/>
              <w:end w:w="90" w:type="dxa"/>
            </w:tcMar>
            <w:vAlign w:val="center"/>
            <w:shd w:fill="F8FAFC"/>
          </w:tcPr>
          <w:p>
            <w:pPr>
              <w:spacing w:before="40" w:after="40"/>
            </w:pPr>
            <w:r>
              <w:t>Query transfers with pagination and filtering</w:t>
            </w:r>
          </w:p>
        </w:tc>
      </w:tr>
    </w:tbl>
    <w:p>
      <w:pPr>
        <w:pStyle w:val="Heading2"/>
      </w:pPr>
      <w:r>
        <w:t>Example request</w:t>
      </w:r>
    </w:p>
    <w:tbl>
      <w:tblPr>
        <w:tblW w:type="auto" w:w="0"/>
        <w:tblLook w:firstColumn="1" w:firstRow="1" w:lastColumn="0" w:lastRow="0" w:noHBand="0" w:noVBand="1" w:val="04A0"/>
      </w:tblPr>
      <w:tblGrid>
        <w:gridCol w:w="9746"/>
      </w:tblGrid>
      <w:tr>
        <w:tc>
          <w:tcPr>
            <w:tcW w:type="dxa" w:w="9746"/>
            <w:shd w:fill="F8FAFC"/>
            <w:tcMar>
              <w:top w:w="110" w:type="dxa"/>
              <w:start w:w="120" w:type="dxa"/>
              <w:bottom w:w="110" w:type="dxa"/>
              <w:end w:w="120" w:type="dxa"/>
            </w:tcMar>
          </w:tcPr>
          <w:p>
            <w:r>
              <w:rPr>
                <w:rFonts w:ascii="Consolas" w:hAnsi="Consolas"/>
                <w:sz w:val="17"/>
              </w:rPr>
              <w:t>{</w:t>
              <w:br/>
            </w:r>
            <w:r>
              <w:rPr>
                <w:rFonts w:ascii="Consolas" w:hAnsi="Consolas"/>
                <w:sz w:val="17"/>
              </w:rPr>
              <w:t xml:space="preserve">  "clientReference": "payroll-2026-03-07-0001",</w:t>
              <w:br/>
            </w:r>
            <w:r>
              <w:rPr>
                <w:rFonts w:ascii="Consolas" w:hAnsi="Consolas"/>
                <w:sz w:val="17"/>
              </w:rPr>
              <w:t xml:space="preserve">  "sourceAccountId": "acct-usd-001",</w:t>
              <w:br/>
            </w:r>
            <w:r>
              <w:rPr>
                <w:rFonts w:ascii="Consolas" w:hAnsi="Consolas"/>
                <w:sz w:val="17"/>
              </w:rPr>
              <w:t xml:space="preserve">  "destinationAccountId": "acct-usd-002",</w:t>
              <w:br/>
            </w:r>
            <w:r>
              <w:rPr>
                <w:rFonts w:ascii="Consolas" w:hAnsi="Consolas"/>
                <w:sz w:val="17"/>
              </w:rPr>
              <w:t xml:space="preserve">  "beneficiaryId": "beneficiary-0042",</w:t>
              <w:br/>
            </w:r>
            <w:r>
              <w:rPr>
                <w:rFonts w:ascii="Consolas" w:hAnsi="Consolas"/>
                <w:sz w:val="17"/>
              </w:rPr>
              <w:t xml:space="preserve">  "amount": 125.50,</w:t>
              <w:br/>
            </w:r>
            <w:r>
              <w:rPr>
                <w:rFonts w:ascii="Consolas" w:hAnsi="Consolas"/>
                <w:sz w:val="17"/>
              </w:rPr>
              <w:t xml:space="preserve">  "currency": "USD"</w:t>
              <w:br/>
            </w:r>
            <w:r>
              <w:rPr>
                <w:rFonts w:ascii="Consolas" w:hAnsi="Consolas"/>
                <w:sz w:val="17"/>
              </w:rPr>
              <w:t>}</w:t>
            </w:r>
          </w:p>
        </w:tc>
      </w:tr>
    </w:tbl>
    <w:p/>
    <w:p>
      <w:pPr>
        <w:pStyle w:val="Heading2"/>
      </w:pPr>
      <w:r>
        <w:t>Example response</w:t>
      </w:r>
    </w:p>
    <w:tbl>
      <w:tblPr>
        <w:tblW w:type="auto" w:w="0"/>
        <w:tblLook w:firstColumn="1" w:firstRow="1" w:lastColumn="0" w:lastRow="0" w:noHBand="0" w:noVBand="1" w:val="04A0"/>
      </w:tblPr>
      <w:tblGrid>
        <w:gridCol w:w="9746"/>
      </w:tblGrid>
      <w:tr>
        <w:tc>
          <w:tcPr>
            <w:tcW w:type="dxa" w:w="9746"/>
            <w:shd w:fill="F8FAFC"/>
            <w:tcMar>
              <w:top w:w="110" w:type="dxa"/>
              <w:start w:w="120" w:type="dxa"/>
              <w:bottom w:w="110" w:type="dxa"/>
              <w:end w:w="120" w:type="dxa"/>
            </w:tcMar>
          </w:tcPr>
          <w:p>
            <w:r>
              <w:rPr>
                <w:rFonts w:ascii="Consolas" w:hAnsi="Consolas"/>
                <w:sz w:val="17"/>
              </w:rPr>
              <w:t>{</w:t>
              <w:br/>
            </w:r>
            <w:r>
              <w:rPr>
                <w:rFonts w:ascii="Consolas" w:hAnsi="Consolas"/>
                <w:sz w:val="17"/>
              </w:rPr>
              <w:t xml:space="preserve">  "transferId": "4d6f7f85-d96e-4db3-b337-9d5614ad09ea",</w:t>
              <w:br/>
            </w:r>
            <w:r>
              <w:rPr>
                <w:rFonts w:ascii="Consolas" w:hAnsi="Consolas"/>
                <w:sz w:val="17"/>
              </w:rPr>
              <w:t xml:space="preserve">  "clientReference": "payroll-2026-03-07-0001",</w:t>
              <w:br/>
            </w:r>
            <w:r>
              <w:rPr>
                <w:rFonts w:ascii="Consolas" w:hAnsi="Consolas"/>
                <w:sz w:val="17"/>
              </w:rPr>
              <w:t xml:space="preserve">  "sourceAccountId": "acct-usd-001",</w:t>
              <w:br/>
            </w:r>
            <w:r>
              <w:rPr>
                <w:rFonts w:ascii="Consolas" w:hAnsi="Consolas"/>
                <w:sz w:val="17"/>
              </w:rPr>
              <w:t xml:space="preserve">  "destinationAccountId": "acct-usd-002",</w:t>
              <w:br/>
            </w:r>
            <w:r>
              <w:rPr>
                <w:rFonts w:ascii="Consolas" w:hAnsi="Consolas"/>
                <w:sz w:val="17"/>
              </w:rPr>
              <w:t xml:space="preserve">  "amount": 125.50,</w:t>
              <w:br/>
            </w:r>
            <w:r>
              <w:rPr>
                <w:rFonts w:ascii="Consolas" w:hAnsi="Consolas"/>
                <w:sz w:val="17"/>
              </w:rPr>
              <w:t xml:space="preserve">  "currency": "USD",</w:t>
              <w:br/>
            </w:r>
            <w:r>
              <w:rPr>
                <w:rFonts w:ascii="Consolas" w:hAnsi="Consolas"/>
                <w:sz w:val="17"/>
              </w:rPr>
              <w:t xml:space="preserve">  "status": "PENDING_REVIEW",</w:t>
              <w:br/>
            </w:r>
            <w:r>
              <w:rPr>
                <w:rFonts w:ascii="Consolas" w:hAnsi="Consolas"/>
                <w:sz w:val="17"/>
              </w:rPr>
              <w:t xml:space="preserve">  "riskDecision": "APPROVED",</w:t>
              <w:br/>
            </w:r>
            <w:r>
              <w:rPr>
                <w:rFonts w:ascii="Consolas" w:hAnsi="Consolas"/>
                <w:sz w:val="17"/>
              </w:rPr>
              <w:t xml:space="preserve">  "createdAt": "2026-03-07T12:00:00Z",</w:t>
              <w:br/>
            </w:r>
            <w:r>
              <w:rPr>
                <w:rFonts w:ascii="Consolas" w:hAnsi="Consolas"/>
                <w:sz w:val="17"/>
              </w:rPr>
              <w:t xml:space="preserve">  "updatedAt": "2026-03-07T12:00:00Z"</w:t>
              <w:br/>
            </w:r>
            <w:r>
              <w:rPr>
                <w:rFonts w:ascii="Consolas" w:hAnsi="Consolas"/>
                <w:sz w:val="17"/>
              </w:rPr>
              <w:t>}</w:t>
            </w:r>
          </w:p>
        </w:tc>
      </w:tr>
    </w:tbl>
    <w:p/>
    <w:p>
      <w:pPr>
        <w:pStyle w:val="Heading2"/>
      </w:pPr>
      <w:r>
        <w:t>API conventions</w:t>
      </w:r>
    </w:p>
    <w:p>
      <w:pPr>
        <w:pStyle w:val="ListBullet"/>
      </w:pPr>
      <w:r>
        <w:t>Pagination uses Spring Pageable with server-side caps on page size.</w:t>
      </w:r>
    </w:p>
    <w:p>
      <w:pPr>
        <w:pStyle w:val="ListBullet"/>
      </w:pPr>
      <w:r>
        <w:t>Filtering is allowlisted; unsupported sort fields are rejected.</w:t>
      </w:r>
    </w:p>
    <w:p>
      <w:pPr>
        <w:pStyle w:val="ListBullet"/>
      </w:pPr>
      <w:r>
        <w:t>The POST endpoint requires an Idempotency-Key header.</w:t>
      </w:r>
    </w:p>
    <w:p>
      <w:pPr>
        <w:pStyle w:val="ListBullet"/>
      </w:pPr>
      <w:r>
        <w:t>Validation uses Bean Validation at the edge and business-rule validation in the application service.</w:t>
      </w:r>
    </w:p>
    <w:p>
      <w:pPr>
        <w:pStyle w:val="ListBullet"/>
      </w:pPr>
      <w:r>
        <w:t>The error envelope includes code, message, timestamp, traceId, and optional fieldErrors.</w:t>
      </w:r>
    </w:p>
    <w:p>
      <w:pPr>
        <w:pStyle w:val="ListBullet"/>
      </w:pPr>
      <w:r>
        <w:t>OpenAPI documentation is generated from code and served with Swagger UI.</w:t>
      </w:r>
    </w:p>
    <w:p>
      <w:pPr>
        <w:pStyle w:val="Heading1"/>
      </w:pPr>
      <w:r>
        <w:t>7. Data Design</w:t>
      </w:r>
    </w:p>
    <w:p>
      <w:pPr>
        <w:pStyle w:val="Heading2"/>
      </w:pPr>
      <w:r>
        <w:t>Schema overview</w:t>
      </w:r>
    </w:p>
    <w:p>
      <w:pPr>
        <w:pStyle w:val="ListBullet"/>
      </w:pPr>
      <w:r>
        <w:t>transfers: canonical business state for transfer lifecycle, tenant scoping, idempotency, and audit timestamps</w:t>
      </w:r>
    </w:p>
    <w:p>
      <w:pPr>
        <w:pStyle w:val="ListBullet"/>
      </w:pPr>
      <w:r>
        <w:t>outbox_events: pending and published integration events associated with aggregates</w:t>
      </w:r>
    </w:p>
    <w:p>
      <w:pPr>
        <w:pStyle w:val="Heading2"/>
      </w:pPr>
      <w:r>
        <w:t>Core entities and indexes</w:t>
      </w:r>
    </w:p>
    <w:tbl>
      <w:tblPr>
        <w:tblStyle w:val="TableGrid"/>
        <w:tblW w:type="auto" w:w="0"/>
        <w:jc w:val="center"/>
        <w:tblLook w:firstColumn="1" w:firstRow="1" w:lastColumn="0" w:lastRow="0" w:noHBand="0" w:noVBand="1" w:val="04A0"/>
      </w:tblPr>
      <w:tblGrid>
        <w:gridCol w:w="4873"/>
        <w:gridCol w:w="4873"/>
      </w:tblGrid>
      <w:tr>
        <w:trPr>
          <w:trHeight w:hRule="atLeast"/>
        </w:trPr>
        <w:tc>
          <w:tcPr>
            <w:tcW w:type="dxa" w:w="4873"/>
            <w:tcMar>
              <w:top w:w="80" w:type="dxa"/>
              <w:start w:w="90" w:type="dxa"/>
              <w:bottom w:w="80" w:type="dxa"/>
              <w:end w:w="90" w:type="dxa"/>
            </w:tcMar>
            <w:vAlign w:val="center"/>
            <w:shd w:fill="E2E8F0"/>
          </w:tcPr>
          <w:p>
            <w:pPr>
              <w:spacing w:before="40" w:after="40"/>
            </w:pPr>
            <w:r>
              <w:rPr>
                <w:b/>
              </w:rPr>
              <w:t>Field / constraint</w:t>
            </w:r>
          </w:p>
        </w:tc>
        <w:tc>
          <w:tcPr>
            <w:tcW w:type="dxa" w:w="4873"/>
            <w:tcMar>
              <w:top w:w="80" w:type="dxa"/>
              <w:start w:w="90" w:type="dxa"/>
              <w:bottom w:w="80" w:type="dxa"/>
              <w:end w:w="90" w:type="dxa"/>
            </w:tcMar>
            <w:vAlign w:val="center"/>
            <w:shd w:fill="E2E8F0"/>
          </w:tcPr>
          <w:p>
            <w:pPr>
              <w:spacing w:before="40" w:after="40"/>
            </w:pPr>
            <w:r>
              <w:rPr>
                <w:b/>
              </w:rPr>
              <w:t>Purpose</w:t>
            </w:r>
          </w:p>
        </w:tc>
      </w:tr>
      <w:tr>
        <w:trPr>
          <w:trHeight w:hRule="atLeast"/>
        </w:trPr>
        <w:tc>
          <w:tcPr>
            <w:tcW w:type="dxa" w:w="4873"/>
            <w:tcMar>
              <w:top w:w="80" w:type="dxa"/>
              <w:start w:w="90" w:type="dxa"/>
              <w:bottom w:w="80" w:type="dxa"/>
              <w:end w:w="90" w:type="dxa"/>
            </w:tcMar>
            <w:vAlign w:val="center"/>
            <w:shd w:fill="F8FAFC"/>
          </w:tcPr>
          <w:p>
            <w:pPr>
              <w:spacing w:before="40" w:after="40"/>
            </w:pPr>
            <w:r>
              <w:t>Unique (tenant_id, idempotency_key)</w:t>
            </w:r>
          </w:p>
        </w:tc>
        <w:tc>
          <w:tcPr>
            <w:tcW w:type="dxa" w:w="4873"/>
            <w:tcMar>
              <w:top w:w="80" w:type="dxa"/>
              <w:start w:w="90" w:type="dxa"/>
              <w:bottom w:w="80" w:type="dxa"/>
              <w:end w:w="90" w:type="dxa"/>
            </w:tcMar>
            <w:vAlign w:val="center"/>
            <w:shd w:fill="F8FAFC"/>
          </w:tcPr>
          <w:p>
            <w:pPr>
              <w:spacing w:before="40" w:after="40"/>
            </w:pPr>
            <w:r>
              <w:t>Prevents duplicate business execution for replayed requests</w:t>
            </w:r>
          </w:p>
        </w:tc>
      </w:tr>
      <w:tr>
        <w:trPr>
          <w:trHeight w:hRule="atLeast"/>
        </w:trPr>
        <w:tc>
          <w:tcPr>
            <w:tcW w:type="dxa" w:w="4873"/>
            <w:tcMar>
              <w:top w:w="80" w:type="dxa"/>
              <w:start w:w="90" w:type="dxa"/>
              <w:bottom w:w="80" w:type="dxa"/>
              <w:end w:w="90" w:type="dxa"/>
            </w:tcMar>
            <w:vAlign w:val="center"/>
          </w:tcPr>
          <w:p>
            <w:pPr>
              <w:spacing w:before="40" w:after="40"/>
            </w:pPr>
            <w:r>
              <w:t>Unique (tenant_id, client_reference)</w:t>
            </w:r>
          </w:p>
        </w:tc>
        <w:tc>
          <w:tcPr>
            <w:tcW w:type="dxa" w:w="4873"/>
            <w:tcMar>
              <w:top w:w="80" w:type="dxa"/>
              <w:start w:w="90" w:type="dxa"/>
              <w:bottom w:w="80" w:type="dxa"/>
              <w:end w:w="90" w:type="dxa"/>
            </w:tcMar>
            <w:vAlign w:val="center"/>
          </w:tcPr>
          <w:p>
            <w:pPr>
              <w:spacing w:before="40" w:after="40"/>
            </w:pPr>
            <w:r>
              <w:t>Prevents duplicate client-side correlation identifiers</w:t>
            </w:r>
          </w:p>
        </w:tc>
      </w:tr>
      <w:tr>
        <w:trPr>
          <w:trHeight w:hRule="atLeast"/>
        </w:trPr>
        <w:tc>
          <w:tcPr>
            <w:tcW w:type="dxa" w:w="4873"/>
            <w:tcMar>
              <w:top w:w="80" w:type="dxa"/>
              <w:start w:w="90" w:type="dxa"/>
              <w:bottom w:w="80" w:type="dxa"/>
              <w:end w:w="90" w:type="dxa"/>
            </w:tcMar>
            <w:vAlign w:val="center"/>
            <w:shd w:fill="F8FAFC"/>
          </w:tcPr>
          <w:p>
            <w:pPr>
              <w:spacing w:before="40" w:after="40"/>
            </w:pPr>
            <w:r>
              <w:t>Index (tenant_id, status, created_at)</w:t>
            </w:r>
          </w:p>
        </w:tc>
        <w:tc>
          <w:tcPr>
            <w:tcW w:type="dxa" w:w="4873"/>
            <w:tcMar>
              <w:top w:w="80" w:type="dxa"/>
              <w:start w:w="90" w:type="dxa"/>
              <w:bottom w:w="80" w:type="dxa"/>
              <w:end w:w="90" w:type="dxa"/>
            </w:tcMar>
            <w:vAlign w:val="center"/>
            <w:shd w:fill="F8FAFC"/>
          </w:tcPr>
          <w:p>
            <w:pPr>
              <w:spacing w:before="40" w:after="40"/>
            </w:pPr>
            <w:r>
              <w:t>Supports filtered operational queries</w:t>
            </w:r>
          </w:p>
        </w:tc>
      </w:tr>
      <w:tr>
        <w:trPr>
          <w:trHeight w:hRule="atLeast"/>
        </w:trPr>
        <w:tc>
          <w:tcPr>
            <w:tcW w:type="dxa" w:w="4873"/>
            <w:tcMar>
              <w:top w:w="80" w:type="dxa"/>
              <w:start w:w="90" w:type="dxa"/>
              <w:bottom w:w="80" w:type="dxa"/>
              <w:end w:w="90" w:type="dxa"/>
            </w:tcMar>
            <w:vAlign w:val="center"/>
          </w:tcPr>
          <w:p>
            <w:pPr>
              <w:spacing w:before="40" w:after="40"/>
            </w:pPr>
            <w:r>
              <w:t>Index (status, created_at)</w:t>
            </w:r>
          </w:p>
        </w:tc>
        <w:tc>
          <w:tcPr>
            <w:tcW w:type="dxa" w:w="4873"/>
            <w:tcMar>
              <w:top w:w="80" w:type="dxa"/>
              <w:start w:w="90" w:type="dxa"/>
              <w:bottom w:w="80" w:type="dxa"/>
              <w:end w:w="90" w:type="dxa"/>
            </w:tcMar>
            <w:vAlign w:val="center"/>
          </w:tcPr>
          <w:p>
            <w:pPr>
              <w:spacing w:before="40" w:after="40"/>
            </w:pPr>
            <w:r>
              <w:t>Supports backlog and operational listing</w:t>
            </w:r>
          </w:p>
        </w:tc>
      </w:tr>
      <w:tr>
        <w:trPr>
          <w:trHeight w:hRule="atLeast"/>
        </w:trPr>
        <w:tc>
          <w:tcPr>
            <w:tcW w:type="dxa" w:w="4873"/>
            <w:tcMar>
              <w:top w:w="80" w:type="dxa"/>
              <w:start w:w="90" w:type="dxa"/>
              <w:bottom w:w="80" w:type="dxa"/>
              <w:end w:w="90" w:type="dxa"/>
            </w:tcMar>
            <w:vAlign w:val="center"/>
            <w:shd w:fill="F8FAFC"/>
          </w:tcPr>
          <w:p>
            <w:pPr>
              <w:spacing w:before="40" w:after="40"/>
            </w:pPr>
            <w:r>
              <w:t>Index on outbox_events(status, next_attempt_at)</w:t>
            </w:r>
          </w:p>
        </w:tc>
        <w:tc>
          <w:tcPr>
            <w:tcW w:type="dxa" w:w="4873"/>
            <w:tcMar>
              <w:top w:w="80" w:type="dxa"/>
              <w:start w:w="90" w:type="dxa"/>
              <w:bottom w:w="80" w:type="dxa"/>
              <w:end w:w="90" w:type="dxa"/>
            </w:tcMar>
            <w:vAlign w:val="center"/>
            <w:shd w:fill="F8FAFC"/>
          </w:tcPr>
          <w:p>
            <w:pPr>
              <w:spacing w:before="40" w:after="40"/>
            </w:pPr>
            <w:r>
              <w:t>Efficient polling for relay processing</w:t>
            </w:r>
          </w:p>
        </w:tc>
      </w:tr>
    </w:tbl>
    <w:p>
      <w:pPr>
        <w:pStyle w:val="Heading2"/>
      </w:pPr>
      <w:r>
        <w:t>Transaction and locking strategy</w:t>
      </w:r>
    </w:p>
    <w:p>
      <w:pPr>
        <w:pStyle w:val="ListBullet"/>
      </w:pPr>
      <w:r>
        <w:t>The transfer row and matching outbox row are written in the same database transaction.</w:t>
      </w:r>
    </w:p>
    <w:p>
      <w:pPr>
        <w:pStyle w:val="ListBullet"/>
      </w:pPr>
      <w:r>
        <w:t>Kafka publication occurs outside the initial transaction boundary.</w:t>
      </w:r>
    </w:p>
    <w:p>
      <w:pPr>
        <w:pStyle w:val="ListBullet"/>
      </w:pPr>
      <w:r>
        <w:t>Optimistic locking is used on mutable aggregates; pessimistic locking is reserved for genuine contention cases.</w:t>
      </w:r>
    </w:p>
    <w:p>
      <w:pPr>
        <w:pStyle w:val="ListBullet"/>
      </w:pPr>
      <w:r>
        <w:t>Migrations are forward-only Flyway scripts, favoring additive and backward-compatible changes first.</w:t>
      </w:r>
    </w:p>
    <w:p>
      <w:pPr>
        <w:pStyle w:val="Heading2"/>
      </w:pPr>
      <w:r>
        <w:t>Retention and archival</w:t>
      </w:r>
    </w:p>
    <w:p>
      <w:pPr/>
      <w:r>
        <w:t>Older settled transfers are archived to lower-cost storage according to retention policy. Successfully published outbox rows are retained for an operational period and then purged or archived, depending on audit requirements.</w:t>
      </w:r>
    </w:p>
    <w:p>
      <w:pPr>
        <w:pStyle w:val="Heading1"/>
      </w:pPr>
      <w:r>
        <w:t>8. Asynchronous Architecture</w:t>
      </w:r>
    </w:p>
    <w:tbl>
      <w:tblPr>
        <w:tblStyle w:val="TableGrid"/>
        <w:tblW w:type="auto" w:w="0"/>
        <w:jc w:val="center"/>
        <w:tblLook w:firstColumn="1" w:firstRow="1" w:lastColumn="0" w:lastRow="0" w:noHBand="0" w:noVBand="1" w:val="04A0"/>
      </w:tblPr>
      <w:tblGrid>
        <w:gridCol w:w="4873"/>
        <w:gridCol w:w="4873"/>
      </w:tblGrid>
      <w:tr>
        <w:trPr>
          <w:trHeight w:hRule="atLeast"/>
        </w:trPr>
        <w:tc>
          <w:tcPr>
            <w:tcW w:type="dxa" w:w="4873"/>
            <w:tcMar>
              <w:top w:w="80" w:type="dxa"/>
              <w:start w:w="90" w:type="dxa"/>
              <w:bottom w:w="80" w:type="dxa"/>
              <w:end w:w="90" w:type="dxa"/>
            </w:tcMar>
            <w:vAlign w:val="center"/>
            <w:shd w:fill="E2E8F0"/>
          </w:tcPr>
          <w:p>
            <w:pPr>
              <w:spacing w:before="40" w:after="40"/>
            </w:pPr>
            <w:r>
              <w:rPr>
                <w:b/>
              </w:rPr>
              <w:t>Aspect</w:t>
            </w:r>
          </w:p>
        </w:tc>
        <w:tc>
          <w:tcPr>
            <w:tcW w:type="dxa" w:w="4873"/>
            <w:tcMar>
              <w:top w:w="80" w:type="dxa"/>
              <w:start w:w="90" w:type="dxa"/>
              <w:bottom w:w="80" w:type="dxa"/>
              <w:end w:w="90" w:type="dxa"/>
            </w:tcMar>
            <w:vAlign w:val="center"/>
            <w:shd w:fill="E2E8F0"/>
          </w:tcPr>
          <w:p>
            <w:pPr>
              <w:spacing w:before="40" w:after="40"/>
            </w:pPr>
            <w:r>
              <w:rPr>
                <w:b/>
              </w:rPr>
              <w:t>Decision</w:t>
            </w:r>
          </w:p>
        </w:tc>
      </w:tr>
      <w:tr>
        <w:trPr>
          <w:trHeight w:hRule="atLeast"/>
        </w:trPr>
        <w:tc>
          <w:tcPr>
            <w:tcW w:type="dxa" w:w="4873"/>
            <w:tcMar>
              <w:top w:w="80" w:type="dxa"/>
              <w:start w:w="90" w:type="dxa"/>
              <w:bottom w:w="80" w:type="dxa"/>
              <w:end w:w="90" w:type="dxa"/>
            </w:tcMar>
            <w:vAlign w:val="center"/>
            <w:shd w:fill="F8FAFC"/>
          </w:tcPr>
          <w:p>
            <w:pPr>
              <w:spacing w:before="40" w:after="40"/>
            </w:pPr>
            <w:r>
              <w:t>Produced events</w:t>
            </w:r>
          </w:p>
        </w:tc>
        <w:tc>
          <w:tcPr>
            <w:tcW w:type="dxa" w:w="4873"/>
            <w:tcMar>
              <w:top w:w="80" w:type="dxa"/>
              <w:start w:w="90" w:type="dxa"/>
              <w:bottom w:w="80" w:type="dxa"/>
              <w:end w:w="90" w:type="dxa"/>
            </w:tcMar>
            <w:vAlign w:val="center"/>
            <w:shd w:fill="F8FAFC"/>
          </w:tcPr>
          <w:p>
            <w:pPr>
              <w:spacing w:before="40" w:after="40"/>
            </w:pPr>
            <w:r>
              <w:t>transfer.created.v1 initially; later candidates include transfer.accepted.v1 and transfer.rejected.v1</w:t>
            </w:r>
          </w:p>
        </w:tc>
      </w:tr>
      <w:tr>
        <w:trPr>
          <w:trHeight w:hRule="atLeast"/>
        </w:trPr>
        <w:tc>
          <w:tcPr>
            <w:tcW w:type="dxa" w:w="4873"/>
            <w:tcMar>
              <w:top w:w="80" w:type="dxa"/>
              <w:start w:w="90" w:type="dxa"/>
              <w:bottom w:w="80" w:type="dxa"/>
              <w:end w:w="90" w:type="dxa"/>
            </w:tcMar>
            <w:vAlign w:val="center"/>
          </w:tcPr>
          <w:p>
            <w:pPr>
              <w:spacing w:before="40" w:after="40"/>
            </w:pPr>
            <w:r>
              <w:t>Partitioning strategy</w:t>
            </w:r>
          </w:p>
        </w:tc>
        <w:tc>
          <w:tcPr>
            <w:tcW w:type="dxa" w:w="4873"/>
            <w:tcMar>
              <w:top w:w="80" w:type="dxa"/>
              <w:start w:w="90" w:type="dxa"/>
              <w:bottom w:w="80" w:type="dxa"/>
              <w:end w:w="90" w:type="dxa"/>
            </w:tcMar>
            <w:vAlign w:val="center"/>
          </w:tcPr>
          <w:p>
            <w:pPr>
              <w:spacing w:before="40" w:after="40"/>
            </w:pPr>
            <w:r>
              <w:t>Partition by transferId or tenantId depending on downstream ordering needs</w:t>
            </w:r>
          </w:p>
        </w:tc>
      </w:tr>
      <w:tr>
        <w:trPr>
          <w:trHeight w:hRule="atLeast"/>
        </w:trPr>
        <w:tc>
          <w:tcPr>
            <w:tcW w:type="dxa" w:w="4873"/>
            <w:tcMar>
              <w:top w:w="80" w:type="dxa"/>
              <w:start w:w="90" w:type="dxa"/>
              <w:bottom w:w="80" w:type="dxa"/>
              <w:end w:w="90" w:type="dxa"/>
            </w:tcMar>
            <w:vAlign w:val="center"/>
            <w:shd w:fill="F8FAFC"/>
          </w:tcPr>
          <w:p>
            <w:pPr>
              <w:spacing w:before="40" w:after="40"/>
            </w:pPr>
            <w:r>
              <w:t>Delivery guarantee</w:t>
            </w:r>
          </w:p>
        </w:tc>
        <w:tc>
          <w:tcPr>
            <w:tcW w:type="dxa" w:w="4873"/>
            <w:tcMar>
              <w:top w:w="80" w:type="dxa"/>
              <w:start w:w="90" w:type="dxa"/>
              <w:bottom w:w="80" w:type="dxa"/>
              <w:end w:w="90" w:type="dxa"/>
            </w:tcMar>
            <w:vAlign w:val="center"/>
            <w:shd w:fill="F8FAFC"/>
          </w:tcPr>
          <w:p>
            <w:pPr>
              <w:spacing w:before="40" w:after="40"/>
            </w:pPr>
            <w:r>
              <w:t>At-least-once end-to-end with consumer idempotency</w:t>
            </w:r>
          </w:p>
        </w:tc>
      </w:tr>
      <w:tr>
        <w:trPr>
          <w:trHeight w:hRule="atLeast"/>
        </w:trPr>
        <w:tc>
          <w:tcPr>
            <w:tcW w:type="dxa" w:w="4873"/>
            <w:tcMar>
              <w:top w:w="80" w:type="dxa"/>
              <w:start w:w="90" w:type="dxa"/>
              <w:bottom w:w="80" w:type="dxa"/>
              <w:end w:w="90" w:type="dxa"/>
            </w:tcMar>
            <w:vAlign w:val="center"/>
          </w:tcPr>
          <w:p>
            <w:pPr>
              <w:spacing w:before="40" w:after="40"/>
            </w:pPr>
            <w:r>
              <w:t>Retry strategy</w:t>
            </w:r>
          </w:p>
        </w:tc>
        <w:tc>
          <w:tcPr>
            <w:tcW w:type="dxa" w:w="4873"/>
            <w:tcMar>
              <w:top w:w="80" w:type="dxa"/>
              <w:start w:w="90" w:type="dxa"/>
              <w:bottom w:w="80" w:type="dxa"/>
              <w:end w:w="90" w:type="dxa"/>
            </w:tcMar>
            <w:vAlign w:val="center"/>
          </w:tcPr>
          <w:p>
            <w:pPr>
              <w:spacing w:before="40" w:after="40"/>
            </w:pPr>
            <w:r>
              <w:t>Outbox row retry with bounded attempts and increasing backoff</w:t>
            </w:r>
          </w:p>
        </w:tc>
      </w:tr>
      <w:tr>
        <w:trPr>
          <w:trHeight w:hRule="atLeast"/>
        </w:trPr>
        <w:tc>
          <w:tcPr>
            <w:tcW w:type="dxa" w:w="4873"/>
            <w:tcMar>
              <w:top w:w="80" w:type="dxa"/>
              <w:start w:w="90" w:type="dxa"/>
              <w:bottom w:w="80" w:type="dxa"/>
              <w:end w:w="90" w:type="dxa"/>
            </w:tcMar>
            <w:vAlign w:val="center"/>
            <w:shd w:fill="F8FAFC"/>
          </w:tcPr>
          <w:p>
            <w:pPr>
              <w:spacing w:before="40" w:after="40"/>
            </w:pPr>
            <w:r>
              <w:t>DLQ handling</w:t>
            </w:r>
          </w:p>
        </w:tc>
        <w:tc>
          <w:tcPr>
            <w:tcW w:type="dxa" w:w="4873"/>
            <w:tcMar>
              <w:top w:w="80" w:type="dxa"/>
              <w:start w:w="90" w:type="dxa"/>
              <w:bottom w:w="80" w:type="dxa"/>
              <w:end w:w="90" w:type="dxa"/>
            </w:tcMar>
            <w:vAlign w:val="center"/>
            <w:shd w:fill="F8FAFC"/>
          </w:tcPr>
          <w:p>
            <w:pPr>
              <w:spacing w:before="40" w:after="40"/>
            </w:pPr>
            <w:r>
              <w:t>Terminal failures go to a dead-letter topic or remain marked FAILED for operator replay</w:t>
            </w:r>
          </w:p>
        </w:tc>
      </w:tr>
    </w:tbl>
    <w:p>
      <w:pPr>
        <w:pStyle w:val="Heading2"/>
      </w:pPr>
      <w:r>
        <w:t>Outbox rationale</w:t>
      </w:r>
    </w:p>
    <w:p>
      <w:pPr/>
      <w:r>
        <w:t>The outbox pattern is mandatory here because it eliminates the classic failure mode where the database transaction commits successfully but event publication is lost. Exactly-once delivery is not claimed as an end-to-end system property. The design explicitly chooses at-least-once delivery and requires downstream consumers to be idempotent.</w:t>
      </w:r>
    </w:p>
    <w:p>
      <w:pPr>
        <w:pStyle w:val="Heading1"/>
      </w:pPr>
      <w:r>
        <w:t>9. Java Concurrency Design</w:t>
      </w:r>
    </w:p>
    <w:p>
      <w:pPr>
        <w:pStyle w:val="Heading2"/>
      </w:pPr>
      <w:r>
        <w:t>Why concurrency matters</w:t>
      </w:r>
    </w:p>
    <w:p>
      <w:pPr/>
      <w:r>
        <w:t>The transfer request path performs several independent remote I/O checks. Running these checks serially wastes latency budget. The system uses Java 21 virtual threads to issue those calls concurrently while retaining the simpler imperative programming model of Spring MVC.</w:t>
      </w:r>
    </w:p>
    <w:p>
      <w:pPr>
        <w:pStyle w:val="Heading2"/>
      </w:pPr>
      <w:r>
        <w:t>Concurrency model</w:t>
      </w:r>
    </w:p>
    <w:p>
      <w:pPr>
        <w:pStyle w:val="ListBullet"/>
      </w:pPr>
      <w:r>
        <w:t>Spring MVC on Java 21 with virtual threads enabled</w:t>
      </w:r>
    </w:p>
    <w:p>
      <w:pPr>
        <w:pStyle w:val="ListBullet"/>
      </w:pPr>
      <w:r>
        <w:t>CompletableFuture orchestration over a virtual-thread-per-task executor</w:t>
      </w:r>
    </w:p>
    <w:p>
      <w:pPr>
        <w:pStyle w:val="ListBullet"/>
      </w:pPr>
      <w:r>
        <w:t>Scheduled polling for the outbox processor</w:t>
      </w:r>
    </w:p>
    <w:p>
      <w:pPr>
        <w:pStyle w:val="ListBullet"/>
      </w:pPr>
      <w:r>
        <w:t>Hybrid model only where useful; no reactive stack by default</w:t>
      </w:r>
    </w:p>
    <w:p>
      <w:pPr>
        <w:pStyle w:val="Heading2"/>
      </w:pPr>
      <w:r>
        <w:t>Tradeoffs and safeguards</w:t>
      </w:r>
    </w:p>
    <w:p>
      <w:pPr>
        <w:pStyle w:val="ListBullet"/>
      </w:pPr>
      <w:r>
        <w:t>Virtual threads improve throughput and latency for blocking I/O without forcing a fully reactive architecture.</w:t>
      </w:r>
    </w:p>
    <w:p>
      <w:pPr>
        <w:pStyle w:val="ListBullet"/>
      </w:pPr>
      <w:r>
        <w:t>Services remain stateless to avoid shared mutable data races.</w:t>
      </w:r>
    </w:p>
    <w:p>
      <w:pPr>
        <w:pStyle w:val="ListBullet"/>
      </w:pPr>
      <w:r>
        <w:t>Connection-pool limits, bulkheads, and downstream timeouts still define effective backpressure.</w:t>
      </w:r>
    </w:p>
    <w:p>
      <w:pPr>
        <w:pStyle w:val="ListBullet"/>
      </w:pPr>
      <w:r>
        <w:t>Reactive architecture is deliberately not chosen because the system does not have fully reactive downstream dependencies.</w:t>
      </w:r>
    </w:p>
    <w:p>
      <w:pPr>
        <w:pStyle w:val="Heading1"/>
      </w:pPr>
      <w:r>
        <w:t>10. Security Architecture</w:t>
      </w:r>
    </w:p>
    <w:tbl>
      <w:tblPr>
        <w:tblStyle w:val="TableGrid"/>
        <w:tblW w:type="auto" w:w="0"/>
        <w:jc w:val="center"/>
        <w:tblLook w:firstColumn="1" w:firstRow="1" w:lastColumn="0" w:lastRow="0" w:noHBand="0" w:noVBand="1" w:val="04A0"/>
      </w:tblPr>
      <w:tblGrid>
        <w:gridCol w:w="4873"/>
        <w:gridCol w:w="4873"/>
      </w:tblGrid>
      <w:tr>
        <w:trPr>
          <w:trHeight w:hRule="atLeast"/>
        </w:trPr>
        <w:tc>
          <w:tcPr>
            <w:tcW w:type="dxa" w:w="4873"/>
            <w:tcMar>
              <w:top w:w="80" w:type="dxa"/>
              <w:start w:w="90" w:type="dxa"/>
              <w:bottom w:w="80" w:type="dxa"/>
              <w:end w:w="90" w:type="dxa"/>
            </w:tcMar>
            <w:vAlign w:val="center"/>
            <w:shd w:fill="E2E8F0"/>
          </w:tcPr>
          <w:p>
            <w:pPr>
              <w:spacing w:before="40" w:after="40"/>
            </w:pPr>
            <w:r>
              <w:rPr>
                <w:b/>
              </w:rPr>
              <w:t>Control area</w:t>
            </w:r>
          </w:p>
        </w:tc>
        <w:tc>
          <w:tcPr>
            <w:tcW w:type="dxa" w:w="4873"/>
            <w:tcMar>
              <w:top w:w="80" w:type="dxa"/>
              <w:start w:w="90" w:type="dxa"/>
              <w:bottom w:w="80" w:type="dxa"/>
              <w:end w:w="90" w:type="dxa"/>
            </w:tcMar>
            <w:vAlign w:val="center"/>
            <w:shd w:fill="E2E8F0"/>
          </w:tcPr>
          <w:p>
            <w:pPr>
              <w:spacing w:before="40" w:after="40"/>
            </w:pPr>
            <w:r>
              <w:rPr>
                <w:b/>
              </w:rPr>
              <w:t>Decision</w:t>
            </w:r>
          </w:p>
        </w:tc>
      </w:tr>
      <w:tr>
        <w:trPr>
          <w:trHeight w:hRule="atLeast"/>
        </w:trPr>
        <w:tc>
          <w:tcPr>
            <w:tcW w:type="dxa" w:w="4873"/>
            <w:tcMar>
              <w:top w:w="80" w:type="dxa"/>
              <w:start w:w="90" w:type="dxa"/>
              <w:bottom w:w="80" w:type="dxa"/>
              <w:end w:w="90" w:type="dxa"/>
            </w:tcMar>
            <w:vAlign w:val="center"/>
            <w:shd w:fill="F8FAFC"/>
          </w:tcPr>
          <w:p>
            <w:pPr>
              <w:spacing w:before="40" w:after="40"/>
            </w:pPr>
            <w:r>
              <w:t>Authentication</w:t>
            </w:r>
          </w:p>
        </w:tc>
        <w:tc>
          <w:tcPr>
            <w:tcW w:type="dxa" w:w="4873"/>
            <w:tcMar>
              <w:top w:w="80" w:type="dxa"/>
              <w:start w:w="90" w:type="dxa"/>
              <w:bottom w:w="80" w:type="dxa"/>
              <w:end w:w="90" w:type="dxa"/>
            </w:tcMar>
            <w:vAlign w:val="center"/>
            <w:shd w:fill="F8FAFC"/>
          </w:tcPr>
          <w:p>
            <w:pPr>
              <w:spacing w:before="40" w:after="40"/>
            </w:pPr>
            <w:r>
              <w:t>OAuth2 resource server using JWT bearer tokens</w:t>
            </w:r>
          </w:p>
        </w:tc>
      </w:tr>
      <w:tr>
        <w:trPr>
          <w:trHeight w:hRule="atLeast"/>
        </w:trPr>
        <w:tc>
          <w:tcPr>
            <w:tcW w:type="dxa" w:w="4873"/>
            <w:tcMar>
              <w:top w:w="80" w:type="dxa"/>
              <w:start w:w="90" w:type="dxa"/>
              <w:bottom w:w="80" w:type="dxa"/>
              <w:end w:w="90" w:type="dxa"/>
            </w:tcMar>
            <w:vAlign w:val="center"/>
          </w:tcPr>
          <w:p>
            <w:pPr>
              <w:spacing w:before="40" w:after="40"/>
            </w:pPr>
            <w:r>
              <w:t>Authorization</w:t>
            </w:r>
          </w:p>
        </w:tc>
        <w:tc>
          <w:tcPr>
            <w:tcW w:type="dxa" w:w="4873"/>
            <w:tcMar>
              <w:top w:w="80" w:type="dxa"/>
              <w:start w:w="90" w:type="dxa"/>
              <w:bottom w:w="80" w:type="dxa"/>
              <w:end w:w="90" w:type="dxa"/>
            </w:tcMar>
            <w:vAlign w:val="center"/>
          </w:tcPr>
          <w:p>
            <w:pPr>
              <w:spacing w:before="40" w:after="40"/>
            </w:pPr>
            <w:r>
              <w:t>Scope-based authorization, e.g. transfers.write and transfers.read</w:t>
            </w:r>
          </w:p>
        </w:tc>
      </w:tr>
      <w:tr>
        <w:trPr>
          <w:trHeight w:hRule="atLeast"/>
        </w:trPr>
        <w:tc>
          <w:tcPr>
            <w:tcW w:type="dxa" w:w="4873"/>
            <w:tcMar>
              <w:top w:w="80" w:type="dxa"/>
              <w:start w:w="90" w:type="dxa"/>
              <w:bottom w:w="80" w:type="dxa"/>
              <w:end w:w="90" w:type="dxa"/>
            </w:tcMar>
            <w:vAlign w:val="center"/>
            <w:shd w:fill="F8FAFC"/>
          </w:tcPr>
          <w:p>
            <w:pPr>
              <w:spacing w:before="40" w:after="40"/>
            </w:pPr>
            <w:r>
              <w:t>Tenant isolation</w:t>
            </w:r>
          </w:p>
        </w:tc>
        <w:tc>
          <w:tcPr>
            <w:tcW w:type="dxa" w:w="4873"/>
            <w:tcMar>
              <w:top w:w="80" w:type="dxa"/>
              <w:start w:w="90" w:type="dxa"/>
              <w:bottom w:w="80" w:type="dxa"/>
              <w:end w:w="90" w:type="dxa"/>
            </w:tcMar>
            <w:vAlign w:val="center"/>
            <w:shd w:fill="F8FAFC"/>
          </w:tcPr>
          <w:p>
            <w:pPr>
              <w:spacing w:before="40" w:after="40"/>
            </w:pPr>
            <w:r>
              <w:t>tenant_id claim drives data access scope</w:t>
            </w:r>
          </w:p>
        </w:tc>
      </w:tr>
      <w:tr>
        <w:trPr>
          <w:trHeight w:hRule="atLeast"/>
        </w:trPr>
        <w:tc>
          <w:tcPr>
            <w:tcW w:type="dxa" w:w="4873"/>
            <w:tcMar>
              <w:top w:w="80" w:type="dxa"/>
              <w:start w:w="90" w:type="dxa"/>
              <w:bottom w:w="80" w:type="dxa"/>
              <w:end w:w="90" w:type="dxa"/>
            </w:tcMar>
            <w:vAlign w:val="center"/>
          </w:tcPr>
          <w:p>
            <w:pPr>
              <w:spacing w:before="40" w:after="40"/>
            </w:pPr>
            <w:r>
              <w:t>Secrets</w:t>
            </w:r>
          </w:p>
        </w:tc>
        <w:tc>
          <w:tcPr>
            <w:tcW w:type="dxa" w:w="4873"/>
            <w:tcMar>
              <w:top w:w="80" w:type="dxa"/>
              <w:start w:w="90" w:type="dxa"/>
              <w:bottom w:w="80" w:type="dxa"/>
              <w:end w:w="90" w:type="dxa"/>
            </w:tcMar>
            <w:vAlign w:val="center"/>
          </w:tcPr>
          <w:p>
            <w:pPr>
              <w:spacing w:before="40" w:after="40"/>
            </w:pPr>
            <w:r>
              <w:t>External secret management in deployment; no secrets committed to the repository</w:t>
            </w:r>
          </w:p>
        </w:tc>
      </w:tr>
      <w:tr>
        <w:trPr>
          <w:trHeight w:hRule="atLeast"/>
        </w:trPr>
        <w:tc>
          <w:tcPr>
            <w:tcW w:type="dxa" w:w="4873"/>
            <w:tcMar>
              <w:top w:w="80" w:type="dxa"/>
              <w:start w:w="90" w:type="dxa"/>
              <w:bottom w:w="80" w:type="dxa"/>
              <w:end w:w="90" w:type="dxa"/>
            </w:tcMar>
            <w:vAlign w:val="center"/>
            <w:shd w:fill="F8FAFC"/>
          </w:tcPr>
          <w:p>
            <w:pPr>
              <w:spacing w:before="40" w:after="40"/>
            </w:pPr>
            <w:r>
              <w:t>Input validation</w:t>
            </w:r>
          </w:p>
        </w:tc>
        <w:tc>
          <w:tcPr>
            <w:tcW w:type="dxa" w:w="4873"/>
            <w:tcMar>
              <w:top w:w="80" w:type="dxa"/>
              <w:start w:w="90" w:type="dxa"/>
              <w:bottom w:w="80" w:type="dxa"/>
              <w:end w:w="90" w:type="dxa"/>
            </w:tcMar>
            <w:vAlign w:val="center"/>
            <w:shd w:fill="F8FAFC"/>
          </w:tcPr>
          <w:p>
            <w:pPr>
              <w:spacing w:before="40" w:after="40"/>
            </w:pPr>
            <w:r>
              <w:t>Bean Validation plus domain validation</w:t>
            </w:r>
          </w:p>
        </w:tc>
      </w:tr>
      <w:tr>
        <w:trPr>
          <w:trHeight w:hRule="atLeast"/>
        </w:trPr>
        <w:tc>
          <w:tcPr>
            <w:tcW w:type="dxa" w:w="4873"/>
            <w:tcMar>
              <w:top w:w="80" w:type="dxa"/>
              <w:start w:w="90" w:type="dxa"/>
              <w:bottom w:w="80" w:type="dxa"/>
              <w:end w:w="90" w:type="dxa"/>
            </w:tcMar>
            <w:vAlign w:val="center"/>
          </w:tcPr>
          <w:p>
            <w:pPr>
              <w:spacing w:before="40" w:after="40"/>
            </w:pPr>
            <w:r>
              <w:t>CSRF / CORS / TLS</w:t>
            </w:r>
          </w:p>
        </w:tc>
        <w:tc>
          <w:tcPr>
            <w:tcW w:type="dxa" w:w="4873"/>
            <w:tcMar>
              <w:top w:w="80" w:type="dxa"/>
              <w:start w:w="90" w:type="dxa"/>
              <w:bottom w:w="80" w:type="dxa"/>
              <w:end w:w="90" w:type="dxa"/>
            </w:tcMar>
            <w:vAlign w:val="center"/>
          </w:tcPr>
          <w:p>
            <w:pPr>
              <w:spacing w:before="40" w:after="40"/>
            </w:pPr>
            <w:r>
              <w:t>CSRF disabled for stateless bearer-token API; strict CORS allowlist; TLS at ingress</w:t>
            </w:r>
          </w:p>
        </w:tc>
      </w:tr>
      <w:tr>
        <w:trPr>
          <w:trHeight w:hRule="atLeast"/>
        </w:trPr>
        <w:tc>
          <w:tcPr>
            <w:tcW w:type="dxa" w:w="4873"/>
            <w:tcMar>
              <w:top w:w="80" w:type="dxa"/>
              <w:start w:w="90" w:type="dxa"/>
              <w:bottom w:w="80" w:type="dxa"/>
              <w:end w:w="90" w:type="dxa"/>
            </w:tcMar>
            <w:vAlign w:val="center"/>
            <w:shd w:fill="F8FAFC"/>
          </w:tcPr>
          <w:p>
            <w:pPr>
              <w:spacing w:before="40" w:after="40"/>
            </w:pPr>
            <w:r>
              <w:t>Audit logging</w:t>
            </w:r>
          </w:p>
        </w:tc>
        <w:tc>
          <w:tcPr>
            <w:tcW w:type="dxa" w:w="4873"/>
            <w:tcMar>
              <w:top w:w="80" w:type="dxa"/>
              <w:start w:w="90" w:type="dxa"/>
              <w:bottom w:w="80" w:type="dxa"/>
              <w:end w:w="90" w:type="dxa"/>
            </w:tcMar>
            <w:vAlign w:val="center"/>
            <w:shd w:fill="F8FAFC"/>
          </w:tcPr>
          <w:p>
            <w:pPr>
              <w:spacing w:before="40" w:after="40"/>
            </w:pPr>
            <w:r>
              <w:t>Principal, tenant, transfer id, and state transitions recorded for key actions</w:t>
            </w:r>
          </w:p>
        </w:tc>
      </w:tr>
    </w:tbl>
    <w:p>
      <w:pPr>
        <w:pStyle w:val="Heading2"/>
      </w:pPr>
      <w:r>
        <w:t>OWASP posture and data handling</w:t>
      </w:r>
    </w:p>
    <w:p>
      <w:pPr>
        <w:pStyle w:val="ListBullet"/>
      </w:pPr>
      <w:r>
        <w:t>No stack traces or internals are returned to clients.</w:t>
      </w:r>
    </w:p>
    <w:p>
      <w:pPr>
        <w:pStyle w:val="ListBullet"/>
      </w:pPr>
      <w:r>
        <w:t>Sensitive fields are excluded or redacted from logs.</w:t>
      </w:r>
    </w:p>
    <w:p>
      <w:pPr>
        <w:pStyle w:val="ListBullet"/>
      </w:pPr>
      <w:r>
        <w:t>Secure headers are applied at the gateway and application layers.</w:t>
      </w:r>
    </w:p>
    <w:p>
      <w:pPr>
        <w:pStyle w:val="ListBullet"/>
      </w:pPr>
      <w:r>
        <w:t>PII is minimized, encrypted at rest where necessary, and never trusted from client-supplied tenancy context.</w:t>
      </w:r>
    </w:p>
    <w:p>
      <w:pPr>
        <w:pStyle w:val="Heading1"/>
      </w:pPr>
      <w:r>
        <w:t>11. Resilience and Failure Handling</w:t>
      </w:r>
    </w:p>
    <w:tbl>
      <w:tblPr>
        <w:tblStyle w:val="TableGrid"/>
        <w:tblW w:type="auto" w:w="0"/>
        <w:jc w:val="center"/>
        <w:tblLook w:firstColumn="1" w:firstRow="1" w:lastColumn="0" w:lastRow="0" w:noHBand="0" w:noVBand="1" w:val="04A0"/>
      </w:tblPr>
      <w:tblGrid>
        <w:gridCol w:w="4873"/>
        <w:gridCol w:w="4873"/>
      </w:tblGrid>
      <w:tr>
        <w:trPr>
          <w:trHeight w:hRule="atLeast"/>
        </w:trPr>
        <w:tc>
          <w:tcPr>
            <w:tcW w:type="dxa" w:w="4873"/>
            <w:tcMar>
              <w:top w:w="80" w:type="dxa"/>
              <w:start w:w="90" w:type="dxa"/>
              <w:bottom w:w="80" w:type="dxa"/>
              <w:end w:w="90" w:type="dxa"/>
            </w:tcMar>
            <w:vAlign w:val="center"/>
            <w:shd w:fill="E2E8F0"/>
          </w:tcPr>
          <w:p>
            <w:pPr>
              <w:spacing w:before="40" w:after="40"/>
            </w:pPr>
            <w:r>
              <w:rPr>
                <w:b/>
              </w:rPr>
              <w:t>Pattern</w:t>
            </w:r>
          </w:p>
        </w:tc>
        <w:tc>
          <w:tcPr>
            <w:tcW w:type="dxa" w:w="4873"/>
            <w:tcMar>
              <w:top w:w="80" w:type="dxa"/>
              <w:start w:w="90" w:type="dxa"/>
              <w:bottom w:w="80" w:type="dxa"/>
              <w:end w:w="90" w:type="dxa"/>
            </w:tcMar>
            <w:vAlign w:val="center"/>
            <w:shd w:fill="E2E8F0"/>
          </w:tcPr>
          <w:p>
            <w:pPr>
              <w:spacing w:before="40" w:after="40"/>
            </w:pPr>
            <w:r>
              <w:rPr>
                <w:b/>
              </w:rPr>
              <w:t>Implementation</w:t>
            </w:r>
          </w:p>
        </w:tc>
      </w:tr>
      <w:tr>
        <w:trPr>
          <w:trHeight w:hRule="atLeast"/>
        </w:trPr>
        <w:tc>
          <w:tcPr>
            <w:tcW w:type="dxa" w:w="4873"/>
            <w:tcMar>
              <w:top w:w="80" w:type="dxa"/>
              <w:start w:w="90" w:type="dxa"/>
              <w:bottom w:w="80" w:type="dxa"/>
              <w:end w:w="90" w:type="dxa"/>
            </w:tcMar>
            <w:vAlign w:val="center"/>
            <w:shd w:fill="F8FAFC"/>
          </w:tcPr>
          <w:p>
            <w:pPr>
              <w:spacing w:before="40" w:after="40"/>
            </w:pPr>
            <w:r>
              <w:t>Timeouts</w:t>
            </w:r>
          </w:p>
        </w:tc>
        <w:tc>
          <w:tcPr>
            <w:tcW w:type="dxa" w:w="4873"/>
            <w:tcMar>
              <w:top w:w="80" w:type="dxa"/>
              <w:start w:w="90" w:type="dxa"/>
              <w:bottom w:w="80" w:type="dxa"/>
              <w:end w:w="90" w:type="dxa"/>
            </w:tcMar>
            <w:vAlign w:val="center"/>
            <w:shd w:fill="F8FAFC"/>
          </w:tcPr>
          <w:p>
            <w:pPr>
              <w:spacing w:before="40" w:after="40"/>
            </w:pPr>
            <w:r>
              <w:t>Short explicit timeouts on downstream HTTP clients and bounded DB connection timeouts</w:t>
            </w:r>
          </w:p>
        </w:tc>
      </w:tr>
      <w:tr>
        <w:trPr>
          <w:trHeight w:hRule="atLeast"/>
        </w:trPr>
        <w:tc>
          <w:tcPr>
            <w:tcW w:type="dxa" w:w="4873"/>
            <w:tcMar>
              <w:top w:w="80" w:type="dxa"/>
              <w:start w:w="90" w:type="dxa"/>
              <w:bottom w:w="80" w:type="dxa"/>
              <w:end w:w="90" w:type="dxa"/>
            </w:tcMar>
            <w:vAlign w:val="center"/>
          </w:tcPr>
          <w:p>
            <w:pPr>
              <w:spacing w:before="40" w:after="40"/>
            </w:pPr>
            <w:r>
              <w:t>Retries</w:t>
            </w:r>
          </w:p>
        </w:tc>
        <w:tc>
          <w:tcPr>
            <w:tcW w:type="dxa" w:w="4873"/>
            <w:tcMar>
              <w:top w:w="80" w:type="dxa"/>
              <w:start w:w="90" w:type="dxa"/>
              <w:bottom w:w="80" w:type="dxa"/>
              <w:end w:w="90" w:type="dxa"/>
            </w:tcMar>
            <w:vAlign w:val="center"/>
          </w:tcPr>
          <w:p>
            <w:pPr>
              <w:spacing w:before="40" w:after="40"/>
            </w:pPr>
            <w:r>
              <w:t>Applied only to transient and idempotent operations</w:t>
            </w:r>
          </w:p>
        </w:tc>
      </w:tr>
      <w:tr>
        <w:trPr>
          <w:trHeight w:hRule="atLeast"/>
        </w:trPr>
        <w:tc>
          <w:tcPr>
            <w:tcW w:type="dxa" w:w="4873"/>
            <w:tcMar>
              <w:top w:w="80" w:type="dxa"/>
              <w:start w:w="90" w:type="dxa"/>
              <w:bottom w:w="80" w:type="dxa"/>
              <w:end w:w="90" w:type="dxa"/>
            </w:tcMar>
            <w:vAlign w:val="center"/>
            <w:shd w:fill="F8FAFC"/>
          </w:tcPr>
          <w:p>
            <w:pPr>
              <w:spacing w:before="40" w:after="40"/>
            </w:pPr>
            <w:r>
              <w:t>Circuit breakers</w:t>
            </w:r>
          </w:p>
        </w:tc>
        <w:tc>
          <w:tcPr>
            <w:tcW w:type="dxa" w:w="4873"/>
            <w:tcMar>
              <w:top w:w="80" w:type="dxa"/>
              <w:start w:w="90" w:type="dxa"/>
              <w:bottom w:w="80" w:type="dxa"/>
              <w:end w:w="90" w:type="dxa"/>
            </w:tcMar>
            <w:vAlign w:val="center"/>
            <w:shd w:fill="F8FAFC"/>
          </w:tcPr>
          <w:p>
            <w:pPr>
              <w:spacing w:before="40" w:after="40"/>
            </w:pPr>
            <w:r>
              <w:t>Protect fraud and screening adapters from cascading failures</w:t>
            </w:r>
          </w:p>
        </w:tc>
      </w:tr>
      <w:tr>
        <w:trPr>
          <w:trHeight w:hRule="atLeast"/>
        </w:trPr>
        <w:tc>
          <w:tcPr>
            <w:tcW w:type="dxa" w:w="4873"/>
            <w:tcMar>
              <w:top w:w="80" w:type="dxa"/>
              <w:start w:w="90" w:type="dxa"/>
              <w:bottom w:w="80" w:type="dxa"/>
              <w:end w:w="90" w:type="dxa"/>
            </w:tcMar>
            <w:vAlign w:val="center"/>
          </w:tcPr>
          <w:p>
            <w:pPr>
              <w:spacing w:before="40" w:after="40"/>
            </w:pPr>
            <w:r>
              <w:t>Bulkheads</w:t>
            </w:r>
          </w:p>
        </w:tc>
        <w:tc>
          <w:tcPr>
            <w:tcW w:type="dxa" w:w="4873"/>
            <w:tcMar>
              <w:top w:w="80" w:type="dxa"/>
              <w:start w:w="90" w:type="dxa"/>
              <w:bottom w:w="80" w:type="dxa"/>
              <w:end w:w="90" w:type="dxa"/>
            </w:tcMar>
            <w:vAlign w:val="center"/>
          </w:tcPr>
          <w:p>
            <w:pPr>
              <w:spacing w:before="40" w:after="40"/>
            </w:pPr>
            <w:r>
              <w:t>Isolate dependency pools and protect request-serving capacity</w:t>
            </w:r>
          </w:p>
        </w:tc>
      </w:tr>
      <w:tr>
        <w:trPr>
          <w:trHeight w:hRule="atLeast"/>
        </w:trPr>
        <w:tc>
          <w:tcPr>
            <w:tcW w:type="dxa" w:w="4873"/>
            <w:tcMar>
              <w:top w:w="80" w:type="dxa"/>
              <w:start w:w="90" w:type="dxa"/>
              <w:bottom w:w="80" w:type="dxa"/>
              <w:end w:w="90" w:type="dxa"/>
            </w:tcMar>
            <w:vAlign w:val="center"/>
            <w:shd w:fill="F8FAFC"/>
          </w:tcPr>
          <w:p>
            <w:pPr>
              <w:spacing w:before="40" w:after="40"/>
            </w:pPr>
            <w:r>
              <w:t>Fallback behavior</w:t>
            </w:r>
          </w:p>
        </w:tc>
        <w:tc>
          <w:tcPr>
            <w:tcW w:type="dxa" w:w="4873"/>
            <w:tcMar>
              <w:top w:w="80" w:type="dxa"/>
              <w:start w:w="90" w:type="dxa"/>
              <w:bottom w:w="80" w:type="dxa"/>
              <w:end w:w="90" w:type="dxa"/>
            </w:tcMar>
            <w:vAlign w:val="center"/>
            <w:shd w:fill="F8FAFC"/>
          </w:tcPr>
          <w:p>
            <w:pPr>
              <w:spacing w:before="40" w:after="40"/>
            </w:pPr>
            <w:r>
              <w:t>Ambiguous risk results degrade to MANUAL_REVIEW rather than silent approval</w:t>
            </w:r>
          </w:p>
        </w:tc>
      </w:tr>
      <w:tr>
        <w:trPr>
          <w:trHeight w:hRule="atLeast"/>
        </w:trPr>
        <w:tc>
          <w:tcPr>
            <w:tcW w:type="dxa" w:w="4873"/>
            <w:tcMar>
              <w:top w:w="80" w:type="dxa"/>
              <w:start w:w="90" w:type="dxa"/>
              <w:bottom w:w="80" w:type="dxa"/>
              <w:end w:w="90" w:type="dxa"/>
            </w:tcMar>
            <w:vAlign w:val="center"/>
          </w:tcPr>
          <w:p>
            <w:pPr>
              <w:spacing w:before="40" w:after="40"/>
            </w:pPr>
            <w:r>
              <w:t>Poison message handling</w:t>
            </w:r>
          </w:p>
        </w:tc>
        <w:tc>
          <w:tcPr>
            <w:tcW w:type="dxa" w:w="4873"/>
            <w:tcMar>
              <w:top w:w="80" w:type="dxa"/>
              <w:start w:w="90" w:type="dxa"/>
              <w:bottom w:w="80" w:type="dxa"/>
              <w:end w:w="90" w:type="dxa"/>
            </w:tcMar>
            <w:vAlign w:val="center"/>
          </w:tcPr>
          <w:p>
            <w:pPr>
              <w:spacing w:before="40" w:after="40"/>
            </w:pPr>
            <w:r>
              <w:t>Bounded retries followed by failed-state marking or DLQ routing</w:t>
            </w:r>
          </w:p>
        </w:tc>
      </w:tr>
      <w:tr>
        <w:trPr>
          <w:trHeight w:hRule="atLeast"/>
        </w:trPr>
        <w:tc>
          <w:tcPr>
            <w:tcW w:type="dxa" w:w="4873"/>
            <w:tcMar>
              <w:top w:w="80" w:type="dxa"/>
              <w:start w:w="90" w:type="dxa"/>
              <w:bottom w:w="80" w:type="dxa"/>
              <w:end w:w="90" w:type="dxa"/>
            </w:tcMar>
            <w:vAlign w:val="center"/>
            <w:shd w:fill="F8FAFC"/>
          </w:tcPr>
          <w:p>
            <w:pPr>
              <w:spacing w:before="40" w:after="40"/>
            </w:pPr>
            <w:r>
              <w:t>Graceful degradation</w:t>
            </w:r>
          </w:p>
        </w:tc>
        <w:tc>
          <w:tcPr>
            <w:tcW w:type="dxa" w:w="4873"/>
            <w:tcMar>
              <w:top w:w="80" w:type="dxa"/>
              <w:start w:w="90" w:type="dxa"/>
              <w:bottom w:w="80" w:type="dxa"/>
              <w:end w:w="90" w:type="dxa"/>
            </w:tcMar>
            <w:vAlign w:val="center"/>
            <w:shd w:fill="F8FAFC"/>
          </w:tcPr>
          <w:p>
            <w:pPr>
              <w:spacing w:before="40" w:after="40"/>
            </w:pPr>
            <w:r>
              <w:t>Transfer acceptance can succeed while publication is deferred via the outbox</w:t>
            </w:r>
          </w:p>
        </w:tc>
      </w:tr>
    </w:tbl>
    <w:p>
      <w:pPr>
        <w:pStyle w:val="Heading1"/>
      </w:pPr>
      <w:r>
        <w:t>12. Observability and Operations</w:t>
      </w:r>
    </w:p>
    <w:p>
      <w:pPr>
        <w:pStyle w:val="Heading2"/>
      </w:pPr>
      <w:r>
        <w:t>Logging, metrics, and tracing</w:t>
      </w:r>
    </w:p>
    <w:p>
      <w:pPr>
        <w:pStyle w:val="ListBullet"/>
      </w:pPr>
      <w:r>
        <w:t>Structured logs include traceId, tenantId, and transferId where available.</w:t>
      </w:r>
    </w:p>
    <w:p>
      <w:pPr>
        <w:pStyle w:val="ListBullet"/>
      </w:pPr>
      <w:r>
        <w:t>Micrometer metrics track request latency, error rates, outbox backlog, publish failures, and JVM health.</w:t>
      </w:r>
    </w:p>
    <w:p>
      <w:pPr>
        <w:pStyle w:val="ListBullet"/>
      </w:pPr>
      <w:r>
        <w:t>Distributed tracing covers inbound API spans, synchronous dependency calls, and outbox publication spans.</w:t>
      </w:r>
    </w:p>
    <w:p>
      <w:pPr>
        <w:pStyle w:val="Heading2"/>
      </w:pPr>
      <w:r>
        <w:t>Dashboards and alerts</w:t>
      </w:r>
    </w:p>
    <w:p>
      <w:pPr>
        <w:pStyle w:val="ListBullet"/>
      </w:pPr>
      <w:r>
        <w:t>API latency and error budget dashboard</w:t>
      </w:r>
    </w:p>
    <w:p>
      <w:pPr>
        <w:pStyle w:val="ListBullet"/>
      </w:pPr>
      <w:r>
        <w:t>Outbox backlog growth and age dashboard</w:t>
      </w:r>
    </w:p>
    <w:p>
      <w:pPr>
        <w:pStyle w:val="ListBullet"/>
      </w:pPr>
      <w:r>
        <w:t>Kafka publication success ratio dashboard</w:t>
      </w:r>
    </w:p>
    <w:p>
      <w:pPr>
        <w:pStyle w:val="ListBullet"/>
      </w:pPr>
      <w:r>
        <w:t>JVM memory, GC, and database pool saturation dashboard</w:t>
      </w:r>
    </w:p>
    <w:p>
      <w:pPr>
        <w:pStyle w:val="ListBullet"/>
      </w:pPr>
      <w:r>
        <w:t>Alerts on 5xx spikes, readiness failures, high backlog age, and publish failure rates</w:t>
      </w:r>
    </w:p>
    <w:p>
      <w:pPr>
        <w:pStyle w:val="Heading2"/>
      </w:pPr>
      <w:r>
        <w:t>Operational endpoints</w:t>
      </w:r>
    </w:p>
    <w:p>
      <w:pPr/>
      <w:r>
        <w:t>The service exposes liveness, readiness, and health-group endpoints. Readiness checks reflect critical dependency availability and are suitable for Kubernetes traffic gating. Runbooks cover replay of failed outbox rows, key rotation, scale-out, and migration incident handling.</w:t>
      </w:r>
    </w:p>
    <w:p>
      <w:pPr>
        <w:pStyle w:val="Heading1"/>
      </w:pPr>
      <w:r>
        <w:t>13. Testing Strategy</w:t>
      </w:r>
    </w:p>
    <w:tbl>
      <w:tblPr>
        <w:tblStyle w:val="TableGrid"/>
        <w:tblW w:type="auto" w:w="0"/>
        <w:jc w:val="center"/>
        <w:tblLook w:firstColumn="1" w:firstRow="1" w:lastColumn="0" w:lastRow="0" w:noHBand="0" w:noVBand="1" w:val="04A0"/>
      </w:tblPr>
      <w:tblGrid>
        <w:gridCol w:w="4873"/>
        <w:gridCol w:w="4873"/>
      </w:tblGrid>
      <w:tr>
        <w:trPr>
          <w:trHeight w:hRule="atLeast"/>
        </w:trPr>
        <w:tc>
          <w:tcPr>
            <w:tcW w:type="dxa" w:w="4873"/>
            <w:tcMar>
              <w:top w:w="80" w:type="dxa"/>
              <w:start w:w="90" w:type="dxa"/>
              <w:bottom w:w="80" w:type="dxa"/>
              <w:end w:w="90" w:type="dxa"/>
            </w:tcMar>
            <w:vAlign w:val="center"/>
            <w:shd w:fill="E2E8F0"/>
          </w:tcPr>
          <w:p>
            <w:pPr>
              <w:spacing w:before="40" w:after="40"/>
            </w:pPr>
            <w:r>
              <w:rPr>
                <w:b/>
              </w:rPr>
              <w:t>Test type</w:t>
            </w:r>
          </w:p>
        </w:tc>
        <w:tc>
          <w:tcPr>
            <w:tcW w:type="dxa" w:w="4873"/>
            <w:tcMar>
              <w:top w:w="80" w:type="dxa"/>
              <w:start w:w="90" w:type="dxa"/>
              <w:bottom w:w="80" w:type="dxa"/>
              <w:end w:w="90" w:type="dxa"/>
            </w:tcMar>
            <w:vAlign w:val="center"/>
            <w:shd w:fill="E2E8F0"/>
          </w:tcPr>
          <w:p>
            <w:pPr>
              <w:spacing w:before="40" w:after="40"/>
            </w:pPr>
            <w:r>
              <w:rPr>
                <w:b/>
              </w:rPr>
              <w:t>Scope</w:t>
            </w:r>
          </w:p>
        </w:tc>
      </w:tr>
      <w:tr>
        <w:trPr>
          <w:trHeight w:hRule="atLeast"/>
        </w:trPr>
        <w:tc>
          <w:tcPr>
            <w:tcW w:type="dxa" w:w="4873"/>
            <w:tcMar>
              <w:top w:w="80" w:type="dxa"/>
              <w:start w:w="90" w:type="dxa"/>
              <w:bottom w:w="80" w:type="dxa"/>
              <w:end w:w="90" w:type="dxa"/>
            </w:tcMar>
            <w:vAlign w:val="center"/>
            <w:shd w:fill="F8FAFC"/>
          </w:tcPr>
          <w:p>
            <w:pPr>
              <w:spacing w:before="40" w:after="40"/>
            </w:pPr>
            <w:r>
              <w:t>Unit tests</w:t>
            </w:r>
          </w:p>
        </w:tc>
        <w:tc>
          <w:tcPr>
            <w:tcW w:type="dxa" w:w="4873"/>
            <w:tcMar>
              <w:top w:w="80" w:type="dxa"/>
              <w:start w:w="90" w:type="dxa"/>
              <w:bottom w:w="80" w:type="dxa"/>
              <w:end w:w="90" w:type="dxa"/>
            </w:tcMar>
            <w:vAlign w:val="center"/>
            <w:shd w:fill="F8FAFC"/>
          </w:tcPr>
          <w:p>
            <w:pPr>
              <w:spacing w:before="40" w:after="40"/>
            </w:pPr>
            <w:r>
              <w:t>Core service logic, mappers, validation rules, fallback branches</w:t>
            </w:r>
          </w:p>
        </w:tc>
      </w:tr>
      <w:tr>
        <w:trPr>
          <w:trHeight w:hRule="atLeast"/>
        </w:trPr>
        <w:tc>
          <w:tcPr>
            <w:tcW w:type="dxa" w:w="4873"/>
            <w:tcMar>
              <w:top w:w="80" w:type="dxa"/>
              <w:start w:w="90" w:type="dxa"/>
              <w:bottom w:w="80" w:type="dxa"/>
              <w:end w:w="90" w:type="dxa"/>
            </w:tcMar>
            <w:vAlign w:val="center"/>
          </w:tcPr>
          <w:p>
            <w:pPr>
              <w:spacing w:before="40" w:after="40"/>
            </w:pPr>
            <w:r>
              <w:t>Repository tests</w:t>
            </w:r>
          </w:p>
        </w:tc>
        <w:tc>
          <w:tcPr>
            <w:tcW w:type="dxa" w:w="4873"/>
            <w:tcMar>
              <w:top w:w="80" w:type="dxa"/>
              <w:start w:w="90" w:type="dxa"/>
              <w:bottom w:w="80" w:type="dxa"/>
              <w:end w:w="90" w:type="dxa"/>
            </w:tcMar>
            <w:vAlign w:val="center"/>
          </w:tcPr>
          <w:p>
            <w:pPr>
              <w:spacing w:before="40" w:after="40"/>
            </w:pPr>
            <w:r>
              <w:t>JPA mappings, unique constraints, optimistic locking behavior</w:t>
            </w:r>
          </w:p>
        </w:tc>
      </w:tr>
      <w:tr>
        <w:trPr>
          <w:trHeight w:hRule="atLeast"/>
        </w:trPr>
        <w:tc>
          <w:tcPr>
            <w:tcW w:type="dxa" w:w="4873"/>
            <w:tcMar>
              <w:top w:w="80" w:type="dxa"/>
              <w:start w:w="90" w:type="dxa"/>
              <w:bottom w:w="80" w:type="dxa"/>
              <w:end w:w="90" w:type="dxa"/>
            </w:tcMar>
            <w:vAlign w:val="center"/>
            <w:shd w:fill="F8FAFC"/>
          </w:tcPr>
          <w:p>
            <w:pPr>
              <w:spacing w:before="40" w:after="40"/>
            </w:pPr>
            <w:r>
              <w:t>Controller tests</w:t>
            </w:r>
          </w:p>
        </w:tc>
        <w:tc>
          <w:tcPr>
            <w:tcW w:type="dxa" w:w="4873"/>
            <w:tcMar>
              <w:top w:w="80" w:type="dxa"/>
              <w:start w:w="90" w:type="dxa"/>
              <w:bottom w:w="80" w:type="dxa"/>
              <w:end w:w="90" w:type="dxa"/>
            </w:tcMar>
            <w:vAlign w:val="center"/>
            <w:shd w:fill="F8FAFC"/>
          </w:tcPr>
          <w:p>
            <w:pPr>
              <w:spacing w:before="40" w:after="40"/>
            </w:pPr>
            <w:r>
              <w:t>Serialization, validation, authz, and error envelopes</w:t>
            </w:r>
          </w:p>
        </w:tc>
      </w:tr>
      <w:tr>
        <w:trPr>
          <w:trHeight w:hRule="atLeast"/>
        </w:trPr>
        <w:tc>
          <w:tcPr>
            <w:tcW w:type="dxa" w:w="4873"/>
            <w:tcMar>
              <w:top w:w="80" w:type="dxa"/>
              <w:start w:w="90" w:type="dxa"/>
              <w:bottom w:w="80" w:type="dxa"/>
              <w:end w:w="90" w:type="dxa"/>
            </w:tcMar>
            <w:vAlign w:val="center"/>
          </w:tcPr>
          <w:p>
            <w:pPr>
              <w:spacing w:before="40" w:after="40"/>
            </w:pPr>
            <w:r>
              <w:t>Messaging tests</w:t>
            </w:r>
          </w:p>
        </w:tc>
        <w:tc>
          <w:tcPr>
            <w:tcW w:type="dxa" w:w="4873"/>
            <w:tcMar>
              <w:top w:w="80" w:type="dxa"/>
              <w:start w:w="90" w:type="dxa"/>
              <w:bottom w:w="80" w:type="dxa"/>
              <w:end w:w="90" w:type="dxa"/>
            </w:tcMar>
            <w:vAlign w:val="center"/>
          </w:tcPr>
          <w:p>
            <w:pPr>
              <w:spacing w:before="40" w:after="40"/>
            </w:pPr>
            <w:r>
              <w:t>Outbox serialization and publish-state transitions</w:t>
            </w:r>
          </w:p>
        </w:tc>
      </w:tr>
      <w:tr>
        <w:trPr>
          <w:trHeight w:hRule="atLeast"/>
        </w:trPr>
        <w:tc>
          <w:tcPr>
            <w:tcW w:type="dxa" w:w="4873"/>
            <w:tcMar>
              <w:top w:w="80" w:type="dxa"/>
              <w:start w:w="90" w:type="dxa"/>
              <w:bottom w:w="80" w:type="dxa"/>
              <w:end w:w="90" w:type="dxa"/>
            </w:tcMar>
            <w:vAlign w:val="center"/>
            <w:shd w:fill="F8FAFC"/>
          </w:tcPr>
          <w:p>
            <w:pPr>
              <w:spacing w:before="40" w:after="40"/>
            </w:pPr>
            <w:r>
              <w:t>Integration tests</w:t>
            </w:r>
          </w:p>
        </w:tc>
        <w:tc>
          <w:tcPr>
            <w:tcW w:type="dxa" w:w="4873"/>
            <w:tcMar>
              <w:top w:w="80" w:type="dxa"/>
              <w:start w:w="90" w:type="dxa"/>
              <w:bottom w:w="80" w:type="dxa"/>
              <w:end w:w="90" w:type="dxa"/>
            </w:tcMar>
            <w:vAlign w:val="center"/>
            <w:shd w:fill="F8FAFC"/>
          </w:tcPr>
          <w:p>
            <w:pPr>
              <w:spacing w:before="40" w:after="40"/>
            </w:pPr>
            <w:r>
              <w:t>Transactional write path and component wiring</w:t>
            </w:r>
          </w:p>
        </w:tc>
      </w:tr>
      <w:tr>
        <w:trPr>
          <w:trHeight w:hRule="atLeast"/>
        </w:trPr>
        <w:tc>
          <w:tcPr>
            <w:tcW w:type="dxa" w:w="4873"/>
            <w:tcMar>
              <w:top w:w="80" w:type="dxa"/>
              <w:start w:w="90" w:type="dxa"/>
              <w:bottom w:w="80" w:type="dxa"/>
              <w:end w:w="90" w:type="dxa"/>
            </w:tcMar>
            <w:vAlign w:val="center"/>
          </w:tcPr>
          <w:p>
            <w:pPr>
              <w:spacing w:before="40" w:after="40"/>
            </w:pPr>
            <w:r>
              <w:t>Contract tests</w:t>
            </w:r>
          </w:p>
        </w:tc>
        <w:tc>
          <w:tcPr>
            <w:tcW w:type="dxa" w:w="4873"/>
            <w:tcMar>
              <w:top w:w="80" w:type="dxa"/>
              <w:start w:w="90" w:type="dxa"/>
              <w:bottom w:w="80" w:type="dxa"/>
              <w:end w:w="90" w:type="dxa"/>
            </w:tcMar>
            <w:vAlign w:val="center"/>
          </w:tcPr>
          <w:p>
            <w:pPr>
              <w:spacing w:before="40" w:after="40"/>
            </w:pPr>
            <w:r>
              <w:t>Event schema compatibility and external client expectations</w:t>
            </w:r>
          </w:p>
        </w:tc>
      </w:tr>
      <w:tr>
        <w:trPr>
          <w:trHeight w:hRule="atLeast"/>
        </w:trPr>
        <w:tc>
          <w:tcPr>
            <w:tcW w:type="dxa" w:w="4873"/>
            <w:tcMar>
              <w:top w:w="80" w:type="dxa"/>
              <w:start w:w="90" w:type="dxa"/>
              <w:bottom w:w="80" w:type="dxa"/>
              <w:end w:w="90" w:type="dxa"/>
            </w:tcMar>
            <w:vAlign w:val="center"/>
            <w:shd w:fill="F8FAFC"/>
          </w:tcPr>
          <w:p>
            <w:pPr>
              <w:spacing w:before="40" w:after="40"/>
            </w:pPr>
            <w:r>
              <w:t>End-to-end tests</w:t>
            </w:r>
          </w:p>
        </w:tc>
        <w:tc>
          <w:tcPr>
            <w:tcW w:type="dxa" w:w="4873"/>
            <w:tcMar>
              <w:top w:w="80" w:type="dxa"/>
              <w:start w:w="90" w:type="dxa"/>
              <w:bottom w:w="80" w:type="dxa"/>
              <w:end w:w="90" w:type="dxa"/>
            </w:tcMar>
            <w:vAlign w:val="center"/>
            <w:shd w:fill="F8FAFC"/>
          </w:tcPr>
          <w:p>
            <w:pPr>
              <w:spacing w:before="40" w:after="40"/>
            </w:pPr>
            <w:r>
              <w:t>Create transfer → persist rows → publish event</w:t>
            </w:r>
          </w:p>
        </w:tc>
      </w:tr>
      <w:tr>
        <w:trPr>
          <w:trHeight w:hRule="atLeast"/>
        </w:trPr>
        <w:tc>
          <w:tcPr>
            <w:tcW w:type="dxa" w:w="4873"/>
            <w:tcMar>
              <w:top w:w="80" w:type="dxa"/>
              <w:start w:w="90" w:type="dxa"/>
              <w:bottom w:w="80" w:type="dxa"/>
              <w:end w:w="90" w:type="dxa"/>
            </w:tcMar>
            <w:vAlign w:val="center"/>
          </w:tcPr>
          <w:p>
            <w:pPr>
              <w:spacing w:before="40" w:after="40"/>
            </w:pPr>
            <w:r>
              <w:t>Performance / failure tests</w:t>
            </w:r>
          </w:p>
        </w:tc>
        <w:tc>
          <w:tcPr>
            <w:tcW w:type="dxa" w:w="4873"/>
            <w:tcMar>
              <w:top w:w="80" w:type="dxa"/>
              <w:start w:w="90" w:type="dxa"/>
              <w:bottom w:w="80" w:type="dxa"/>
              <w:end w:w="90" w:type="dxa"/>
            </w:tcMar>
            <w:vAlign w:val="center"/>
          </w:tcPr>
          <w:p>
            <w:pPr>
              <w:spacing w:before="40" w:after="40"/>
            </w:pPr>
            <w:r>
              <w:t>Burst behavior, backlog drain, dependency timeouts, and resilience behavior</w:t>
            </w:r>
          </w:p>
        </w:tc>
      </w:tr>
    </w:tbl>
    <w:p>
      <w:pPr>
        <w:pStyle w:val="Heading2"/>
      </w:pPr>
      <w:r>
        <w:t>Test pyramid and environment strategy</w:t>
      </w:r>
    </w:p>
    <w:p>
      <w:pPr/>
      <w:r>
        <w:t>The test pyramid is intentionally broad at the base: many unit tests, fewer integration tests, and a very small number of heavy end-to-end flows. Testcontainers is the preferred approach for PostgreSQL and Kafka in CI because it provides production-like infrastructure behavior without external environment coupling.</w:t>
      </w:r>
    </w:p>
    <w:p>
      <w:pPr>
        <w:pStyle w:val="Heading1"/>
      </w:pPr>
      <w:r>
        <w:t>14. CI/CD Pipeline</w:t>
      </w:r>
    </w:p>
    <w:p>
      <w:pPr>
        <w:pStyle w:val="Heading2"/>
      </w:pPr>
      <w:r>
        <w:t>Pipeline stages</w:t>
      </w:r>
    </w:p>
    <w:p>
      <w:pPr>
        <w:ind w:left="113"/>
      </w:pPr>
      <w:r>
        <w:rPr>
          <w:b/>
        </w:rPr>
        <w:t xml:space="preserve">1. </w:t>
      </w:r>
      <w:r>
        <w:t>Pull request validation: compile, unit tests, integration tests, static analysis, dependency scan, and container build.</w:t>
      </w:r>
    </w:p>
    <w:p>
      <w:pPr>
        <w:ind w:left="113"/>
      </w:pPr>
      <w:r>
        <w:rPr>
          <w:b/>
        </w:rPr>
        <w:t xml:space="preserve">2. </w:t>
      </w:r>
      <w:r>
        <w:t>Main-branch merge: produce immutable image tags and publish the artifact.</w:t>
      </w:r>
    </w:p>
    <w:p>
      <w:pPr>
        <w:ind w:left="113"/>
      </w:pPr>
      <w:r>
        <w:rPr>
          <w:b/>
        </w:rPr>
        <w:t xml:space="preserve">3. </w:t>
      </w:r>
      <w:r>
        <w:t>Staging deployment: deploy the already-built image, run smoke tests, and expose observability signals.</w:t>
      </w:r>
    </w:p>
    <w:p>
      <w:pPr>
        <w:ind w:left="113"/>
      </w:pPr>
      <w:r>
        <w:rPr>
          <w:b/>
        </w:rPr>
        <w:t xml:space="preserve">4. </w:t>
      </w:r>
      <w:r>
        <w:t>Production promotion: approval-gated rollout using the tested staging image, not a rebuilt one.</w:t>
      </w:r>
    </w:p>
    <w:p>
      <w:pPr>
        <w:ind w:left="113"/>
      </w:pPr>
      <w:r>
        <w:rPr>
          <w:b/>
        </w:rPr>
        <w:t xml:space="preserve">5. </w:t>
      </w:r>
      <w:r>
        <w:t>Rollback: redeploy previous image tag and rely on backward-compatible database changes.</w:t>
      </w:r>
    </w:p>
    <w:p>
      <w:pPr>
        <w:pStyle w:val="Heading2"/>
      </w:pPr>
      <w:r>
        <w:t>Delivery principles</w:t>
      </w:r>
    </w:p>
    <w:p>
      <w:pPr>
        <w:pStyle w:val="ListBullet"/>
      </w:pPr>
      <w:r>
        <w:t>Protected main branch and short-lived feature branches</w:t>
      </w:r>
    </w:p>
    <w:p>
      <w:pPr>
        <w:pStyle w:val="ListBullet"/>
      </w:pPr>
      <w:r>
        <w:t>Artifact versioning by git SHA and release tags</w:t>
      </w:r>
    </w:p>
    <w:p>
      <w:pPr>
        <w:pStyle w:val="ListBullet"/>
      </w:pPr>
      <w:r>
        <w:t>Secrets injected by CI platform or secret manager</w:t>
      </w:r>
    </w:p>
    <w:p>
      <w:pPr>
        <w:pStyle w:val="ListBullet"/>
      </w:pPr>
      <w:r>
        <w:t>Database migrations applied in a controlled stage or as a startup gate</w:t>
      </w:r>
    </w:p>
    <w:p>
      <w:pPr>
        <w:pStyle w:val="ListBullet"/>
      </w:pPr>
      <w:r>
        <w:t>Manifest linting and deployment validation before promotion</w:t>
      </w:r>
    </w:p>
    <w:p>
      <w:pPr>
        <w:pStyle w:val="Heading1"/>
      </w:pPr>
      <w:r>
        <w:t>15. Deployment Architecture</w:t>
      </w:r>
    </w:p>
    <w:tbl>
      <w:tblPr>
        <w:tblStyle w:val="TableGrid"/>
        <w:tblW w:type="auto" w:w="0"/>
        <w:jc w:val="center"/>
        <w:tblLook w:firstColumn="1" w:firstRow="1" w:lastColumn="0" w:lastRow="0" w:noHBand="0" w:noVBand="1" w:val="04A0"/>
      </w:tblPr>
      <w:tblGrid>
        <w:gridCol w:w="4873"/>
        <w:gridCol w:w="4873"/>
      </w:tblGrid>
      <w:tr>
        <w:trPr>
          <w:trHeight w:hRule="atLeast"/>
        </w:trPr>
        <w:tc>
          <w:tcPr>
            <w:tcW w:type="dxa" w:w="4873"/>
            <w:tcMar>
              <w:top w:w="80" w:type="dxa"/>
              <w:start w:w="90" w:type="dxa"/>
              <w:bottom w:w="80" w:type="dxa"/>
              <w:end w:w="90" w:type="dxa"/>
            </w:tcMar>
            <w:vAlign w:val="center"/>
            <w:shd w:fill="E2E8F0"/>
          </w:tcPr>
          <w:p>
            <w:pPr>
              <w:spacing w:before="40" w:after="40"/>
            </w:pPr>
            <w:r>
              <w:rPr>
                <w:b/>
              </w:rPr>
              <w:t>Environment</w:t>
            </w:r>
          </w:p>
        </w:tc>
        <w:tc>
          <w:tcPr>
            <w:tcW w:type="dxa" w:w="4873"/>
            <w:tcMar>
              <w:top w:w="80" w:type="dxa"/>
              <w:start w:w="90" w:type="dxa"/>
              <w:bottom w:w="80" w:type="dxa"/>
              <w:end w:w="90" w:type="dxa"/>
            </w:tcMar>
            <w:vAlign w:val="center"/>
            <w:shd w:fill="E2E8F0"/>
          </w:tcPr>
          <w:p>
            <w:pPr>
              <w:spacing w:before="40" w:after="40"/>
            </w:pPr>
            <w:r>
              <w:rPr>
                <w:b/>
              </w:rPr>
              <w:t>Model</w:t>
            </w:r>
          </w:p>
        </w:tc>
      </w:tr>
      <w:tr>
        <w:trPr>
          <w:trHeight w:hRule="atLeast"/>
        </w:trPr>
        <w:tc>
          <w:tcPr>
            <w:tcW w:type="dxa" w:w="4873"/>
            <w:tcMar>
              <w:top w:w="80" w:type="dxa"/>
              <w:start w:w="90" w:type="dxa"/>
              <w:bottom w:w="80" w:type="dxa"/>
              <w:end w:w="90" w:type="dxa"/>
            </w:tcMar>
            <w:vAlign w:val="center"/>
            <w:shd w:fill="F8FAFC"/>
          </w:tcPr>
          <w:p>
            <w:pPr>
              <w:spacing w:before="40" w:after="40"/>
            </w:pPr>
            <w:r>
              <w:t>Local development</w:t>
            </w:r>
          </w:p>
        </w:tc>
        <w:tc>
          <w:tcPr>
            <w:tcW w:type="dxa" w:w="4873"/>
            <w:tcMar>
              <w:top w:w="80" w:type="dxa"/>
              <w:start w:w="90" w:type="dxa"/>
              <w:bottom w:w="80" w:type="dxa"/>
              <w:end w:w="90" w:type="dxa"/>
            </w:tcMar>
            <w:vAlign w:val="center"/>
            <w:shd w:fill="F8FAFC"/>
          </w:tcPr>
          <w:p>
            <w:pPr>
              <w:spacing w:before="40" w:after="40"/>
            </w:pPr>
            <w:r>
              <w:t>Docker Compose with PostgreSQL, Redis, and Redpanda/Kafka-compatible broker</w:t>
            </w:r>
          </w:p>
        </w:tc>
      </w:tr>
      <w:tr>
        <w:trPr>
          <w:trHeight w:hRule="atLeast"/>
        </w:trPr>
        <w:tc>
          <w:tcPr>
            <w:tcW w:type="dxa" w:w="4873"/>
            <w:tcMar>
              <w:top w:w="80" w:type="dxa"/>
              <w:start w:w="90" w:type="dxa"/>
              <w:bottom w:w="80" w:type="dxa"/>
              <w:end w:w="90" w:type="dxa"/>
            </w:tcMar>
            <w:vAlign w:val="center"/>
          </w:tcPr>
          <w:p>
            <w:pPr>
              <w:spacing w:before="40" w:after="40"/>
            </w:pPr>
            <w:r>
              <w:t>Staging</w:t>
            </w:r>
          </w:p>
        </w:tc>
        <w:tc>
          <w:tcPr>
            <w:tcW w:type="dxa" w:w="4873"/>
            <w:tcMar>
              <w:top w:w="80" w:type="dxa"/>
              <w:start w:w="90" w:type="dxa"/>
              <w:bottom w:w="80" w:type="dxa"/>
              <w:end w:w="90" w:type="dxa"/>
            </w:tcMar>
            <w:vAlign w:val="center"/>
          </w:tcPr>
          <w:p>
            <w:pPr>
              <w:spacing w:before="40" w:after="40"/>
            </w:pPr>
            <w:r>
              <w:t>Production-like Kubernetes namespace with lower replica counts</w:t>
            </w:r>
          </w:p>
        </w:tc>
      </w:tr>
      <w:tr>
        <w:trPr>
          <w:trHeight w:hRule="atLeast"/>
        </w:trPr>
        <w:tc>
          <w:tcPr>
            <w:tcW w:type="dxa" w:w="4873"/>
            <w:tcMar>
              <w:top w:w="80" w:type="dxa"/>
              <w:start w:w="90" w:type="dxa"/>
              <w:bottom w:w="80" w:type="dxa"/>
              <w:end w:w="90" w:type="dxa"/>
            </w:tcMar>
            <w:vAlign w:val="center"/>
            <w:shd w:fill="F8FAFC"/>
          </w:tcPr>
          <w:p>
            <w:pPr>
              <w:spacing w:before="40" w:after="40"/>
            </w:pPr>
            <w:r>
              <w:t>Production</w:t>
            </w:r>
          </w:p>
        </w:tc>
        <w:tc>
          <w:tcPr>
            <w:tcW w:type="dxa" w:w="4873"/>
            <w:tcMar>
              <w:top w:w="80" w:type="dxa"/>
              <w:start w:w="90" w:type="dxa"/>
              <w:bottom w:w="80" w:type="dxa"/>
              <w:end w:w="90" w:type="dxa"/>
            </w:tcMar>
            <w:vAlign w:val="center"/>
            <w:shd w:fill="F8FAFC"/>
          </w:tcPr>
          <w:p>
            <w:pPr>
              <w:spacing w:before="40" w:after="40"/>
            </w:pPr>
            <w:r>
              <w:t>Kubernetes with stateless application pods and managed data services</w:t>
            </w:r>
          </w:p>
        </w:tc>
      </w:tr>
      <w:tr>
        <w:trPr>
          <w:trHeight w:hRule="atLeast"/>
        </w:trPr>
        <w:tc>
          <w:tcPr>
            <w:tcW w:type="dxa" w:w="4873"/>
            <w:tcMar>
              <w:top w:w="80" w:type="dxa"/>
              <w:start w:w="90" w:type="dxa"/>
              <w:bottom w:w="80" w:type="dxa"/>
              <w:end w:w="90" w:type="dxa"/>
            </w:tcMar>
            <w:vAlign w:val="center"/>
          </w:tcPr>
          <w:p>
            <w:pPr>
              <w:spacing w:before="40" w:after="40"/>
            </w:pPr>
            <w:r>
              <w:t>Autoscaling and config</w:t>
            </w:r>
          </w:p>
        </w:tc>
        <w:tc>
          <w:tcPr>
            <w:tcW w:type="dxa" w:w="4873"/>
            <w:tcMar>
              <w:top w:w="80" w:type="dxa"/>
              <w:start w:w="90" w:type="dxa"/>
              <w:bottom w:w="80" w:type="dxa"/>
              <w:end w:w="90" w:type="dxa"/>
            </w:tcMar>
            <w:vAlign w:val="center"/>
          </w:tcPr>
          <w:p>
            <w:pPr>
              <w:spacing w:before="40" w:after="40"/>
            </w:pPr>
            <w:r>
              <w:t>HPA on CPU/custom metrics; environment config via ConfigMaps and Secrets</w:t>
            </w:r>
          </w:p>
        </w:tc>
      </w:tr>
    </w:tbl>
    <w:p>
      <w:pPr>
        <w:pStyle w:val="Heading2"/>
      </w:pPr>
      <w:r>
        <w:t>Ingress and gateway concerns</w:t>
      </w:r>
    </w:p>
    <w:p>
      <w:pPr/>
      <w:r>
        <w:t>Ingress or a dedicated API gateway handles TLS termination, rate limiting, authentication policy, and edge-level controls. The application remains stateless so that pod scaling is straightforward and session affinity is unnecessary.</w:t>
      </w:r>
    </w:p>
    <w:p>
      <w:pPr>
        <w:pStyle w:val="Heading1"/>
      </w:pPr>
      <w:r>
        <w:t>16. Project Structure</w:t>
      </w:r>
    </w:p>
    <w:p>
      <w:pPr>
        <w:pStyle w:val="Heading2"/>
      </w:pPr>
      <w:r>
        <w:t>Maven and package layout</w:t>
      </w:r>
    </w:p>
    <w:tbl>
      <w:tblPr>
        <w:tblW w:type="auto" w:w="0"/>
        <w:tblLook w:firstColumn="1" w:firstRow="1" w:lastColumn="0" w:lastRow="0" w:noHBand="0" w:noVBand="1" w:val="04A0"/>
      </w:tblPr>
      <w:tblGrid>
        <w:gridCol w:w="9746"/>
      </w:tblGrid>
      <w:tr>
        <w:tc>
          <w:tcPr>
            <w:tcW w:type="dxa" w:w="9746"/>
            <w:shd w:fill="F8FAFC"/>
            <w:tcMar>
              <w:top w:w="110" w:type="dxa"/>
              <w:start w:w="120" w:type="dxa"/>
              <w:bottom w:w="110" w:type="dxa"/>
              <w:end w:w="120" w:type="dxa"/>
            </w:tcMar>
          </w:tcPr>
          <w:p>
            <w:r>
              <w:rPr>
                <w:rFonts w:ascii="Consolas" w:hAnsi="Consolas"/>
                <w:sz w:val="17"/>
              </w:rPr>
              <w:t>finflow-transaction-platform/</w:t>
              <w:br/>
            </w:r>
            <w:r>
              <w:rPr>
                <w:rFonts w:ascii="Consolas" w:hAnsi="Consolas"/>
                <w:sz w:val="17"/>
              </w:rPr>
              <w:t xml:space="preserve">  pom.xml</w:t>
              <w:br/>
            </w:r>
            <w:r>
              <w:rPr>
                <w:rFonts w:ascii="Consolas" w:hAnsi="Consolas"/>
                <w:sz w:val="17"/>
              </w:rPr>
              <w:t xml:space="preserve">  src/main/java/com/finflow/txp/</w:t>
              <w:br/>
            </w:r>
            <w:r>
              <w:rPr>
                <w:rFonts w:ascii="Consolas" w:hAnsi="Consolas"/>
                <w:sz w:val="17"/>
              </w:rPr>
              <w:t xml:space="preserve">    common/</w:t>
              <w:br/>
            </w:r>
            <w:r>
              <w:rPr>
                <w:rFonts w:ascii="Consolas" w:hAnsi="Consolas"/>
                <w:sz w:val="17"/>
              </w:rPr>
              <w:t xml:space="preserve">    config/</w:t>
              <w:br/>
            </w:r>
            <w:r>
              <w:rPr>
                <w:rFonts w:ascii="Consolas" w:hAnsi="Consolas"/>
                <w:sz w:val="17"/>
              </w:rPr>
              <w:t xml:space="preserve">    security/</w:t>
              <w:br/>
            </w:r>
            <w:r>
              <w:rPr>
                <w:rFonts w:ascii="Consolas" w:hAnsi="Consolas"/>
                <w:sz w:val="17"/>
              </w:rPr>
              <w:t xml:space="preserve">    transfer/</w:t>
              <w:br/>
            </w:r>
            <w:r>
              <w:rPr>
                <w:rFonts w:ascii="Consolas" w:hAnsi="Consolas"/>
                <w:sz w:val="17"/>
              </w:rPr>
              <w:t xml:space="preserve">      api/</w:t>
              <w:br/>
            </w:r>
            <w:r>
              <w:rPr>
                <w:rFonts w:ascii="Consolas" w:hAnsi="Consolas"/>
                <w:sz w:val="17"/>
              </w:rPr>
              <w:t xml:space="preserve">      application/</w:t>
              <w:br/>
            </w:r>
            <w:r>
              <w:rPr>
                <w:rFonts w:ascii="Consolas" w:hAnsi="Consolas"/>
                <w:sz w:val="17"/>
              </w:rPr>
              <w:t xml:space="preserve">      domain/</w:t>
              <w:br/>
            </w:r>
            <w:r>
              <w:rPr>
                <w:rFonts w:ascii="Consolas" w:hAnsi="Consolas"/>
                <w:sz w:val="17"/>
              </w:rPr>
              <w:t xml:space="preserve">      infrastructure/</w:t>
              <w:br/>
            </w:r>
            <w:r>
              <w:rPr>
                <w:rFonts w:ascii="Consolas" w:hAnsi="Consolas"/>
                <w:sz w:val="17"/>
              </w:rPr>
              <w:t xml:space="preserve">    outbox/</w:t>
              <w:br/>
            </w:r>
            <w:r>
              <w:rPr>
                <w:rFonts w:ascii="Consolas" w:hAnsi="Consolas"/>
                <w:sz w:val="17"/>
              </w:rPr>
              <w:t xml:space="preserve">      application/</w:t>
              <w:br/>
            </w:r>
            <w:r>
              <w:rPr>
                <w:rFonts w:ascii="Consolas" w:hAnsi="Consolas"/>
                <w:sz w:val="17"/>
              </w:rPr>
              <w:t xml:space="preserve">      domain/</w:t>
              <w:br/>
            </w:r>
            <w:r>
              <w:rPr>
                <w:rFonts w:ascii="Consolas" w:hAnsi="Consolas"/>
                <w:sz w:val="17"/>
              </w:rPr>
              <w:t xml:space="preserve">      infrastructure/</w:t>
              <w:br/>
            </w:r>
            <w:r>
              <w:rPr>
                <w:rFonts w:ascii="Consolas" w:hAnsi="Consolas"/>
                <w:sz w:val="17"/>
              </w:rPr>
              <w:t xml:space="preserve">  src/main/resources/</w:t>
              <w:br/>
            </w:r>
            <w:r>
              <w:rPr>
                <w:rFonts w:ascii="Consolas" w:hAnsi="Consolas"/>
                <w:sz w:val="17"/>
              </w:rPr>
              <w:t xml:space="preserve">    application.yml</w:t>
              <w:br/>
            </w:r>
            <w:r>
              <w:rPr>
                <w:rFonts w:ascii="Consolas" w:hAnsi="Consolas"/>
                <w:sz w:val="17"/>
              </w:rPr>
              <w:t xml:space="preserve">    db/migration/</w:t>
              <w:br/>
            </w:r>
            <w:r>
              <w:rPr>
                <w:rFonts w:ascii="Consolas" w:hAnsi="Consolas"/>
                <w:sz w:val="17"/>
              </w:rPr>
              <w:t xml:space="preserve">  src/test/java/...</w:t>
              <w:br/>
            </w:r>
            <w:r>
              <w:rPr>
                <w:rFonts w:ascii="Consolas" w:hAnsi="Consolas"/>
                <w:sz w:val="17"/>
              </w:rPr>
              <w:t xml:space="preserve">  docs/</w:t>
              <w:br/>
            </w:r>
            <w:r>
              <w:rPr>
                <w:rFonts w:ascii="Consolas" w:hAnsi="Consolas"/>
                <w:sz w:val="17"/>
              </w:rPr>
              <w:t xml:space="preserve">  deploy/k8s/</w:t>
              <w:br/>
            </w:r>
            <w:r>
              <w:rPr>
                <w:rFonts w:ascii="Consolas" w:hAnsi="Consolas"/>
                <w:sz w:val="17"/>
              </w:rPr>
              <w:t xml:space="preserve">  .github/workflows/</w:t>
            </w:r>
          </w:p>
        </w:tc>
      </w:tr>
    </w:tbl>
    <w:p/>
    <w:p>
      <w:pPr>
        <w:pStyle w:val="Heading2"/>
      </w:pPr>
      <w:r>
        <w:t>Structure rules</w:t>
      </w:r>
    </w:p>
    <w:p>
      <w:pPr>
        <w:pStyle w:val="ListBullet"/>
      </w:pPr>
      <w:r>
        <w:t>Package by module, not by global layer.</w:t>
      </w:r>
    </w:p>
    <w:p>
      <w:pPr>
        <w:pStyle w:val="ListBullet"/>
      </w:pPr>
      <w:r>
        <w:t>Keep cross-module shared code minimal; avoid a giant common dumping ground.</w:t>
      </w:r>
    </w:p>
    <w:p>
      <w:pPr>
        <w:pStyle w:val="ListBullet"/>
      </w:pPr>
      <w:r>
        <w:t>Separate API DTOs from domain entities.</w:t>
      </w:r>
    </w:p>
    <w:p>
      <w:pPr>
        <w:pStyle w:val="ListBullet"/>
      </w:pPr>
      <w:r>
        <w:t>Infrastructure adapters stay behind application/domain boundaries.</w:t>
      </w:r>
    </w:p>
    <w:p>
      <w:pPr>
        <w:pStyle w:val="Heading1"/>
      </w:pPr>
      <w:r>
        <w:t>17. Example Code Skeletons</w:t>
      </w:r>
    </w:p>
    <w:p>
      <w:pPr>
        <w:pStyle w:val="Heading2"/>
      </w:pPr>
      <w:r>
        <w:t>Representative controller</w:t>
      </w:r>
    </w:p>
    <w:tbl>
      <w:tblPr>
        <w:tblW w:type="auto" w:w="0"/>
        <w:tblLook w:firstColumn="1" w:firstRow="1" w:lastColumn="0" w:lastRow="0" w:noHBand="0" w:noVBand="1" w:val="04A0"/>
      </w:tblPr>
      <w:tblGrid>
        <w:gridCol w:w="9746"/>
      </w:tblGrid>
      <w:tr>
        <w:tc>
          <w:tcPr>
            <w:tcW w:type="dxa" w:w="9746"/>
            <w:shd w:fill="F8FAFC"/>
            <w:tcMar>
              <w:top w:w="110" w:type="dxa"/>
              <w:start w:w="120" w:type="dxa"/>
              <w:bottom w:w="110" w:type="dxa"/>
              <w:end w:w="120" w:type="dxa"/>
            </w:tcMar>
          </w:tcPr>
          <w:p>
            <w:r>
              <w:rPr>
                <w:rFonts w:ascii="Consolas" w:hAnsi="Consolas"/>
                <w:sz w:val="17"/>
              </w:rPr>
              <w:t>@RestController</w:t>
              <w:br/>
            </w:r>
            <w:r>
              <w:rPr>
                <w:rFonts w:ascii="Consolas" w:hAnsi="Consolas"/>
                <w:sz w:val="17"/>
              </w:rPr>
              <w:t>@RequestMapping("/api/v1/transfers")</w:t>
              <w:br/>
            </w:r>
            <w:r>
              <w:rPr>
                <w:rFonts w:ascii="Consolas" w:hAnsi="Consolas"/>
                <w:sz w:val="17"/>
              </w:rPr>
              <w:t>@RequiredArgsConstructor</w:t>
              <w:br/>
            </w:r>
            <w:r>
              <w:rPr>
                <w:rFonts w:ascii="Consolas" w:hAnsi="Consolas"/>
                <w:sz w:val="17"/>
              </w:rPr>
              <w:t>class TransferController {</w:t>
              <w:br/>
            </w:r>
            <w:r>
              <w:rPr>
                <w:rFonts w:ascii="Consolas" w:hAnsi="Consolas"/>
                <w:sz w:val="17"/>
              </w:rPr>
              <w:br/>
            </w:r>
            <w:r>
              <w:rPr>
                <w:rFonts w:ascii="Consolas" w:hAnsi="Consolas"/>
                <w:sz w:val="17"/>
              </w:rPr>
              <w:t xml:space="preserve">    private final TransferService transferService;</w:t>
              <w:br/>
            </w:r>
            <w:r>
              <w:rPr>
                <w:rFonts w:ascii="Consolas" w:hAnsi="Consolas"/>
                <w:sz w:val="17"/>
              </w:rPr>
              <w:br/>
            </w:r>
            <w:r>
              <w:rPr>
                <w:rFonts w:ascii="Consolas" w:hAnsi="Consolas"/>
                <w:sz w:val="17"/>
              </w:rPr>
              <w:t xml:space="preserve">    @PostMapping</w:t>
              <w:br/>
            </w:r>
            <w:r>
              <w:rPr>
                <w:rFonts w:ascii="Consolas" w:hAnsi="Consolas"/>
                <w:sz w:val="17"/>
              </w:rPr>
              <w:t xml:space="preserve">    @PreAuthorize("hasAuthority('SCOPE_transfers.write')")</w:t>
              <w:br/>
            </w:r>
            <w:r>
              <w:rPr>
                <w:rFonts w:ascii="Consolas" w:hAnsi="Consolas"/>
                <w:sz w:val="17"/>
              </w:rPr>
              <w:t xml:space="preserve">    ResponseEntity&lt;TransferResponse&gt; create(</w:t>
              <w:br/>
            </w:r>
            <w:r>
              <w:rPr>
                <w:rFonts w:ascii="Consolas" w:hAnsi="Consolas"/>
                <w:sz w:val="17"/>
              </w:rPr>
              <w:t xml:space="preserve">            @RequestHeader("Idempotency-Key") String idempotencyKey,</w:t>
              <w:br/>
            </w:r>
            <w:r>
              <w:rPr>
                <w:rFonts w:ascii="Consolas" w:hAnsi="Consolas"/>
                <w:sz w:val="17"/>
              </w:rPr>
              <w:t xml:space="preserve">            @Valid @RequestBody CreateTransferRequest request) {</w:t>
              <w:br/>
            </w:r>
            <w:r>
              <w:rPr>
                <w:rFonts w:ascii="Consolas" w:hAnsi="Consolas"/>
                <w:sz w:val="17"/>
              </w:rPr>
              <w:t xml:space="preserve">        var response = transferService.createTransfer(idempotencyKey, request);</w:t>
              <w:br/>
            </w:r>
            <w:r>
              <w:rPr>
                <w:rFonts w:ascii="Consolas" w:hAnsi="Consolas"/>
                <w:sz w:val="17"/>
              </w:rPr>
              <w:t xml:space="preserve">        return ResponseEntity.status(HttpStatus.CREATED).body(response);</w:t>
              <w:br/>
            </w:r>
            <w:r>
              <w:rPr>
                <w:rFonts w:ascii="Consolas" w:hAnsi="Consolas"/>
                <w:sz w:val="17"/>
              </w:rPr>
              <w:t xml:space="preserve">    }</w:t>
              <w:br/>
            </w:r>
            <w:r>
              <w:rPr>
                <w:rFonts w:ascii="Consolas" w:hAnsi="Consolas"/>
                <w:sz w:val="17"/>
              </w:rPr>
              <w:t>}</w:t>
            </w:r>
          </w:p>
        </w:tc>
      </w:tr>
    </w:tbl>
    <w:p/>
    <w:p>
      <w:pPr>
        <w:pStyle w:val="Heading2"/>
      </w:pPr>
      <w:r>
        <w:t>Representative service and outbox write</w:t>
      </w:r>
    </w:p>
    <w:tbl>
      <w:tblPr>
        <w:tblW w:type="auto" w:w="0"/>
        <w:tblLook w:firstColumn="1" w:firstRow="1" w:lastColumn="0" w:lastRow="0" w:noHBand="0" w:noVBand="1" w:val="04A0"/>
      </w:tblPr>
      <w:tblGrid>
        <w:gridCol w:w="9746"/>
      </w:tblGrid>
      <w:tr>
        <w:tc>
          <w:tcPr>
            <w:tcW w:type="dxa" w:w="9746"/>
            <w:shd w:fill="F8FAFC"/>
            <w:tcMar>
              <w:top w:w="110" w:type="dxa"/>
              <w:start w:w="120" w:type="dxa"/>
              <w:bottom w:w="110" w:type="dxa"/>
              <w:end w:w="120" w:type="dxa"/>
            </w:tcMar>
          </w:tcPr>
          <w:p>
            <w:r>
              <w:rPr>
                <w:rFonts w:ascii="Consolas" w:hAnsi="Consolas"/>
                <w:sz w:val="17"/>
              </w:rPr>
              <w:t>@Service</w:t>
              <w:br/>
            </w:r>
            <w:r>
              <w:rPr>
                <w:rFonts w:ascii="Consolas" w:hAnsi="Consolas"/>
                <w:sz w:val="17"/>
              </w:rPr>
              <w:t>@RequiredArgsConstructor</w:t>
              <w:br/>
            </w:r>
            <w:r>
              <w:rPr>
                <w:rFonts w:ascii="Consolas" w:hAnsi="Consolas"/>
                <w:sz w:val="17"/>
              </w:rPr>
              <w:t>class TransferService {</w:t>
              <w:br/>
            </w:r>
            <w:r>
              <w:rPr>
                <w:rFonts w:ascii="Consolas" w:hAnsi="Consolas"/>
                <w:sz w:val="17"/>
              </w:rPr>
              <w:br/>
            </w:r>
            <w:r>
              <w:rPr>
                <w:rFonts w:ascii="Consolas" w:hAnsi="Consolas"/>
                <w:sz w:val="17"/>
              </w:rPr>
              <w:t xml:space="preserve">    private final TransferRepository transferRepository;</w:t>
              <w:br/>
            </w:r>
            <w:r>
              <w:rPr>
                <w:rFonts w:ascii="Consolas" w:hAnsi="Consolas"/>
                <w:sz w:val="17"/>
              </w:rPr>
              <w:t xml:space="preserve">    private final PreCheckOrchestrator preCheckOrchestrator;</w:t>
              <w:br/>
            </w:r>
            <w:r>
              <w:rPr>
                <w:rFonts w:ascii="Consolas" w:hAnsi="Consolas"/>
                <w:sz w:val="17"/>
              </w:rPr>
              <w:t xml:space="preserve">    private final OutboxService outboxService;</w:t>
              <w:br/>
            </w:r>
            <w:r>
              <w:rPr>
                <w:rFonts w:ascii="Consolas" w:hAnsi="Consolas"/>
                <w:sz w:val="17"/>
              </w:rPr>
              <w:br/>
            </w:r>
            <w:r>
              <w:rPr>
                <w:rFonts w:ascii="Consolas" w:hAnsi="Consolas"/>
                <w:sz w:val="17"/>
              </w:rPr>
              <w:t xml:space="preserve">    @Transactional</w:t>
              <w:br/>
            </w:r>
            <w:r>
              <w:rPr>
                <w:rFonts w:ascii="Consolas" w:hAnsi="Consolas"/>
                <w:sz w:val="17"/>
              </w:rPr>
              <w:t xml:space="preserve">    public TransferResponse createTransfer(String idempotencyKey, CreateTransferRequest request) {</w:t>
              <w:br/>
            </w:r>
            <w:r>
              <w:rPr>
                <w:rFonts w:ascii="Consolas" w:hAnsi="Consolas"/>
                <w:sz w:val="17"/>
              </w:rPr>
              <w:t xml:space="preserve">        var existing = transferRepository.findByTenantIdAndIdempotencyKey(currentTenant(), idempotencyKey);</w:t>
              <w:br/>
            </w:r>
            <w:r>
              <w:rPr>
                <w:rFonts w:ascii="Consolas" w:hAnsi="Consolas"/>
                <w:sz w:val="17"/>
              </w:rPr>
              <w:t xml:space="preserve">        if (existing.isPresent()) {</w:t>
              <w:br/>
            </w:r>
            <w:r>
              <w:rPr>
                <w:rFonts w:ascii="Consolas" w:hAnsi="Consolas"/>
                <w:sz w:val="17"/>
              </w:rPr>
              <w:t xml:space="preserve">            return TransferMapper.toResponse(existing.get());</w:t>
              <w:br/>
            </w:r>
            <w:r>
              <w:rPr>
                <w:rFonts w:ascii="Consolas" w:hAnsi="Consolas"/>
                <w:sz w:val="17"/>
              </w:rPr>
              <w:t xml:space="preserve">        }</w:t>
              <w:br/>
            </w:r>
            <w:r>
              <w:rPr>
                <w:rFonts w:ascii="Consolas" w:hAnsi="Consolas"/>
                <w:sz w:val="17"/>
              </w:rPr>
              <w:br/>
            </w:r>
            <w:r>
              <w:rPr>
                <w:rFonts w:ascii="Consolas" w:hAnsi="Consolas"/>
                <w:sz w:val="17"/>
              </w:rPr>
              <w:t xml:space="preserve">        var preCheck = preCheckOrchestrator.run(request);</w:t>
              <w:br/>
            </w:r>
            <w:r>
              <w:rPr>
                <w:rFonts w:ascii="Consolas" w:hAnsi="Consolas"/>
                <w:sz w:val="17"/>
              </w:rPr>
              <w:t xml:space="preserve">        var entity = TransferEntity.create(currentTenant(), idempotencyKey, request, preCheck);</w:t>
              <w:br/>
            </w:r>
            <w:r>
              <w:rPr>
                <w:rFonts w:ascii="Consolas" w:hAnsi="Consolas"/>
                <w:sz w:val="17"/>
              </w:rPr>
              <w:t xml:space="preserve">        transferRepository.save(entity);</w:t>
              <w:br/>
            </w:r>
            <w:r>
              <w:rPr>
                <w:rFonts w:ascii="Consolas" w:hAnsi="Consolas"/>
                <w:sz w:val="17"/>
              </w:rPr>
              <w:br/>
            </w:r>
            <w:r>
              <w:rPr>
                <w:rFonts w:ascii="Consolas" w:hAnsi="Consolas"/>
                <w:sz w:val="17"/>
              </w:rPr>
              <w:t xml:space="preserve">        outboxService.enqueueTransferCreated(entity);</w:t>
              <w:br/>
            </w:r>
            <w:r>
              <w:rPr>
                <w:rFonts w:ascii="Consolas" w:hAnsi="Consolas"/>
                <w:sz w:val="17"/>
              </w:rPr>
              <w:t xml:space="preserve">        return TransferMapper.toResponse(entity);</w:t>
              <w:br/>
            </w:r>
            <w:r>
              <w:rPr>
                <w:rFonts w:ascii="Consolas" w:hAnsi="Consolas"/>
                <w:sz w:val="17"/>
              </w:rPr>
              <w:t xml:space="preserve">    }</w:t>
              <w:br/>
            </w:r>
            <w:r>
              <w:rPr>
                <w:rFonts w:ascii="Consolas" w:hAnsi="Consolas"/>
                <w:sz w:val="17"/>
              </w:rPr>
              <w:t>}</w:t>
            </w:r>
          </w:p>
        </w:tc>
      </w:tr>
    </w:tbl>
    <w:p/>
    <w:p>
      <w:pPr>
        <w:pStyle w:val="Heading2"/>
      </w:pPr>
      <w:r>
        <w:t>Representative security configuration</w:t>
      </w:r>
    </w:p>
    <w:tbl>
      <w:tblPr>
        <w:tblW w:type="auto" w:w="0"/>
        <w:tblLook w:firstColumn="1" w:firstRow="1" w:lastColumn="0" w:lastRow="0" w:noHBand="0" w:noVBand="1" w:val="04A0"/>
      </w:tblPr>
      <w:tblGrid>
        <w:gridCol w:w="9746"/>
      </w:tblGrid>
      <w:tr>
        <w:tc>
          <w:tcPr>
            <w:tcW w:type="dxa" w:w="9746"/>
            <w:shd w:fill="F8FAFC"/>
            <w:tcMar>
              <w:top w:w="110" w:type="dxa"/>
              <w:start w:w="120" w:type="dxa"/>
              <w:bottom w:w="110" w:type="dxa"/>
              <w:end w:w="120" w:type="dxa"/>
            </w:tcMar>
          </w:tcPr>
          <w:p>
            <w:r>
              <w:rPr>
                <w:rFonts w:ascii="Consolas" w:hAnsi="Consolas"/>
                <w:sz w:val="17"/>
              </w:rPr>
              <w:t>@Configuration</w:t>
              <w:br/>
            </w:r>
            <w:r>
              <w:rPr>
                <w:rFonts w:ascii="Consolas" w:hAnsi="Consolas"/>
                <w:sz w:val="17"/>
              </w:rPr>
              <w:t>@EnableMethodSecurity</w:t>
              <w:br/>
            </w:r>
            <w:r>
              <w:rPr>
                <w:rFonts w:ascii="Consolas" w:hAnsi="Consolas"/>
                <w:sz w:val="17"/>
              </w:rPr>
              <w:t>class SecurityConfig {</w:t>
              <w:br/>
            </w:r>
            <w:r>
              <w:rPr>
                <w:rFonts w:ascii="Consolas" w:hAnsi="Consolas"/>
                <w:sz w:val="17"/>
              </w:rPr>
              <w:br/>
            </w:r>
            <w:r>
              <w:rPr>
                <w:rFonts w:ascii="Consolas" w:hAnsi="Consolas"/>
                <w:sz w:val="17"/>
              </w:rPr>
              <w:t xml:space="preserve">    @Bean</w:t>
              <w:br/>
            </w:r>
            <w:r>
              <w:rPr>
                <w:rFonts w:ascii="Consolas" w:hAnsi="Consolas"/>
                <w:sz w:val="17"/>
              </w:rPr>
              <w:t xml:space="preserve">    SecurityFilterChain api(HttpSecurity http) throws Exception {</w:t>
              <w:br/>
            </w:r>
            <w:r>
              <w:rPr>
                <w:rFonts w:ascii="Consolas" w:hAnsi="Consolas"/>
                <w:sz w:val="17"/>
              </w:rPr>
              <w:t xml:space="preserve">        return http</w:t>
              <w:br/>
            </w:r>
            <w:r>
              <w:rPr>
                <w:rFonts w:ascii="Consolas" w:hAnsi="Consolas"/>
                <w:sz w:val="17"/>
              </w:rPr>
              <w:t xml:space="preserve">            .csrf(csrf -&gt; csrf.disable())</w:t>
              <w:br/>
            </w:r>
            <w:r>
              <w:rPr>
                <w:rFonts w:ascii="Consolas" w:hAnsi="Consolas"/>
                <w:sz w:val="17"/>
              </w:rPr>
              <w:t xml:space="preserve">            .authorizeHttpRequests(auth -&gt; auth</w:t>
              <w:br/>
            </w:r>
            <w:r>
              <w:rPr>
                <w:rFonts w:ascii="Consolas" w:hAnsi="Consolas"/>
                <w:sz w:val="17"/>
              </w:rPr>
              <w:t xml:space="preserve">                .requestMatchers("/actuator/health/**", "/swagger-ui/**", "/v3/api-docs/**").permitAll()</w:t>
              <w:br/>
            </w:r>
            <w:r>
              <w:rPr>
                <w:rFonts w:ascii="Consolas" w:hAnsi="Consolas"/>
                <w:sz w:val="17"/>
              </w:rPr>
              <w:t xml:space="preserve">                .anyRequest().authenticated())</w:t>
              <w:br/>
            </w:r>
            <w:r>
              <w:rPr>
                <w:rFonts w:ascii="Consolas" w:hAnsi="Consolas"/>
                <w:sz w:val="17"/>
              </w:rPr>
              <w:t xml:space="preserve">            .oauth2ResourceServer(oauth -&gt; oauth.jwt(Customizer.withDefaults()))</w:t>
              <w:br/>
            </w:r>
            <w:r>
              <w:rPr>
                <w:rFonts w:ascii="Consolas" w:hAnsi="Consolas"/>
                <w:sz w:val="17"/>
              </w:rPr>
              <w:t xml:space="preserve">            .build();</w:t>
              <w:br/>
            </w:r>
            <w:r>
              <w:rPr>
                <w:rFonts w:ascii="Consolas" w:hAnsi="Consolas"/>
                <w:sz w:val="17"/>
              </w:rPr>
              <w:t xml:space="preserve">    }</w:t>
              <w:br/>
            </w:r>
            <w:r>
              <w:rPr>
                <w:rFonts w:ascii="Consolas" w:hAnsi="Consolas"/>
                <w:sz w:val="17"/>
              </w:rPr>
              <w:t>}</w:t>
            </w:r>
          </w:p>
        </w:tc>
      </w:tr>
    </w:tbl>
    <w:p/>
    <w:p>
      <w:pPr>
        <w:pStyle w:val="Heading2"/>
      </w:pPr>
      <w:r>
        <w:t>Representative exception handler</w:t>
      </w:r>
    </w:p>
    <w:tbl>
      <w:tblPr>
        <w:tblW w:type="auto" w:w="0"/>
        <w:tblLook w:firstColumn="1" w:firstRow="1" w:lastColumn="0" w:lastRow="0" w:noHBand="0" w:noVBand="1" w:val="04A0"/>
      </w:tblPr>
      <w:tblGrid>
        <w:gridCol w:w="9746"/>
      </w:tblGrid>
      <w:tr>
        <w:tc>
          <w:tcPr>
            <w:tcW w:type="dxa" w:w="9746"/>
            <w:shd w:fill="F8FAFC"/>
            <w:tcMar>
              <w:top w:w="110" w:type="dxa"/>
              <w:start w:w="120" w:type="dxa"/>
              <w:bottom w:w="110" w:type="dxa"/>
              <w:end w:w="120" w:type="dxa"/>
            </w:tcMar>
          </w:tcPr>
          <w:p>
            <w:r>
              <w:rPr>
                <w:rFonts w:ascii="Consolas" w:hAnsi="Consolas"/>
                <w:sz w:val="17"/>
              </w:rPr>
              <w:t>@RestControllerAdvice</w:t>
              <w:br/>
            </w:r>
            <w:r>
              <w:rPr>
                <w:rFonts w:ascii="Consolas" w:hAnsi="Consolas"/>
                <w:sz w:val="17"/>
              </w:rPr>
              <w:t>class RestExceptionHandler {</w:t>
              <w:br/>
            </w:r>
            <w:r>
              <w:rPr>
                <w:rFonts w:ascii="Consolas" w:hAnsi="Consolas"/>
                <w:sz w:val="17"/>
              </w:rPr>
              <w:br/>
            </w:r>
            <w:r>
              <w:rPr>
                <w:rFonts w:ascii="Consolas" w:hAnsi="Consolas"/>
                <w:sz w:val="17"/>
              </w:rPr>
              <w:t xml:space="preserve">    @ExceptionHandler(MethodArgumentNotValidException.class)</w:t>
              <w:br/>
            </w:r>
            <w:r>
              <w:rPr>
                <w:rFonts w:ascii="Consolas" w:hAnsi="Consolas"/>
                <w:sz w:val="17"/>
              </w:rPr>
              <w:t xml:space="preserve">    ResponseEntity&lt;ApiError&gt; handleValidation(MethodArgumentNotValidException ex) {</w:t>
              <w:br/>
            </w:r>
            <w:r>
              <w:rPr>
                <w:rFonts w:ascii="Consolas" w:hAnsi="Consolas"/>
                <w:sz w:val="17"/>
              </w:rPr>
              <w:t xml:space="preserve">        return ResponseEntity.badRequest().body(ApiError.validation(ex));</w:t>
              <w:br/>
            </w:r>
            <w:r>
              <w:rPr>
                <w:rFonts w:ascii="Consolas" w:hAnsi="Consolas"/>
                <w:sz w:val="17"/>
              </w:rPr>
              <w:t xml:space="preserve">    }</w:t>
              <w:br/>
            </w:r>
            <w:r>
              <w:rPr>
                <w:rFonts w:ascii="Consolas" w:hAnsi="Consolas"/>
                <w:sz w:val="17"/>
              </w:rPr>
              <w:t>}</w:t>
            </w:r>
          </w:p>
        </w:tc>
      </w:tr>
    </w:tbl>
    <w:p/>
    <w:p>
      <w:pPr>
        <w:pStyle w:val="Heading1"/>
      </w:pPr>
      <w:r>
        <w:t>18. README Blueprint</w:t>
      </w:r>
    </w:p>
    <w:p>
      <w:pPr>
        <w:ind w:left="113"/>
      </w:pPr>
      <w:r>
        <w:rPr>
          <w:b/>
        </w:rPr>
        <w:t xml:space="preserve">1. </w:t>
      </w:r>
      <w:r>
        <w:t>Project purpose and business domain</w:t>
      </w:r>
    </w:p>
    <w:p>
      <w:pPr>
        <w:ind w:left="113"/>
      </w:pPr>
      <w:r>
        <w:rPr>
          <w:b/>
        </w:rPr>
        <w:t xml:space="preserve">2. </w:t>
      </w:r>
      <w:r>
        <w:t>Architecture summary with diagram and major design decisions</w:t>
      </w:r>
    </w:p>
    <w:p>
      <w:pPr>
        <w:ind w:left="113"/>
      </w:pPr>
      <w:r>
        <w:rPr>
          <w:b/>
        </w:rPr>
        <w:t xml:space="preserve">3. </w:t>
      </w:r>
      <w:r>
        <w:t>Technology stack and version prerequisites</w:t>
      </w:r>
    </w:p>
    <w:p>
      <w:pPr>
        <w:ind w:left="113"/>
      </w:pPr>
      <w:r>
        <w:rPr>
          <w:b/>
        </w:rPr>
        <w:t xml:space="preserve">4. </w:t>
      </w:r>
      <w:r>
        <w:t>Local development instructions</w:t>
      </w:r>
    </w:p>
    <w:p>
      <w:pPr>
        <w:ind w:left="113"/>
      </w:pPr>
      <w:r>
        <w:rPr>
          <w:b/>
        </w:rPr>
        <w:t xml:space="preserve">5. </w:t>
      </w:r>
      <w:r>
        <w:t>Build, test, and run commands</w:t>
      </w:r>
    </w:p>
    <w:p>
      <w:pPr>
        <w:ind w:left="113"/>
      </w:pPr>
      <w:r>
        <w:rPr>
          <w:b/>
        </w:rPr>
        <w:t xml:space="preserve">6. </w:t>
      </w:r>
      <w:r>
        <w:t>Database migrations and seed data notes</w:t>
      </w:r>
    </w:p>
    <w:p>
      <w:pPr>
        <w:ind w:left="113"/>
      </w:pPr>
      <w:r>
        <w:rPr>
          <w:b/>
        </w:rPr>
        <w:t xml:space="preserve">7. </w:t>
      </w:r>
      <w:r>
        <w:t>API documentation, auth model, and sample requests</w:t>
      </w:r>
    </w:p>
    <w:p>
      <w:pPr>
        <w:ind w:left="113"/>
      </w:pPr>
      <w:r>
        <w:rPr>
          <w:b/>
        </w:rPr>
        <w:t xml:space="preserve">8. </w:t>
      </w:r>
      <w:r>
        <w:t>Reliability model: idempotency, outbox, retries, and failure handling</w:t>
      </w:r>
    </w:p>
    <w:p>
      <w:pPr>
        <w:ind w:left="113"/>
      </w:pPr>
      <w:r>
        <w:rPr>
          <w:b/>
        </w:rPr>
        <w:t xml:space="preserve">9. </w:t>
      </w:r>
      <w:r>
        <w:t>Observability, deployment assets, and CI/CD workflow summary</w:t>
      </w:r>
    </w:p>
    <w:p>
      <w:pPr>
        <w:ind w:left="113"/>
      </w:pPr>
      <w:r>
        <w:rPr>
          <w:b/>
        </w:rPr>
        <w:t xml:space="preserve">10. </w:t>
      </w:r>
      <w:r>
        <w:t>Extension roadmap and known tradeoffs</w:t>
      </w:r>
    </w:p>
    <w:p>
      <w:pPr>
        <w:pStyle w:val="Heading1"/>
      </w:pPr>
      <w:r>
        <w:t>19. Hiring-Market Alignment</w:t>
      </w:r>
    </w:p>
    <w:p>
      <w:pPr>
        <w:pStyle w:val="Heading2"/>
      </w:pPr>
      <w:r>
        <w:t>Skills this project demonstrates</w:t>
      </w:r>
    </w:p>
    <w:p>
      <w:pPr>
        <w:pStyle w:val="ListBullet"/>
      </w:pPr>
      <w:r>
        <w:t>Modern Java 21 language/runtime usage including virtual-thread concurrency</w:t>
      </w:r>
    </w:p>
    <w:p>
      <w:pPr>
        <w:pStyle w:val="ListBullet"/>
      </w:pPr>
      <w:r>
        <w:t>Spring Boot REST API design and Spring Security JWT authorization</w:t>
      </w:r>
    </w:p>
    <w:p>
      <w:pPr>
        <w:pStyle w:val="ListBullet"/>
      </w:pPr>
      <w:r>
        <w:t>PostgreSQL schema design, indexing, and transaction boundaries</w:t>
      </w:r>
    </w:p>
    <w:p>
      <w:pPr>
        <w:pStyle w:val="ListBullet"/>
      </w:pPr>
      <w:r>
        <w:t>Kafka-based asynchronous integration via the outbox pattern</w:t>
      </w:r>
    </w:p>
    <w:p>
      <w:pPr>
        <w:pStyle w:val="ListBullet"/>
      </w:pPr>
      <w:r>
        <w:t>Redis caching and distributed idempotency support</w:t>
      </w:r>
    </w:p>
    <w:p>
      <w:pPr>
        <w:pStyle w:val="ListBullet"/>
      </w:pPr>
      <w:r>
        <w:t>Observability, CI/CD, containerization, and Kubernetes deployment concerns</w:t>
      </w:r>
    </w:p>
    <w:p>
      <w:pPr>
        <w:pStyle w:val="Heading2"/>
      </w:pPr>
      <w:r>
        <w:t>Interview topics this project supports</w:t>
      </w:r>
    </w:p>
    <w:p>
      <w:pPr>
        <w:pStyle w:val="ListBullet"/>
      </w:pPr>
      <w:r>
        <w:t>Why modular monolith over microservices</w:t>
      </w:r>
    </w:p>
    <w:p>
      <w:pPr>
        <w:pStyle w:val="ListBullet"/>
      </w:pPr>
      <w:r>
        <w:t>Idempotency design for payment-like APIs</w:t>
      </w:r>
    </w:p>
    <w:p>
      <w:pPr>
        <w:pStyle w:val="ListBullet"/>
      </w:pPr>
      <w:r>
        <w:t>At-least-once delivery and outbox correctness</w:t>
      </w:r>
    </w:p>
    <w:p>
      <w:pPr>
        <w:pStyle w:val="ListBullet"/>
      </w:pPr>
      <w:r>
        <w:t>Virtual threads versus reactive programming</w:t>
      </w:r>
    </w:p>
    <w:p>
      <w:pPr>
        <w:pStyle w:val="ListBullet"/>
      </w:pPr>
      <w:r>
        <w:t>Optimistic locking, retries, circuit breakers, and backpressure</w:t>
      </w:r>
    </w:p>
    <w:p>
      <w:pPr>
        <w:pStyle w:val="ListBullet"/>
      </w:pPr>
      <w:r>
        <w:t>API versioning, authz, indexing, and operational readiness</w:t>
      </w:r>
    </w:p>
    <w:p>
      <w:pPr>
        <w:pStyle w:val="Heading2"/>
      </w:pPr>
      <w:r>
        <w:t>Resume bullet support</w:t>
      </w:r>
    </w:p>
    <w:p>
      <w:pPr>
        <w:pStyle w:val="ListBullet"/>
      </w:pPr>
      <w:r>
        <w:t>Built a Java 21/Spring Boot transaction processing platform with PostgreSQL, Redis, and Kafka.</w:t>
      </w:r>
    </w:p>
    <w:p>
      <w:pPr>
        <w:pStyle w:val="ListBullet"/>
      </w:pPr>
      <w:r>
        <w:t>Implemented idempotent transfer APIs with transactional outbox event publication.</w:t>
      </w:r>
    </w:p>
    <w:p>
      <w:pPr>
        <w:pStyle w:val="ListBullet"/>
      </w:pPr>
      <w:r>
        <w:t>Added JWT-based security, resilience patterns, observability, and containerized deployment assets.</w:t>
      </w:r>
    </w:p>
    <w:p>
      <w:pPr>
        <w:pStyle w:val="Heading1"/>
      </w:pPr>
      <w:r>
        <w:t>20. Tradeoffs and Alternative Designs</w:t>
      </w:r>
    </w:p>
    <w:tbl>
      <w:tblPr>
        <w:tblStyle w:val="TableGrid"/>
        <w:tblW w:type="auto" w:w="0"/>
        <w:jc w:val="center"/>
        <w:tblLook w:firstColumn="1" w:firstRow="1" w:lastColumn="0" w:lastRow="0" w:noHBand="0" w:noVBand="1" w:val="04A0"/>
      </w:tblPr>
      <w:tblGrid>
        <w:gridCol w:w="3249"/>
        <w:gridCol w:w="3249"/>
        <w:gridCol w:w="3249"/>
      </w:tblGrid>
      <w:tr>
        <w:trPr>
          <w:trHeight w:hRule="atLeast"/>
        </w:trPr>
        <w:tc>
          <w:tcPr>
            <w:tcW w:type="dxa" w:w="3249"/>
            <w:tcMar>
              <w:top w:w="80" w:type="dxa"/>
              <w:start w:w="90" w:type="dxa"/>
              <w:bottom w:w="80" w:type="dxa"/>
              <w:end w:w="90" w:type="dxa"/>
            </w:tcMar>
            <w:vAlign w:val="center"/>
            <w:shd w:fill="E2E8F0"/>
          </w:tcPr>
          <w:p>
            <w:pPr>
              <w:spacing w:before="40" w:after="40"/>
            </w:pPr>
            <w:r>
              <w:rPr>
                <w:b/>
              </w:rPr>
              <w:t>Decision area</w:t>
            </w:r>
          </w:p>
        </w:tc>
        <w:tc>
          <w:tcPr>
            <w:tcW w:type="dxa" w:w="3249"/>
            <w:tcMar>
              <w:top w:w="80" w:type="dxa"/>
              <w:start w:w="90" w:type="dxa"/>
              <w:bottom w:w="80" w:type="dxa"/>
              <w:end w:w="90" w:type="dxa"/>
            </w:tcMar>
            <w:vAlign w:val="center"/>
            <w:shd w:fill="E2E8F0"/>
          </w:tcPr>
          <w:p>
            <w:pPr>
              <w:spacing w:before="40" w:after="40"/>
            </w:pPr>
            <w:r>
              <w:rPr>
                <w:b/>
              </w:rPr>
              <w:t>Chosen option</w:t>
            </w:r>
          </w:p>
        </w:tc>
        <w:tc>
          <w:tcPr>
            <w:tcW w:type="dxa" w:w="3249"/>
            <w:tcMar>
              <w:top w:w="80" w:type="dxa"/>
              <w:start w:w="90" w:type="dxa"/>
              <w:bottom w:w="80" w:type="dxa"/>
              <w:end w:w="90" w:type="dxa"/>
            </w:tcMar>
            <w:vAlign w:val="center"/>
            <w:shd w:fill="E2E8F0"/>
          </w:tcPr>
          <w:p>
            <w:pPr>
              <w:spacing w:before="40" w:after="40"/>
            </w:pPr>
            <w:r>
              <w:rPr>
                <w:b/>
              </w:rPr>
              <w:t>Reason alternatives were rejected</w:t>
            </w:r>
          </w:p>
        </w:tc>
      </w:tr>
      <w:tr>
        <w:trPr>
          <w:trHeight w:hRule="atLeast"/>
        </w:trPr>
        <w:tc>
          <w:tcPr>
            <w:tcW w:type="dxa" w:w="3249"/>
            <w:tcMar>
              <w:top w:w="80" w:type="dxa"/>
              <w:start w:w="90" w:type="dxa"/>
              <w:bottom w:w="80" w:type="dxa"/>
              <w:end w:w="90" w:type="dxa"/>
            </w:tcMar>
            <w:vAlign w:val="center"/>
            <w:shd w:fill="F8FAFC"/>
          </w:tcPr>
          <w:p>
            <w:pPr>
              <w:spacing w:before="40" w:after="40"/>
            </w:pPr>
            <w:r>
              <w:t>Architecture shape</w:t>
            </w:r>
          </w:p>
        </w:tc>
        <w:tc>
          <w:tcPr>
            <w:tcW w:type="dxa" w:w="3249"/>
            <w:tcMar>
              <w:top w:w="80" w:type="dxa"/>
              <w:start w:w="90" w:type="dxa"/>
              <w:bottom w:w="80" w:type="dxa"/>
              <w:end w:w="90" w:type="dxa"/>
            </w:tcMar>
            <w:vAlign w:val="center"/>
            <w:shd w:fill="F8FAFC"/>
          </w:tcPr>
          <w:p>
            <w:pPr>
              <w:spacing w:before="40" w:after="40"/>
            </w:pPr>
            <w:r>
              <w:t>Modular monolith</w:t>
            </w:r>
          </w:p>
        </w:tc>
        <w:tc>
          <w:tcPr>
            <w:tcW w:type="dxa" w:w="3249"/>
            <w:tcMar>
              <w:top w:w="80" w:type="dxa"/>
              <w:start w:w="90" w:type="dxa"/>
              <w:bottom w:w="80" w:type="dxa"/>
              <w:end w:w="90" w:type="dxa"/>
            </w:tcMar>
            <w:vAlign w:val="center"/>
            <w:shd w:fill="F8FAFC"/>
          </w:tcPr>
          <w:p>
            <w:pPr>
              <w:spacing w:before="40" w:after="40"/>
            </w:pPr>
            <w:r>
              <w:t>Microservices would add cost and operational complexity without proportional value at this stage</w:t>
            </w:r>
          </w:p>
        </w:tc>
      </w:tr>
      <w:tr>
        <w:trPr>
          <w:trHeight w:hRule="atLeast"/>
        </w:trPr>
        <w:tc>
          <w:tcPr>
            <w:tcW w:type="dxa" w:w="3249"/>
            <w:tcMar>
              <w:top w:w="80" w:type="dxa"/>
              <w:start w:w="90" w:type="dxa"/>
              <w:bottom w:w="80" w:type="dxa"/>
              <w:end w:w="90" w:type="dxa"/>
            </w:tcMar>
            <w:vAlign w:val="center"/>
          </w:tcPr>
          <w:p>
            <w:pPr>
              <w:spacing w:before="40" w:after="40"/>
            </w:pPr>
            <w:r>
              <w:t>Web stack</w:t>
            </w:r>
          </w:p>
        </w:tc>
        <w:tc>
          <w:tcPr>
            <w:tcW w:type="dxa" w:w="3249"/>
            <w:tcMar>
              <w:top w:w="80" w:type="dxa"/>
              <w:start w:w="90" w:type="dxa"/>
              <w:bottom w:w="80" w:type="dxa"/>
              <w:end w:w="90" w:type="dxa"/>
            </w:tcMar>
            <w:vAlign w:val="center"/>
          </w:tcPr>
          <w:p>
            <w:pPr>
              <w:spacing w:before="40" w:after="40"/>
            </w:pPr>
            <w:r>
              <w:t>Spring MVC + virtual threads</w:t>
            </w:r>
          </w:p>
        </w:tc>
        <w:tc>
          <w:tcPr>
            <w:tcW w:type="dxa" w:w="3249"/>
            <w:tcMar>
              <w:top w:w="80" w:type="dxa"/>
              <w:start w:w="90" w:type="dxa"/>
              <w:bottom w:w="80" w:type="dxa"/>
              <w:end w:w="90" w:type="dxa"/>
            </w:tcMar>
            <w:vAlign w:val="center"/>
          </w:tcPr>
          <w:p>
            <w:pPr>
              <w:spacing w:before="40" w:after="40"/>
            </w:pPr>
            <w:r>
              <w:t>WebFlux adds cognitive load without fully reactive dependencies</w:t>
            </w:r>
          </w:p>
        </w:tc>
      </w:tr>
      <w:tr>
        <w:trPr>
          <w:trHeight w:hRule="atLeast"/>
        </w:trPr>
        <w:tc>
          <w:tcPr>
            <w:tcW w:type="dxa" w:w="3249"/>
            <w:tcMar>
              <w:top w:w="80" w:type="dxa"/>
              <w:start w:w="90" w:type="dxa"/>
              <w:bottom w:w="80" w:type="dxa"/>
              <w:end w:w="90" w:type="dxa"/>
            </w:tcMar>
            <w:vAlign w:val="center"/>
            <w:shd w:fill="F8FAFC"/>
          </w:tcPr>
          <w:p>
            <w:pPr>
              <w:spacing w:before="40" w:after="40"/>
            </w:pPr>
            <w:r>
              <w:t>Messaging</w:t>
            </w:r>
          </w:p>
        </w:tc>
        <w:tc>
          <w:tcPr>
            <w:tcW w:type="dxa" w:w="3249"/>
            <w:tcMar>
              <w:top w:w="80" w:type="dxa"/>
              <w:start w:w="90" w:type="dxa"/>
              <w:bottom w:w="80" w:type="dxa"/>
              <w:end w:w="90" w:type="dxa"/>
            </w:tcMar>
            <w:vAlign w:val="center"/>
            <w:shd w:fill="F8FAFC"/>
          </w:tcPr>
          <w:p>
            <w:pPr>
              <w:spacing w:before="40" w:after="40"/>
            </w:pPr>
            <w:r>
              <w:t>Kafka-compatible broker</w:t>
            </w:r>
          </w:p>
        </w:tc>
        <w:tc>
          <w:tcPr>
            <w:tcW w:type="dxa" w:w="3249"/>
            <w:tcMar>
              <w:top w:w="80" w:type="dxa"/>
              <w:start w:w="90" w:type="dxa"/>
              <w:bottom w:w="80" w:type="dxa"/>
              <w:end w:w="90" w:type="dxa"/>
            </w:tcMar>
            <w:vAlign w:val="center"/>
            <w:shd w:fill="F8FAFC"/>
          </w:tcPr>
          <w:p>
            <w:pPr>
              <w:spacing w:before="40" w:after="40"/>
            </w:pPr>
            <w:r>
              <w:t>RabbitMQ is valid but offers lower signaling value for current enterprise hiring markets</w:t>
            </w:r>
          </w:p>
        </w:tc>
      </w:tr>
      <w:tr>
        <w:trPr>
          <w:trHeight w:hRule="atLeast"/>
        </w:trPr>
        <w:tc>
          <w:tcPr>
            <w:tcW w:type="dxa" w:w="3249"/>
            <w:tcMar>
              <w:top w:w="80" w:type="dxa"/>
              <w:start w:w="90" w:type="dxa"/>
              <w:bottom w:w="80" w:type="dxa"/>
              <w:end w:w="90" w:type="dxa"/>
            </w:tcMar>
            <w:vAlign w:val="center"/>
          </w:tcPr>
          <w:p>
            <w:pPr>
              <w:spacing w:before="40" w:after="40"/>
            </w:pPr>
            <w:r>
              <w:t>Persistence model</w:t>
            </w:r>
          </w:p>
        </w:tc>
        <w:tc>
          <w:tcPr>
            <w:tcW w:type="dxa" w:w="3249"/>
            <w:tcMar>
              <w:top w:w="80" w:type="dxa"/>
              <w:start w:w="90" w:type="dxa"/>
              <w:bottom w:w="80" w:type="dxa"/>
              <w:end w:w="90" w:type="dxa"/>
            </w:tcMar>
            <w:vAlign w:val="center"/>
          </w:tcPr>
          <w:p>
            <w:pPr>
              <w:spacing w:before="40" w:after="40"/>
            </w:pPr>
            <w:r>
              <w:t>JPA/Hibernate</w:t>
            </w:r>
          </w:p>
        </w:tc>
        <w:tc>
          <w:tcPr>
            <w:tcW w:type="dxa" w:w="3249"/>
            <w:tcMar>
              <w:top w:w="80" w:type="dxa"/>
              <w:start w:w="90" w:type="dxa"/>
              <w:bottom w:w="80" w:type="dxa"/>
              <w:end w:w="90" w:type="dxa"/>
            </w:tcMar>
            <w:vAlign w:val="center"/>
          </w:tcPr>
          <w:p>
            <w:pPr>
              <w:spacing w:before="40" w:after="40"/>
            </w:pPr>
            <w:r>
              <w:t>jOOQ is strong, but JPA remains more commonly expected in interviews and enterprise teams</w:t>
            </w:r>
          </w:p>
        </w:tc>
      </w:tr>
      <w:tr>
        <w:trPr>
          <w:trHeight w:hRule="atLeast"/>
        </w:trPr>
        <w:tc>
          <w:tcPr>
            <w:tcW w:type="dxa" w:w="3249"/>
            <w:tcMar>
              <w:top w:w="80" w:type="dxa"/>
              <w:start w:w="90" w:type="dxa"/>
              <w:bottom w:w="80" w:type="dxa"/>
              <w:end w:w="90" w:type="dxa"/>
            </w:tcMar>
            <w:vAlign w:val="center"/>
            <w:shd w:fill="F8FAFC"/>
          </w:tcPr>
          <w:p>
            <w:pPr>
              <w:spacing w:before="40" w:after="40"/>
            </w:pPr>
            <w:r>
              <w:t>Consistency model</w:t>
            </w:r>
          </w:p>
        </w:tc>
        <w:tc>
          <w:tcPr>
            <w:tcW w:type="dxa" w:w="3249"/>
            <w:tcMar>
              <w:top w:w="80" w:type="dxa"/>
              <w:start w:w="90" w:type="dxa"/>
              <w:bottom w:w="80" w:type="dxa"/>
              <w:end w:w="90" w:type="dxa"/>
            </w:tcMar>
            <w:vAlign w:val="center"/>
            <w:shd w:fill="F8FAFC"/>
          </w:tcPr>
          <w:p>
            <w:pPr>
              <w:spacing w:before="40" w:after="40"/>
            </w:pPr>
            <w:r>
              <w:t>At-least-once async publication</w:t>
            </w:r>
          </w:p>
        </w:tc>
        <w:tc>
          <w:tcPr>
            <w:tcW w:type="dxa" w:w="3249"/>
            <w:tcMar>
              <w:top w:w="80" w:type="dxa"/>
              <w:start w:w="90" w:type="dxa"/>
              <w:bottom w:w="80" w:type="dxa"/>
              <w:end w:w="90" w:type="dxa"/>
            </w:tcMar>
            <w:vAlign w:val="center"/>
            <w:shd w:fill="F8FAFC"/>
          </w:tcPr>
          <w:p>
            <w:pPr>
              <w:spacing w:before="40" w:after="40"/>
            </w:pPr>
            <w:r>
              <w:t>Exactly-once is too often overstated and harder to reason about end to end</w:t>
            </w:r>
          </w:p>
        </w:tc>
      </w:tr>
      <w:tr>
        <w:trPr>
          <w:trHeight w:hRule="atLeast"/>
        </w:trPr>
        <w:tc>
          <w:tcPr>
            <w:tcW w:type="dxa" w:w="3249"/>
            <w:tcMar>
              <w:top w:w="80" w:type="dxa"/>
              <w:start w:w="90" w:type="dxa"/>
              <w:bottom w:w="80" w:type="dxa"/>
              <w:end w:w="90" w:type="dxa"/>
            </w:tcMar>
            <w:vAlign w:val="center"/>
          </w:tcPr>
          <w:p>
            <w:pPr>
              <w:spacing w:before="40" w:after="40"/>
            </w:pPr>
            <w:r>
              <w:t>Workflow orchestration</w:t>
            </w:r>
          </w:p>
        </w:tc>
        <w:tc>
          <w:tcPr>
            <w:tcW w:type="dxa" w:w="3249"/>
            <w:tcMar>
              <w:top w:w="80" w:type="dxa"/>
              <w:start w:w="90" w:type="dxa"/>
              <w:bottom w:w="80" w:type="dxa"/>
              <w:end w:w="90" w:type="dxa"/>
            </w:tcMar>
            <w:vAlign w:val="center"/>
          </w:tcPr>
          <w:p>
            <w:pPr>
              <w:spacing w:before="40" w:after="40"/>
            </w:pPr>
            <w:r>
              <w:t>No saga initially</w:t>
            </w:r>
          </w:p>
        </w:tc>
        <w:tc>
          <w:tcPr>
            <w:tcW w:type="dxa" w:w="3249"/>
            <w:tcMar>
              <w:top w:w="80" w:type="dxa"/>
              <w:start w:w="90" w:type="dxa"/>
              <w:bottom w:w="80" w:type="dxa"/>
              <w:end w:w="90" w:type="dxa"/>
            </w:tcMar>
            <w:vAlign w:val="center"/>
          </w:tcPr>
          <w:p>
            <w:pPr>
              <w:spacing w:before="40" w:after="40"/>
            </w:pPr>
            <w:r>
              <w:t>Single bounded context does not justify saga complexity yet</w:t>
            </w:r>
          </w:p>
        </w:tc>
      </w:tr>
    </w:tbl>
    <w:p>
      <w:pPr>
        <w:pStyle w:val="Heading2"/>
      </w:pPr>
      <w:r>
        <w:t>Anti-patterns explicitly avoided</w:t>
      </w:r>
    </w:p>
    <w:p>
      <w:pPr>
        <w:pStyle w:val="ListBullet"/>
      </w:pPr>
      <w:r>
        <w:t>Premature microservice decomposition</w:t>
      </w:r>
    </w:p>
    <w:p>
      <w:pPr>
        <w:pStyle w:val="ListBullet"/>
      </w:pPr>
      <w:r>
        <w:t>Reactive-by-default architecture without a reactive need</w:t>
      </w:r>
    </w:p>
    <w:p>
      <w:pPr>
        <w:pStyle w:val="ListBullet"/>
      </w:pPr>
      <w:r>
        <w:t>Hand-rolled authentication</w:t>
      </w:r>
    </w:p>
    <w:p>
      <w:pPr>
        <w:pStyle w:val="ListBullet"/>
      </w:pPr>
      <w:r>
        <w:t>Database and event publication without an outbox</w:t>
      </w:r>
    </w:p>
    <w:p>
      <w:pPr>
        <w:pStyle w:val="ListBullet"/>
      </w:pPr>
      <w:r>
        <w:t>Shared-common modules that accumulate unrelated utilities</w:t>
      </w:r>
    </w:p>
    <w:p>
      <w:pPr>
        <w:pStyle w:val="Heading1"/>
      </w:pPr>
      <w:r>
        <w:t>Implementation Roadmap</w:t>
      </w:r>
    </w:p>
    <w:tbl>
      <w:tblPr>
        <w:tblStyle w:val="TableGrid"/>
        <w:tblW w:type="auto" w:w="0"/>
        <w:jc w:val="center"/>
        <w:tblLook w:firstColumn="1" w:firstRow="1" w:lastColumn="0" w:lastRow="0" w:noHBand="0" w:noVBand="1" w:val="04A0"/>
      </w:tblPr>
      <w:tblGrid>
        <w:gridCol w:w="4873"/>
        <w:gridCol w:w="4873"/>
      </w:tblGrid>
      <w:tr>
        <w:trPr>
          <w:trHeight w:hRule="atLeast"/>
        </w:trPr>
        <w:tc>
          <w:tcPr>
            <w:tcW w:type="dxa" w:w="4873"/>
            <w:tcMar>
              <w:top w:w="80" w:type="dxa"/>
              <w:start w:w="90" w:type="dxa"/>
              <w:bottom w:w="80" w:type="dxa"/>
              <w:end w:w="90" w:type="dxa"/>
            </w:tcMar>
            <w:vAlign w:val="center"/>
            <w:shd w:fill="E2E8F0"/>
          </w:tcPr>
          <w:p>
            <w:pPr>
              <w:spacing w:before="40" w:after="40"/>
            </w:pPr>
            <w:r>
              <w:rPr>
                <w:b/>
              </w:rPr>
              <w:t>Phase</w:t>
            </w:r>
          </w:p>
        </w:tc>
        <w:tc>
          <w:tcPr>
            <w:tcW w:type="dxa" w:w="4873"/>
            <w:tcMar>
              <w:top w:w="80" w:type="dxa"/>
              <w:start w:w="90" w:type="dxa"/>
              <w:bottom w:w="80" w:type="dxa"/>
              <w:end w:w="90" w:type="dxa"/>
            </w:tcMar>
            <w:vAlign w:val="center"/>
            <w:shd w:fill="E2E8F0"/>
          </w:tcPr>
          <w:p>
            <w:pPr>
              <w:spacing w:before="40" w:after="40"/>
            </w:pPr>
            <w:r>
              <w:rPr>
                <w:b/>
              </w:rPr>
              <w:t>Scope</w:t>
            </w:r>
          </w:p>
        </w:tc>
      </w:tr>
      <w:tr>
        <w:trPr>
          <w:trHeight w:hRule="atLeast"/>
        </w:trPr>
        <w:tc>
          <w:tcPr>
            <w:tcW w:type="dxa" w:w="4873"/>
            <w:tcMar>
              <w:top w:w="80" w:type="dxa"/>
              <w:start w:w="90" w:type="dxa"/>
              <w:bottom w:w="80" w:type="dxa"/>
              <w:end w:w="90" w:type="dxa"/>
            </w:tcMar>
            <w:vAlign w:val="center"/>
            <w:shd w:fill="F8FAFC"/>
          </w:tcPr>
          <w:p>
            <w:pPr>
              <w:spacing w:before="40" w:after="40"/>
            </w:pPr>
            <w:r>
              <w:t>Phase 1 — MVP</w:t>
            </w:r>
          </w:p>
        </w:tc>
        <w:tc>
          <w:tcPr>
            <w:tcW w:type="dxa" w:w="4873"/>
            <w:tcMar>
              <w:top w:w="80" w:type="dxa"/>
              <w:start w:w="90" w:type="dxa"/>
              <w:bottom w:w="80" w:type="dxa"/>
              <w:end w:w="90" w:type="dxa"/>
            </w:tcMar>
            <w:vAlign w:val="center"/>
            <w:shd w:fill="F8FAFC"/>
          </w:tcPr>
          <w:p>
            <w:pPr>
              <w:spacing w:before="40" w:after="40"/>
            </w:pPr>
            <w:r>
              <w:t>Transfer API, PostgreSQL persistence, JWT auth, Flyway migrations, query endpoints</w:t>
            </w:r>
          </w:p>
        </w:tc>
      </w:tr>
      <w:tr>
        <w:trPr>
          <w:trHeight w:hRule="atLeast"/>
        </w:trPr>
        <w:tc>
          <w:tcPr>
            <w:tcW w:type="dxa" w:w="4873"/>
            <w:tcMar>
              <w:top w:w="80" w:type="dxa"/>
              <w:start w:w="90" w:type="dxa"/>
              <w:bottom w:w="80" w:type="dxa"/>
              <w:end w:w="90" w:type="dxa"/>
            </w:tcMar>
            <w:vAlign w:val="center"/>
          </w:tcPr>
          <w:p>
            <w:pPr>
              <w:spacing w:before="40" w:after="40"/>
            </w:pPr>
            <w:r>
              <w:t>Phase 2 — Reliability</w:t>
            </w:r>
          </w:p>
        </w:tc>
        <w:tc>
          <w:tcPr>
            <w:tcW w:type="dxa" w:w="4873"/>
            <w:tcMar>
              <w:top w:w="80" w:type="dxa"/>
              <w:start w:w="90" w:type="dxa"/>
              <w:bottom w:w="80" w:type="dxa"/>
              <w:end w:w="90" w:type="dxa"/>
            </w:tcMar>
            <w:vAlign w:val="center"/>
          </w:tcPr>
          <w:p>
            <w:pPr>
              <w:spacing w:before="40" w:after="40"/>
            </w:pPr>
            <w:r>
              <w:t>Idempotency, transactional outbox, Kafka publication, retries, structured errors</w:t>
            </w:r>
          </w:p>
        </w:tc>
      </w:tr>
      <w:tr>
        <w:trPr>
          <w:trHeight w:hRule="atLeast"/>
        </w:trPr>
        <w:tc>
          <w:tcPr>
            <w:tcW w:type="dxa" w:w="4873"/>
            <w:tcMar>
              <w:top w:w="80" w:type="dxa"/>
              <w:start w:w="90" w:type="dxa"/>
              <w:bottom w:w="80" w:type="dxa"/>
              <w:end w:w="90" w:type="dxa"/>
            </w:tcMar>
            <w:vAlign w:val="center"/>
            <w:shd w:fill="F8FAFC"/>
          </w:tcPr>
          <w:p>
            <w:pPr>
              <w:spacing w:before="40" w:after="40"/>
            </w:pPr>
            <w:r>
              <w:t>Phase 3 — Performance and Operations</w:t>
            </w:r>
          </w:p>
        </w:tc>
        <w:tc>
          <w:tcPr>
            <w:tcW w:type="dxa" w:w="4873"/>
            <w:tcMar>
              <w:top w:w="80" w:type="dxa"/>
              <w:start w:w="90" w:type="dxa"/>
              <w:bottom w:w="80" w:type="dxa"/>
              <w:end w:w="90" w:type="dxa"/>
            </w:tcMar>
            <w:vAlign w:val="center"/>
            <w:shd w:fill="F8FAFC"/>
          </w:tcPr>
          <w:p>
            <w:pPr>
              <w:spacing w:before="40" w:after="40"/>
            </w:pPr>
            <w:r>
              <w:t>Virtual-thread pre-check orchestration, Redis caching, metrics, tracing, dashboards</w:t>
            </w:r>
          </w:p>
        </w:tc>
      </w:tr>
      <w:tr>
        <w:trPr>
          <w:trHeight w:hRule="atLeast"/>
        </w:trPr>
        <w:tc>
          <w:tcPr>
            <w:tcW w:type="dxa" w:w="4873"/>
            <w:tcMar>
              <w:top w:w="80" w:type="dxa"/>
              <w:start w:w="90" w:type="dxa"/>
              <w:bottom w:w="80" w:type="dxa"/>
              <w:end w:w="90" w:type="dxa"/>
            </w:tcMar>
            <w:vAlign w:val="center"/>
          </w:tcPr>
          <w:p>
            <w:pPr>
              <w:spacing w:before="40" w:after="40"/>
            </w:pPr>
            <w:r>
              <w:t>Phase 4 — Production Hardening</w:t>
            </w:r>
          </w:p>
        </w:tc>
        <w:tc>
          <w:tcPr>
            <w:tcW w:type="dxa" w:w="4873"/>
            <w:tcMar>
              <w:top w:w="80" w:type="dxa"/>
              <w:start w:w="90" w:type="dxa"/>
              <w:bottom w:w="80" w:type="dxa"/>
              <w:end w:w="90" w:type="dxa"/>
            </w:tcMar>
            <w:vAlign w:val="center"/>
          </w:tcPr>
          <w:p>
            <w:pPr>
              <w:spacing w:before="40" w:after="40"/>
            </w:pPr>
            <w:r>
              <w:t>External OIDC provider, DLQ/replay tooling, load tests, chaos tests, stricter secret handling</w:t>
            </w:r>
          </w:p>
        </w:tc>
      </w:tr>
    </w:tbl>
    <w:p>
      <w:pPr>
        <w:pStyle w:val="Heading1"/>
      </w:pPr>
      <w:r>
        <w:t>Top 10 Resume-Worthy Features</w:t>
      </w:r>
    </w:p>
    <w:p>
      <w:pPr>
        <w:ind w:left="113"/>
      </w:pPr>
      <w:r>
        <w:rPr>
          <w:b/>
        </w:rPr>
        <w:t xml:space="preserve">1. </w:t>
      </w:r>
      <w:r>
        <w:t>Java 21 virtual-thread concurrency in a real request-processing path</w:t>
      </w:r>
    </w:p>
    <w:p>
      <w:pPr>
        <w:ind w:left="113"/>
      </w:pPr>
      <w:r>
        <w:rPr>
          <w:b/>
        </w:rPr>
        <w:t xml:space="preserve">2. </w:t>
      </w:r>
      <w:r>
        <w:t>Versioned REST API with idempotent transfer creation</w:t>
      </w:r>
    </w:p>
    <w:p>
      <w:pPr>
        <w:ind w:left="113"/>
      </w:pPr>
      <w:r>
        <w:rPr>
          <w:b/>
        </w:rPr>
        <w:t xml:space="preserve">3. </w:t>
      </w:r>
      <w:r>
        <w:t>PostgreSQL schema with strong transaction and indexing discipline</w:t>
      </w:r>
    </w:p>
    <w:p>
      <w:pPr>
        <w:ind w:left="113"/>
      </w:pPr>
      <w:r>
        <w:rPr>
          <w:b/>
        </w:rPr>
        <w:t xml:space="preserve">4. </w:t>
      </w:r>
      <w:r>
        <w:t>Transactional outbox pattern with asynchronous Kafka publication</w:t>
      </w:r>
    </w:p>
    <w:p>
      <w:pPr>
        <w:ind w:left="113"/>
      </w:pPr>
      <w:r>
        <w:rPr>
          <w:b/>
        </w:rPr>
        <w:t xml:space="preserve">5. </w:t>
      </w:r>
      <w:r>
        <w:t>Redis-backed replay and hot reference-data caching strategy</w:t>
      </w:r>
    </w:p>
    <w:p>
      <w:pPr>
        <w:ind w:left="113"/>
      </w:pPr>
      <w:r>
        <w:rPr>
          <w:b/>
        </w:rPr>
        <w:t xml:space="preserve">6. </w:t>
      </w:r>
      <w:r>
        <w:t>JWT/OAuth2 resource server security model</w:t>
      </w:r>
    </w:p>
    <w:p>
      <w:pPr>
        <w:ind w:left="113"/>
      </w:pPr>
      <w:r>
        <w:rPr>
          <w:b/>
        </w:rPr>
        <w:t xml:space="preserve">7. </w:t>
      </w:r>
      <w:r>
        <w:t>Resilience4j timeouts, retries, circuit breakers, and bulkheads</w:t>
      </w:r>
    </w:p>
    <w:p>
      <w:pPr>
        <w:ind w:left="113"/>
      </w:pPr>
      <w:r>
        <w:rPr>
          <w:b/>
        </w:rPr>
        <w:t xml:space="preserve">8. </w:t>
      </w:r>
      <w:r>
        <w:t>Flyway migration discipline and deployment-safe schema evolution</w:t>
      </w:r>
    </w:p>
    <w:p>
      <w:pPr>
        <w:ind w:left="113"/>
      </w:pPr>
      <w:r>
        <w:rPr>
          <w:b/>
        </w:rPr>
        <w:t xml:space="preserve">9. </w:t>
      </w:r>
      <w:r>
        <w:t>Micrometer, Actuator, and tracing-ready observability model</w:t>
      </w:r>
    </w:p>
    <w:p>
      <w:pPr>
        <w:ind w:left="113"/>
      </w:pPr>
      <w:r>
        <w:rPr>
          <w:b/>
        </w:rPr>
        <w:t xml:space="preserve">10. </w:t>
      </w:r>
      <w:r>
        <w:t>Docker, Kubernetes, and CI/CD assets aligned with enterprise delivery practices</w:t>
      </w:r>
    </w:p>
    <w:p>
      <w:pPr>
        <w:pStyle w:val="Heading1"/>
      </w:pPr>
      <w:r>
        <w:t>Top 10 Interview Questions This System Prepares You to Answer</w:t>
      </w:r>
    </w:p>
    <w:p>
      <w:pPr>
        <w:ind w:left="113"/>
      </w:pPr>
      <w:r>
        <w:rPr>
          <w:b/>
        </w:rPr>
        <w:t xml:space="preserve">1. </w:t>
      </w:r>
      <w:r>
        <w:t>Why choose a modular monolith instead of microservices for this domain?</w:t>
      </w:r>
    </w:p>
    <w:p>
      <w:pPr>
        <w:ind w:left="113"/>
      </w:pPr>
      <w:r>
        <w:rPr>
          <w:b/>
        </w:rPr>
        <w:t xml:space="preserve">2. </w:t>
      </w:r>
      <w:r>
        <w:t>How does the outbox pattern prevent lost events?</w:t>
      </w:r>
    </w:p>
    <w:p>
      <w:pPr>
        <w:ind w:left="113"/>
      </w:pPr>
      <w:r>
        <w:rPr>
          <w:b/>
        </w:rPr>
        <w:t xml:space="preserve">3. </w:t>
      </w:r>
      <w:r>
        <w:t>Why is at-least-once a better claim than exactly-once here?</w:t>
      </w:r>
    </w:p>
    <w:p>
      <w:pPr>
        <w:ind w:left="113"/>
      </w:pPr>
      <w:r>
        <w:rPr>
          <w:b/>
        </w:rPr>
        <w:t xml:space="preserve">4. </w:t>
      </w:r>
      <w:r>
        <w:t>How do you design idempotency for a transfer or payments API?</w:t>
      </w:r>
    </w:p>
    <w:p>
      <w:pPr>
        <w:ind w:left="113"/>
      </w:pPr>
      <w:r>
        <w:rPr>
          <w:b/>
        </w:rPr>
        <w:t xml:space="preserve">5. </w:t>
      </w:r>
      <w:r>
        <w:t>Where do virtual threads improve latency and throughput?</w:t>
      </w:r>
    </w:p>
    <w:p>
      <w:pPr>
        <w:ind w:left="113"/>
      </w:pPr>
      <w:r>
        <w:rPr>
          <w:b/>
        </w:rPr>
        <w:t xml:space="preserve">6. </w:t>
      </w:r>
      <w:r>
        <w:t>How should retries be limited for side-effecting operations?</w:t>
      </w:r>
    </w:p>
    <w:p>
      <w:pPr>
        <w:ind w:left="113"/>
      </w:pPr>
      <w:r>
        <w:rPr>
          <w:b/>
        </w:rPr>
        <w:t xml:space="preserve">7. </w:t>
      </w:r>
      <w:r>
        <w:t>How would you index the transfer tables for operator query patterns?</w:t>
      </w:r>
    </w:p>
    <w:p>
      <w:pPr>
        <w:ind w:left="113"/>
      </w:pPr>
      <w:r>
        <w:rPr>
          <w:b/>
        </w:rPr>
        <w:t xml:space="preserve">8. </w:t>
      </w:r>
      <w:r>
        <w:t>How do you secure a Spring Boot API as a resource server with JWT?</w:t>
      </w:r>
    </w:p>
    <w:p>
      <w:pPr>
        <w:ind w:left="113"/>
      </w:pPr>
      <w:r>
        <w:rPr>
          <w:b/>
        </w:rPr>
        <w:t xml:space="preserve">9. </w:t>
      </w:r>
      <w:r>
        <w:t>How do you troubleshoot event-publication lag from the outbox?</w:t>
      </w:r>
    </w:p>
    <w:p>
      <w:pPr>
        <w:ind w:left="113"/>
      </w:pPr>
      <w:r>
        <w:rPr>
          <w:b/>
        </w:rPr>
        <w:t xml:space="preserve">10. </w:t>
      </w:r>
      <w:r>
        <w:t>What would you extract first if the modular monolith needed to split?</w:t>
      </w:r>
    </w:p>
    <w:p>
      <w:pPr>
        <w:pStyle w:val="Heading1"/>
      </w:pPr>
      <w:r>
        <w:t>Appendix — Repository Export Note</w:t>
      </w:r>
    </w:p>
    <w:p>
      <w:pPr/>
      <w:r>
        <w:t>This document corresponds to the generated Finflow Maven/Spring Boot project repository. The repository artifact includes source code, tests, Docker Compose, Kubernetes manifests, CI workflow files, and a README aligned to this design.</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Normal"/>
    <w:rPr>
      <w:rFonts w:ascii="Aptos Display" w:hAnsi="Aptos Display"/>
      <w:b/>
      <w:color w:val="0F172A"/>
      <w:sz w:val="48"/>
    </w:rPr>
  </w:style>
  <w:style w:type="paragraph" w:customStyle="1" w:styleId="ReportSubtitle">
    <w:name w:val="ReportSubtitle"/>
    <w:basedOn w:val="Normal"/>
    <w:rPr>
      <w:rFonts w:ascii="Aptos" w:hAnsi="Aptos"/>
      <w:color w:val="47556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