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ENG-2205 Assignment 11</w:t>
      </w:r>
    </w:p>
    <w:p w:rsidR="00000000" w:rsidDel="00000000" w:rsidP="00000000" w:rsidRDefault="00000000" w:rsidRPr="00000000" w14:paraId="0000000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Machiavelli</w:t>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According to Machiavelli in chapter 17 of his book, what should the prince do in thinking and acting and in his relation to his subjects? What is the essence of human beings which plays as the reason for the prince to have his philosophy of governance?</w:t>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What kinds of animal and what their essence does the author refer to in chapter 18 in discussing about the virtues the prince should learn to control his power? What are the essential virtues a prince should, at least, seem to have to keep his power over the people around him?</w:t>
      </w:r>
    </w:p>
    <w:p w:rsidR="00000000" w:rsidDel="00000000" w:rsidP="00000000" w:rsidRDefault="00000000" w:rsidRPr="00000000" w14:paraId="0000000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rtl w:val="0"/>
        </w:rPr>
        <w:t xml:space="preserve">Shakespeare and </w:t>
      </w:r>
      <w:r w:rsidDel="00000000" w:rsidR="00000000" w:rsidRPr="00000000">
        <w:rPr>
          <w:rFonts w:ascii="Times New Roman" w:cs="Times New Roman" w:eastAsia="Times New Roman" w:hAnsi="Times New Roman"/>
          <w:b w:val="1"/>
          <w:i w:val="1"/>
          <w:rtl w:val="0"/>
        </w:rPr>
        <w:t xml:space="preserve">Hamlet</w:t>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What opinions and actions is Hamlet concerned with in his monologue in Act III, Scene 1 (“To be, or not to be”)? How does he react to Ophelia when she appears and how does she think of him when encountering him?</w:t>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What does he do for his plan in Act III, Scene 2 after his monologue and his encounter with Ophelia in Act III, Scene 1?</w:t>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Summarize the main content of Act IV. </w:t>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Cervantes and </w:t>
      </w:r>
      <w:r w:rsidDel="00000000" w:rsidR="00000000" w:rsidRPr="00000000">
        <w:rPr>
          <w:rFonts w:ascii="Times New Roman" w:cs="Times New Roman" w:eastAsia="Times New Roman" w:hAnsi="Times New Roman"/>
          <w:b w:val="1"/>
          <w:i w:val="1"/>
          <w:rtl w:val="0"/>
        </w:rPr>
        <w:t xml:space="preserve">Don Quixote</w:t>
      </w: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Summarize the adventures Cervantes underwent in his life.</w:t>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In the prologue of the novel </w:t>
      </w:r>
      <w:r w:rsidDel="00000000" w:rsidR="00000000" w:rsidRPr="00000000">
        <w:rPr>
          <w:rFonts w:ascii="Times New Roman" w:cs="Times New Roman" w:eastAsia="Times New Roman" w:hAnsi="Times New Roman"/>
          <w:i w:val="1"/>
          <w:rtl w:val="0"/>
        </w:rPr>
        <w:t xml:space="preserve">Don Quixote</w:t>
      </w:r>
      <w:r w:rsidDel="00000000" w:rsidR="00000000" w:rsidRPr="00000000">
        <w:rPr>
          <w:rFonts w:ascii="Times New Roman" w:cs="Times New Roman" w:eastAsia="Times New Roman" w:hAnsi="Times New Roman"/>
          <w:rtl w:val="0"/>
        </w:rPr>
        <w:t xml:space="preserve">, what does the author’s friend advise him to do when he starts to write the novel about the knight Don Quixote? What does author (Cervantes) imply in this passage?</w:t>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In chapter 1, what does Don Quixote usually do when he is at leisure? What does he finally decide to do as the effect of his habit? What does he prepare for his plan?</w:t>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In chapter 2, whom does Don Quixote meet and how does he treat them in his first sally?</w:t>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In chapter 3, how does Don Quixote get consecrated as a knight?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Writing</w:t>
      </w:r>
    </w:p>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Re-read carefully chapter Sixteen (pp. 232-249) of the book </w:t>
      </w:r>
      <w:r w:rsidDel="00000000" w:rsidR="00000000" w:rsidRPr="00000000">
        <w:rPr>
          <w:rFonts w:ascii="Times New Roman" w:cs="Times New Roman" w:eastAsia="Times New Roman" w:hAnsi="Times New Roman"/>
          <w:i w:val="1"/>
          <w:rtl w:val="0"/>
        </w:rPr>
        <w:t xml:space="preserve">They Say/ I Say </w:t>
      </w:r>
      <w:r w:rsidDel="00000000" w:rsidR="00000000" w:rsidRPr="00000000">
        <w:rPr>
          <w:rFonts w:ascii="Times New Roman" w:cs="Times New Roman" w:eastAsia="Times New Roman" w:hAnsi="Times New Roman"/>
          <w:rtl w:val="0"/>
        </w:rPr>
        <w:t xml:space="preserve">(folder ACADEMIC WRITING in the Google Classroom), then answer the following questions:</w:t>
      </w:r>
    </w:p>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What is the concept of “the Elusive Literary Author” and what is the concept of “Conflict in the [literary] Work” the authors of the book imply? </w:t>
      </w:r>
    </w:p>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In naming the chapter as “On Closer Examination” and when raising such questions as, “What’s Your Evidence?”, and “What’s Your Opinion of the Text?” in this chapter, what do the authors ask us to do when we write an argumentative essay?</w:t>
      </w:r>
    </w:p>
    <w:p w:rsidR="00000000" w:rsidDel="00000000" w:rsidP="00000000" w:rsidRDefault="00000000" w:rsidRPr="00000000" w14:paraId="0000001B">
      <w:pPr>
        <w:rPr/>
      </w:pPr>
      <w:r w:rsidDel="00000000" w:rsidR="00000000" w:rsidRPr="00000000">
        <w:rPr>
          <w:rtl w:val="0"/>
        </w:rPr>
      </w:r>
    </w:p>
    <w:sectPr>
      <w:pgSz w:h="16840" w:w="11900"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