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before="0"/>
        <w:jc w:val="center"/>
      </w:pPr>
      <w:r>
        <w:rPr>
          <w:rFonts w:ascii="Times New Roman" w:hAnsi="Times New Roman"/>
          <w:b/>
          <w:color w:val="E86C00"/>
          <w:sz w:val="56"/>
        </w:rPr>
        <w:t>HoopRise Basketball Academy</w:t>
      </w:r>
    </w:p>
    <w:p>
      <w:pPr>
        <w:spacing w:after="80" w:before="0"/>
        <w:jc w:val="center"/>
      </w:pPr>
      <w:r>
        <w:rPr>
          <w:rFonts w:ascii="Times New Roman" w:hAnsi="Times New Roman"/>
          <w:b/>
          <w:color w:val="333333"/>
          <w:sz w:val="36"/>
        </w:rPr>
        <w:t>International Sport Business Plan</w:t>
      </w:r>
    </w:p>
    <w:p>
      <w:pPr>
        <w:jc w:val="center"/>
      </w:pPr>
      <w:r>
        <w:rPr>
          <w:color w:val="E86C00"/>
          <w:sz w:val="24"/>
        </w:rPr>
        <w:t>━━━━━━━━━━━━━━━━━━━━━━━━━━━━━━━━━━━━━━━━</w:t>
      </w:r>
    </w:p>
    <w:p>
      <w:pPr>
        <w:spacing w:after="600" w:before="0"/>
        <w:jc w:val="center"/>
      </w:pPr>
      <w:r>
        <w:rPr>
          <w:rFonts w:ascii="Times New Roman" w:hAnsi="Times New Roman"/>
          <w:b w:val="0"/>
          <w:color w:val="666666"/>
          <w:sz w:val="28"/>
        </w:rPr>
        <w:t>Expanding Youth Basketball Development in India</w:t>
      </w:r>
    </w:p>
    <w:p>
      <w:pPr>
        <w:spacing w:after="80" w:before="0"/>
        <w:jc w:val="center"/>
      </w:pPr>
      <w:r>
        <w:rPr>
          <w:rFonts w:ascii="Times New Roman" w:hAnsi="Times New Roman"/>
          <w:b w:val="0"/>
          <w:color w:val="333333"/>
          <w:sz w:val="24"/>
        </w:rPr>
        <w:t>Prepared for: International Sport Business</w:t>
      </w:r>
    </w:p>
    <w:p>
      <w:pPr>
        <w:spacing w:after="80" w:before="0"/>
        <w:jc w:val="center"/>
      </w:pPr>
      <w:r>
        <w:rPr>
          <w:rFonts w:ascii="Times New Roman" w:hAnsi="Times New Roman"/>
          <w:b w:val="0"/>
          <w:color w:val="333333"/>
          <w:sz w:val="24"/>
        </w:rPr>
        <w:t>June 2026</w:t>
      </w:r>
    </w:p>
    <w:p>
      <w:r>
        <w:br w:type="page"/>
      </w:r>
    </w:p>
    <w:p>
      <w:pPr>
        <w:spacing w:after="240" w:before="0"/>
        <w:jc w:val="left"/>
      </w:pPr>
      <w:r>
        <w:rPr>
          <w:rFonts w:ascii="Times New Roman" w:hAnsi="Times New Roman"/>
          <w:b/>
          <w:color w:val="E86C00"/>
          <w:sz w:val="32"/>
        </w:rPr>
        <w:t>Table of Contents</w:t>
      </w:r>
    </w:p>
    <w:p>
      <w:pPr>
        <w:tabs>
          <w:tab w:pos="8640" w:val="right" w:leader="dot"/>
        </w:tabs>
        <w:spacing w:after="80"/>
      </w:pPr>
      <w:r>
        <w:rPr>
          <w:rFonts w:ascii="Times New Roman" w:hAnsi="Times New Roman"/>
          <w:color w:val="333333"/>
          <w:sz w:val="24"/>
        </w:rPr>
        <w:t>Market Research Summary</w:t>
      </w:r>
      <w:r>
        <w:rPr>
          <w:rFonts w:ascii="Times New Roman" w:hAnsi="Times New Roman"/>
          <w:color w:val="666666"/>
          <w:sz w:val="24"/>
        </w:rPr>
        <w:tab/>
        <w:t>1</w:t>
      </w:r>
    </w:p>
    <w:p>
      <w:pPr>
        <w:tabs>
          <w:tab w:pos="8640" w:val="right" w:leader="dot"/>
        </w:tabs>
        <w:spacing w:after="80"/>
      </w:pPr>
      <w:r>
        <w:rPr>
          <w:rFonts w:ascii="Times New Roman" w:hAnsi="Times New Roman"/>
          <w:color w:val="333333"/>
          <w:sz w:val="24"/>
        </w:rPr>
        <w:t>The Concept</w:t>
      </w:r>
      <w:r>
        <w:rPr>
          <w:rFonts w:ascii="Times New Roman" w:hAnsi="Times New Roman"/>
          <w:color w:val="666666"/>
          <w:sz w:val="24"/>
        </w:rPr>
        <w:tab/>
        <w:t>2</w:t>
      </w:r>
    </w:p>
    <w:p>
      <w:pPr>
        <w:tabs>
          <w:tab w:pos="8640" w:val="right" w:leader="dot"/>
        </w:tabs>
        <w:spacing w:after="80"/>
      </w:pPr>
      <w:r>
        <w:rPr>
          <w:rFonts w:ascii="Times New Roman" w:hAnsi="Times New Roman"/>
          <w:color w:val="333333"/>
          <w:sz w:val="24"/>
        </w:rPr>
        <w:t>Mission Statement</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Competitive Position</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Cultural Considerations</w:t>
      </w:r>
      <w:r>
        <w:rPr>
          <w:rFonts w:ascii="Times New Roman" w:hAnsi="Times New Roman"/>
          <w:color w:val="666666"/>
          <w:sz w:val="24"/>
        </w:rPr>
        <w:tab/>
        <w:t>5</w:t>
      </w:r>
    </w:p>
    <w:p>
      <w:pPr>
        <w:tabs>
          <w:tab w:pos="8640" w:val="right" w:leader="dot"/>
        </w:tabs>
        <w:spacing w:after="80"/>
      </w:pPr>
      <w:r>
        <w:rPr>
          <w:rFonts w:ascii="Times New Roman" w:hAnsi="Times New Roman"/>
          <w:color w:val="333333"/>
          <w:sz w:val="24"/>
        </w:rPr>
        <w:t>Fundraising/Financing</w:t>
      </w:r>
      <w:r>
        <w:rPr>
          <w:rFonts w:ascii="Times New Roman" w:hAnsi="Times New Roman"/>
          <w:color w:val="666666"/>
          <w:sz w:val="24"/>
        </w:rPr>
        <w:tab/>
        <w:t>6</w:t>
      </w:r>
    </w:p>
    <w:p>
      <w:pPr>
        <w:tabs>
          <w:tab w:pos="8640" w:val="right" w:leader="dot"/>
        </w:tabs>
        <w:spacing w:after="80"/>
      </w:pPr>
      <w:r>
        <w:rPr>
          <w:rFonts w:ascii="Times New Roman" w:hAnsi="Times New Roman"/>
          <w:color w:val="333333"/>
          <w:sz w:val="24"/>
        </w:rPr>
        <w:t>Promotional Strategies</w:t>
      </w:r>
      <w:r>
        <w:rPr>
          <w:rFonts w:ascii="Times New Roman" w:hAnsi="Times New Roman"/>
          <w:color w:val="666666"/>
          <w:sz w:val="24"/>
        </w:rPr>
        <w:tab/>
        <w:t>7</w:t>
      </w:r>
    </w:p>
    <w:p>
      <w:pPr>
        <w:tabs>
          <w:tab w:pos="8640" w:val="right" w:leader="dot"/>
        </w:tabs>
        <w:spacing w:after="80"/>
      </w:pPr>
      <w:r>
        <w:rPr>
          <w:rFonts w:ascii="Times New Roman" w:hAnsi="Times New Roman"/>
          <w:color w:val="333333"/>
          <w:sz w:val="24"/>
        </w:rPr>
        <w:t>Anticipated Budget</w:t>
      </w:r>
      <w:r>
        <w:rPr>
          <w:rFonts w:ascii="Times New Roman" w:hAnsi="Times New Roman"/>
          <w:color w:val="666666"/>
          <w:sz w:val="24"/>
        </w:rPr>
        <w:tab/>
        <w:t>8</w:t>
      </w:r>
    </w:p>
    <w:p>
      <w:pPr>
        <w:tabs>
          <w:tab w:pos="8640" w:val="right" w:leader="dot"/>
        </w:tabs>
        <w:spacing w:after="80"/>
      </w:pPr>
      <w:r>
        <w:rPr>
          <w:rFonts w:ascii="Times New Roman" w:hAnsi="Times New Roman"/>
          <w:color w:val="333333"/>
          <w:sz w:val="24"/>
        </w:rPr>
        <w:t>Strategic Partnerships</w:t>
      </w:r>
      <w:r>
        <w:rPr>
          <w:rFonts w:ascii="Times New Roman" w:hAnsi="Times New Roman"/>
          <w:color w:val="666666"/>
          <w:sz w:val="24"/>
        </w:rPr>
        <w:tab/>
        <w:t>9</w:t>
      </w:r>
    </w:p>
    <w:p>
      <w:pPr>
        <w:tabs>
          <w:tab w:pos="8640" w:val="right" w:leader="dot"/>
        </w:tabs>
        <w:spacing w:after="80"/>
      </w:pPr>
      <w:r>
        <w:rPr>
          <w:rFonts w:ascii="Times New Roman" w:hAnsi="Times New Roman"/>
          <w:color w:val="333333"/>
          <w:sz w:val="24"/>
        </w:rPr>
        <w:t>References</w:t>
      </w:r>
      <w:r>
        <w:rPr>
          <w:rFonts w:ascii="Times New Roman" w:hAnsi="Times New Roman"/>
          <w:color w:val="666666"/>
          <w:sz w:val="24"/>
        </w:rPr>
        <w:tab/>
        <w:t>10</w:t>
      </w:r>
    </w:p>
    <w:p>
      <w:r>
        <w:br w:type="page"/>
      </w:r>
    </w:p>
    <w:p>
      <w:pPr>
        <w:spacing w:after="160" w:before="360"/>
        <w:jc w:val="left"/>
      </w:pPr>
      <w:r>
        <w:rPr>
          <w:rFonts w:ascii="Times New Roman" w:hAnsi="Times New Roman"/>
          <w:b/>
          <w:color w:val="E86C00"/>
          <w:sz w:val="32"/>
        </w:rPr>
        <w:t>Market Research Summary</w:t>
      </w:r>
    </w:p>
    <w:p>
      <w:pPr>
        <w:spacing w:after="120" w:before="240"/>
        <w:jc w:val="left"/>
      </w:pPr>
      <w:r>
        <w:rPr>
          <w:rFonts w:ascii="Times New Roman" w:hAnsi="Times New Roman"/>
          <w:b/>
          <w:color w:val="333333"/>
          <w:sz w:val="26"/>
        </w:rPr>
        <w:t>Key Demographics and Market Size</w:t>
      </w:r>
    </w:p>
    <w:p>
      <w:pPr>
        <w:spacing w:after="120" w:before="0"/>
        <w:ind w:firstLine="720"/>
        <w:jc w:val="left"/>
      </w:pPr>
      <w:r>
        <w:rPr>
          <w:rFonts w:ascii="Times New Roman" w:hAnsi="Times New Roman"/>
          <w:b w:val="0"/>
          <w:color w:val="333333"/>
          <w:sz w:val="24"/>
        </w:rPr>
        <w:t>When looking at untapped basketball markets around the world, India stands out immediately. The country has over 1.44 billion people, making it the most populous nation on Earth, and the demographics skew incredibly young—roughly 65% of Indians are under the age of 35, with the median age sitting at just 28.4 years (United Nations, 2024). That is a massive pool of potential young athletes. On top of that, the Indian sports industry is currently valued at around $2.7 billion and is on track to hit $10 billion by 2030 thanks to rising incomes, urbanization, and a serious push from the government to invest in sports infrastructure (KPMG, 2023). What really caught our attention is the basketball-specific data: the NBA estimates that there are already over 300 million basketball fans in India, which makes it the NBA’s second-largest fan base outside of the United States. The demand is clearly there; the infrastructure just has not caught up yet.</w:t>
      </w:r>
    </w:p>
    <w:p>
      <w:pPr>
        <w:spacing w:after="120" w:before="240"/>
        <w:jc w:val="left"/>
      </w:pPr>
      <w:r>
        <w:rPr>
          <w:rFonts w:ascii="Times New Roman" w:hAnsi="Times New Roman"/>
          <w:b/>
          <w:color w:val="333333"/>
          <w:sz w:val="26"/>
        </w:rPr>
        <w:t>Consumer Behavior Trends</w:t>
      </w:r>
    </w:p>
    <w:p>
      <w:pPr>
        <w:spacing w:after="120" w:before="0"/>
        <w:ind w:firstLine="720"/>
        <w:jc w:val="left"/>
      </w:pPr>
      <w:r>
        <w:rPr>
          <w:rFonts w:ascii="Times New Roman" w:hAnsi="Times New Roman"/>
          <w:b w:val="0"/>
          <w:color w:val="333333"/>
          <w:sz w:val="24"/>
        </w:rPr>
        <w:t>Young Indian consumers, especially those in the 15–30 range, are more health-conscious than any previous generation. Gym memberships, fitness apps, and sports participation are all trending upward. A huge driver of this is India’s digital connectivity—mobile data costs an average of just $0.17 per GB, which is among the cheapest in the world, and smartphone penetration is through the roof (Deloitte, 2024). This means young Indians are consuming NBA highlights on YouTube, following basketball content on Instagram, and engaging with sports brands online at rates that would have been unthinkable ten years ago. Meanwhile, India’s middle class has grown to over 400 million people, and parents in this segment are increasingly willing to invest in extracurricular activities for their kids. They see sports not just as a hobby but as a real pathway to scholarships and personal development. The success of the Indian Premier League in cricket proved that Indian consumers will passionately support a well-marketed sporting product, and that blueprint can absolutely be applied to basketball.</w:t>
      </w:r>
    </w:p>
    <w:p>
      <w:pPr>
        <w:spacing w:after="120" w:before="240"/>
        <w:jc w:val="left"/>
      </w:pPr>
      <w:r>
        <w:rPr>
          <w:rFonts w:ascii="Times New Roman" w:hAnsi="Times New Roman"/>
          <w:b/>
          <w:color w:val="333333"/>
          <w:sz w:val="26"/>
        </w:rPr>
        <w:t>Opportunities and Challenges</w:t>
      </w:r>
    </w:p>
    <w:p>
      <w:pPr>
        <w:spacing w:after="120" w:before="0"/>
        <w:ind w:firstLine="720"/>
        <w:jc w:val="left"/>
      </w:pPr>
      <w:r>
        <w:rPr>
          <w:rFonts w:ascii="Times New Roman" w:hAnsi="Times New Roman"/>
          <w:b w:val="0"/>
          <w:color w:val="333333"/>
          <w:sz w:val="24"/>
        </w:rPr>
        <w:t>There are several strong tailwinds for entering this market right now. The Indian government’s Khelo India initiative has poured over $350 million into sports development, including basketball-specific infrastructure. The NBA already established its Academy India program back in 2017, which validates that there is international confidence in this market. With 35% of India’s population now living in cities, there are natural demand centers where a basketball academy can thrive. That said, we have to be realistic about the challenges. Cricket is king in India, and any sport entering that market is competing for attention and participation against a deeply entrenched cultural institution. Quality indoor basketball courts are hard to find outside major cities, and price sensitivity is real—training programs need to be priced in a way that middle-class families can actually afford. Finally, India’s regulatory environment varies significantly across its 28 states and 8 union territories, so a one-size-fits-all approach will not work.</w:t>
      </w:r>
    </w:p>
    <w:p>
      <w:r>
        <w:br w:type="page"/>
      </w:r>
    </w:p>
    <w:p>
      <w:pPr>
        <w:spacing w:after="160" w:before="360"/>
        <w:jc w:val="left"/>
      </w:pPr>
      <w:r>
        <w:rPr>
          <w:rFonts w:ascii="Times New Roman" w:hAnsi="Times New Roman"/>
          <w:b/>
          <w:color w:val="E86C00"/>
          <w:sz w:val="32"/>
        </w:rPr>
        <w:t>The Concept</w:t>
      </w:r>
    </w:p>
    <w:p>
      <w:pPr>
        <w:spacing w:after="120" w:before="0"/>
        <w:ind w:firstLine="720"/>
        <w:jc w:val="left"/>
      </w:pPr>
      <w:r>
        <w:rPr>
          <w:rFonts w:ascii="Times New Roman" w:hAnsi="Times New Roman"/>
          <w:b w:val="0"/>
          <w:color w:val="333333"/>
          <w:sz w:val="24"/>
        </w:rPr>
        <w:t>HoopRise Basketball Academy is a hybrid basketball training and development company that pairs high-quality physical training facilities with a digital platform to bring structured basketball education to young players across India. The plan is to open premium training centers in three major metro areas—Mumbai, Delhi NCR, and Bangalore—while also launching a mobile app that makes our training content accessible to players anywhere in the country, even if they are nowhere near one of our physical locations.</w:t>
      </w:r>
    </w:p>
    <w:p>
      <w:pPr>
        <w:spacing w:after="120" w:before="0"/>
        <w:ind w:firstLine="720"/>
        <w:jc w:val="left"/>
      </w:pPr>
      <w:r>
        <w:rPr>
          <w:rFonts w:ascii="Times New Roman" w:hAnsi="Times New Roman"/>
          <w:b w:val="0"/>
          <w:color w:val="333333"/>
          <w:sz w:val="24"/>
        </w:rPr>
        <w:t>Each physical academy will have regulation-size indoor courts, a strength and conditioning area, a sports science lab with motion capture technology, and classrooms for film study and tactical sessions. We plan to staff each location with certified coaches who have international playing or coaching experience, along with local assistant coaches who understand the regional dynamics and can connect with players on a personal level. Training will be split into four tiers—Beginner, Intermediate, Advanced, and Elite—so we can serve everyone from an 8-year-old picking up a basketball for the first time to a 22-year-old trying to break into professional play.</w:t>
      </w:r>
    </w:p>
    <w:p>
      <w:pPr>
        <w:spacing w:after="120" w:before="0"/>
        <w:ind w:firstLine="720"/>
        <w:jc w:val="left"/>
      </w:pPr>
      <w:r>
        <w:rPr>
          <w:rFonts w:ascii="Times New Roman" w:hAnsi="Times New Roman"/>
          <w:b w:val="0"/>
          <w:color w:val="333333"/>
          <w:sz w:val="24"/>
        </w:rPr>
        <w:t>The digital side of HoopRise is just as important. The app will feature AI-powered skill assessments, a video drill library with demonstrations in multiple Indian languages, performance tracking dashboards, and virtual coaching sessions. This is where the business really scales, because the biggest gap in India’s basketball landscape right now is not a lack of interest—it is a lack of structured, quality training that is actually accessible to most people. If you live in a Tier 2 or Tier 3 city, your options for basketball coaching are extremely limited. HoopRise solves that problem by putting world-class training content in the hands of any kid with a smartphone, while still offering the full in-person experience for those near our academy locations.</w:t>
      </w:r>
    </w:p>
    <w:p>
      <w:r>
        <w:br w:type="page"/>
      </w:r>
    </w:p>
    <w:p>
      <w:pPr>
        <w:spacing w:after="160" w:before="360"/>
        <w:jc w:val="left"/>
      </w:pPr>
      <w:r>
        <w:rPr>
          <w:rFonts w:ascii="Times New Roman" w:hAnsi="Times New Roman"/>
          <w:b/>
          <w:color w:val="E86C00"/>
          <w:sz w:val="32"/>
        </w:rPr>
        <w:t>Mission Statement</w:t>
      </w:r>
    </w:p>
    <w:p>
      <w:pPr>
        <w:spacing w:after="120" w:before="0"/>
        <w:ind w:firstLine="720"/>
        <w:jc w:val="left"/>
      </w:pPr>
      <w:r>
        <w:rPr>
          <w:rFonts w:ascii="Times New Roman" w:hAnsi="Times New Roman"/>
          <w:b w:val="0"/>
          <w:color w:val="333333"/>
          <w:sz w:val="24"/>
        </w:rPr>
        <w:t>HoopRise Basketball Academy exists to make high-level basketball development accessible to young athletes across India, regardless of where they live or what their family’s income looks like. Our mission is to build a training ecosystem that combines expert coaching, quality facilities, and smart technology to develop the next wave of Indian basketball talent. Beyond the sport itself, we want every player who comes through our program to walk away with stronger discipline, better teamwork skills, and a real sense of confidence—qualities that carry over into every part of life.</w:t>
      </w:r>
    </w:p>
    <w:p>
      <w:pPr>
        <w:spacing w:after="120" w:before="0"/>
        <w:ind w:firstLine="720"/>
        <w:jc w:val="left"/>
      </w:pPr>
      <w:r>
        <w:rPr>
          <w:rFonts w:ascii="Times New Roman" w:hAnsi="Times New Roman"/>
          <w:b w:val="0"/>
          <w:color w:val="333333"/>
          <w:sz w:val="24"/>
        </w:rPr>
        <w:t>We have three specific goals driving everything we do. First, we want to build the most recognized and trusted basketball training brand in India within five years. Second, we want to develop a legitimate pipeline of players who can compete at the collegiate, national, and international level. Third, we want to reach one million users on our digital platform within three years of launch. These are ambitious targets, but we believe they are achievable through a combination of relentless focus on coaching quality, smart use of technology, and strategic partnerships that give us credibility and reach from day one.</w:t>
      </w:r>
    </w:p>
    <w:p>
      <w:pPr>
        <w:spacing w:after="160" w:before="360"/>
        <w:jc w:val="left"/>
      </w:pPr>
      <w:r>
        <w:rPr>
          <w:rFonts w:ascii="Times New Roman" w:hAnsi="Times New Roman"/>
          <w:b/>
          <w:color w:val="E86C00"/>
          <w:sz w:val="32"/>
        </w:rPr>
        <w:t>Competitive Position</w:t>
      </w:r>
    </w:p>
    <w:p>
      <w:pPr>
        <w:spacing w:after="120" w:before="240"/>
        <w:jc w:val="left"/>
      </w:pPr>
      <w:r>
        <w:rPr>
          <w:rFonts w:ascii="Times New Roman" w:hAnsi="Times New Roman"/>
          <w:b/>
          <w:color w:val="333333"/>
          <w:sz w:val="26"/>
        </w:rPr>
        <w:t>Target Market Profile</w:t>
      </w:r>
    </w:p>
    <w:p>
      <w:pPr>
        <w:spacing w:after="120" w:before="0"/>
        <w:ind w:firstLine="720"/>
        <w:jc w:val="left"/>
      </w:pPr>
      <w:r>
        <w:rPr>
          <w:rFonts w:ascii="Times New Roman" w:hAnsi="Times New Roman"/>
          <w:b w:val="0"/>
          <w:color w:val="333333"/>
          <w:sz w:val="24"/>
        </w:rPr>
        <w:t>Our primary target is youth aged 8 to 22 from middle-class and upper-middle-class families in urban India. We are talking about households with annual incomes between $10,000 and $50,000—families where parents prioritize education and are increasingly open to investing in structured extracurricular programs. The kids in this demographic are digitally native, heavily influenced by global sports culture, and many of them are already watching NBA content online. Our secondary targets include college athletes looking for advanced training, corporate clients who want basketball-based team-building programs, and recreational adult players aged 23–35 who play in weekend leagues or just want to stay active.</w:t>
      </w:r>
    </w:p>
    <w:p>
      <w:pPr>
        <w:spacing w:after="120" w:before="0"/>
        <w:ind w:firstLine="720"/>
        <w:jc w:val="left"/>
      </w:pPr>
      <w:r>
        <w:rPr>
          <w:rFonts w:ascii="Times New Roman" w:hAnsi="Times New Roman"/>
          <w:b w:val="0"/>
          <w:color w:val="333333"/>
          <w:sz w:val="24"/>
        </w:rPr>
        <w:t>Across India’s top 20 cities, there are roughly 120 million young people who fit this profile. We are starting with Mumbai (21 million metro population), Delhi NCR (32 million), and Bangalore (13 million) because these cities have the highest concentration of middle-class families, existing basketball interest, suitable commercial real estate, and strong digital infrastructure. The lifestyle of our target customer involves heavy social media use, regular consumption of NBA and international sports content, interest in fitness trends, and a growing openness to sports beyond cricket.</w:t>
      </w:r>
    </w:p>
    <w:p>
      <w:pPr>
        <w:spacing w:after="120" w:before="240"/>
        <w:jc w:val="left"/>
      </w:pPr>
      <w:r>
        <w:rPr>
          <w:rFonts w:ascii="Times New Roman" w:hAnsi="Times New Roman"/>
          <w:b/>
          <w:color w:val="333333"/>
          <w:sz w:val="26"/>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Competitor</w:t>
            </w:r>
          </w:p>
        </w:tc>
        <w:tc>
          <w:tcPr>
            <w:tcW w:type="dxa" w:w="2340"/>
            <w:shd w:fill="E86C00" w:val="clear"/>
          </w:tcPr>
          <w:p>
            <w:pPr>
              <w:jc w:val="center"/>
            </w:pPr>
            <w:r/>
            <w:r>
              <w:rPr>
                <w:rFonts w:ascii="Times New Roman" w:hAnsi="Times New Roman"/>
                <w:b/>
                <w:color w:val="FFFFFF"/>
                <w:sz w:val="20"/>
              </w:rPr>
              <w:t>Strengths</w:t>
            </w:r>
          </w:p>
        </w:tc>
        <w:tc>
          <w:tcPr>
            <w:tcW w:type="dxa" w:w="2340"/>
            <w:shd w:fill="E86C00" w:val="clear"/>
          </w:tcPr>
          <w:p>
            <w:pPr>
              <w:jc w:val="center"/>
            </w:pPr>
            <w:r/>
            <w:r>
              <w:rPr>
                <w:rFonts w:ascii="Times New Roman" w:hAnsi="Times New Roman"/>
                <w:b/>
                <w:color w:val="FFFFFF"/>
                <w:sz w:val="20"/>
              </w:rPr>
              <w:t>Weaknesses</w:t>
            </w:r>
          </w:p>
        </w:tc>
        <w:tc>
          <w:tcPr>
            <w:tcW w:type="dxa" w:w="2340"/>
            <w:shd w:fill="E86C00" w:val="clear"/>
          </w:tcPr>
          <w:p>
            <w:pPr>
              <w:jc w:val="center"/>
            </w:pPr>
            <w:r/>
            <w:r>
              <w:rPr>
                <w:rFonts w:ascii="Times New Roman" w:hAnsi="Times New Roman"/>
                <w:b/>
                <w:color w:val="FFFFFF"/>
                <w:sz w:val="20"/>
              </w:rPr>
              <w:t>Market Position</w:t>
            </w:r>
          </w:p>
        </w:tc>
      </w:tr>
      <w:tr>
        <w:tc>
          <w:tcPr>
            <w:tcW w:type="dxa" w:w="2340"/>
          </w:tcPr>
          <w:p>
            <w:r/>
            <w:r>
              <w:rPr>
                <w:rFonts w:ascii="Times New Roman" w:hAnsi="Times New Roman"/>
                <w:color w:val="333333"/>
                <w:sz w:val="18"/>
              </w:rPr>
              <w:t>NBA Academy India</w:t>
            </w:r>
          </w:p>
        </w:tc>
        <w:tc>
          <w:tcPr>
            <w:tcW w:type="dxa" w:w="2340"/>
          </w:tcPr>
          <w:p>
            <w:r/>
            <w:r>
              <w:rPr>
                <w:rFonts w:ascii="Times New Roman" w:hAnsi="Times New Roman"/>
                <w:color w:val="333333"/>
                <w:sz w:val="18"/>
              </w:rPr>
              <w:t>Incredible brand recognition; world-class coaching; direct pathway to the NBA</w:t>
            </w:r>
          </w:p>
        </w:tc>
        <w:tc>
          <w:tcPr>
            <w:tcW w:type="dxa" w:w="2340"/>
          </w:tcPr>
          <w:p>
            <w:r/>
            <w:r>
              <w:rPr>
                <w:rFonts w:ascii="Times New Roman" w:hAnsi="Times New Roman"/>
                <w:color w:val="333333"/>
                <w:sz w:val="18"/>
              </w:rPr>
              <w:t>Only takes about 24 players total; one location; not designed for the average player</w:t>
            </w:r>
          </w:p>
        </w:tc>
        <w:tc>
          <w:tcPr>
            <w:tcW w:type="dxa" w:w="2340"/>
          </w:tcPr>
          <w:p>
            <w:r/>
            <w:r>
              <w:rPr>
                <w:rFonts w:ascii="Times New Roman" w:hAnsi="Times New Roman"/>
                <w:color w:val="333333"/>
                <w:sz w:val="18"/>
              </w:rPr>
              <w:t>Niche/Elite</w:t>
            </w:r>
          </w:p>
        </w:tc>
      </w:tr>
      <w:tr>
        <w:tc>
          <w:tcPr>
            <w:tcW w:type="dxa" w:w="2340"/>
            <w:shd w:fill="FFF3E6" w:val="clear"/>
          </w:tcPr>
          <w:p>
            <w:r/>
            <w:r>
              <w:rPr>
                <w:rFonts w:ascii="Times New Roman" w:hAnsi="Times New Roman"/>
                <w:color w:val="333333"/>
                <w:sz w:val="18"/>
              </w:rPr>
              <w:t>Stepanova Basketball</w:t>
              <w:br/>
              <w:t>Academy</w:t>
            </w:r>
          </w:p>
        </w:tc>
        <w:tc>
          <w:tcPr>
            <w:tcW w:type="dxa" w:w="2340"/>
            <w:shd w:fill="FFF3E6" w:val="clear"/>
          </w:tcPr>
          <w:p>
            <w:r/>
            <w:r>
              <w:rPr>
                <w:rFonts w:ascii="Times New Roman" w:hAnsi="Times New Roman"/>
                <w:color w:val="333333"/>
                <w:sz w:val="18"/>
              </w:rPr>
              <w:t>Has an established local presence; affordable pricing; focuses on grassroots</w:t>
            </w:r>
          </w:p>
        </w:tc>
        <w:tc>
          <w:tcPr>
            <w:tcW w:type="dxa" w:w="2340"/>
            <w:shd w:fill="FFF3E6" w:val="clear"/>
          </w:tcPr>
          <w:p>
            <w:r/>
            <w:r>
              <w:rPr>
                <w:rFonts w:ascii="Times New Roman" w:hAnsi="Times New Roman"/>
                <w:color w:val="333333"/>
                <w:sz w:val="18"/>
              </w:rPr>
              <w:t>Facilities are limited; no digital component; coaching quality varies a lot</w:t>
            </w:r>
          </w:p>
        </w:tc>
        <w:tc>
          <w:tcPr>
            <w:tcW w:type="dxa" w:w="2340"/>
            <w:shd w:fill="FFF3E6" w:val="clear"/>
          </w:tcPr>
          <w:p>
            <w:r/>
            <w:r>
              <w:rPr>
                <w:rFonts w:ascii="Times New Roman" w:hAnsi="Times New Roman"/>
                <w:color w:val="333333"/>
                <w:sz w:val="18"/>
              </w:rPr>
              <w:t>Local/Grassroots</w:t>
            </w:r>
          </w:p>
        </w:tc>
      </w:tr>
      <w:tr>
        <w:tc>
          <w:tcPr>
            <w:tcW w:type="dxa" w:w="2340"/>
          </w:tcPr>
          <w:p>
            <w:r/>
            <w:r>
              <w:rPr>
                <w:rFonts w:ascii="Times New Roman" w:hAnsi="Times New Roman"/>
                <w:color w:val="333333"/>
                <w:sz w:val="18"/>
              </w:rPr>
              <w:t>Local Municipal</w:t>
              <w:br/>
              <w:t>Programs</w:t>
            </w:r>
          </w:p>
        </w:tc>
        <w:tc>
          <w:tcPr>
            <w:tcW w:type="dxa" w:w="2340"/>
          </w:tcPr>
          <w:p>
            <w:r/>
            <w:r>
              <w:rPr>
                <w:rFonts w:ascii="Times New Roman" w:hAnsi="Times New Roman"/>
                <w:color w:val="333333"/>
                <w:sz w:val="18"/>
              </w:rPr>
              <w:t>Free or almost free; backed by government; available in many cities</w:t>
            </w:r>
          </w:p>
        </w:tc>
        <w:tc>
          <w:tcPr>
            <w:tcW w:type="dxa" w:w="2340"/>
          </w:tcPr>
          <w:p>
            <w:r/>
            <w:r>
              <w:rPr>
                <w:rFonts w:ascii="Times New Roman" w:hAnsi="Times New Roman"/>
                <w:color w:val="333333"/>
                <w:sz w:val="18"/>
              </w:rPr>
              <w:t>Run-down facilities; coaches often have no formal training; no real curriculum</w:t>
            </w:r>
          </w:p>
        </w:tc>
        <w:tc>
          <w:tcPr>
            <w:tcW w:type="dxa" w:w="2340"/>
          </w:tcPr>
          <w:p>
            <w:r/>
            <w:r>
              <w:rPr>
                <w:rFonts w:ascii="Times New Roman" w:hAnsi="Times New Roman"/>
                <w:color w:val="333333"/>
                <w:sz w:val="18"/>
              </w:rPr>
              <w:t>Mass/Basic</w:t>
            </w:r>
          </w:p>
        </w:tc>
      </w:tr>
      <w:tr>
        <w:tc>
          <w:tcPr>
            <w:tcW w:type="dxa" w:w="2340"/>
            <w:shd w:fill="FFF3E6" w:val="clear"/>
          </w:tcPr>
          <w:p>
            <w:r/>
            <w:r>
              <w:rPr>
                <w:rFonts w:ascii="Times New Roman" w:hAnsi="Times New Roman"/>
                <w:color w:val="333333"/>
                <w:sz w:val="18"/>
              </w:rPr>
              <w:t>International Apps</w:t>
              <w:br/>
              <w:t>(HomeCourt, etc.)</w:t>
            </w:r>
          </w:p>
        </w:tc>
        <w:tc>
          <w:tcPr>
            <w:tcW w:type="dxa" w:w="2340"/>
            <w:shd w:fill="FFF3E6" w:val="clear"/>
          </w:tcPr>
          <w:p>
            <w:r/>
            <w:r>
              <w:rPr>
                <w:rFonts w:ascii="Times New Roman" w:hAnsi="Times New Roman"/>
                <w:color w:val="333333"/>
                <w:sz w:val="18"/>
              </w:rPr>
              <w:t>Cutting-edge tech; AI-driven feedback; large global user base</w:t>
            </w:r>
          </w:p>
        </w:tc>
        <w:tc>
          <w:tcPr>
            <w:tcW w:type="dxa" w:w="2340"/>
            <w:shd w:fill="FFF3E6" w:val="clear"/>
          </w:tcPr>
          <w:p>
            <w:r/>
            <w:r>
              <w:rPr>
                <w:rFonts w:ascii="Times New Roman" w:hAnsi="Times New Roman"/>
                <w:color w:val="333333"/>
                <w:sz w:val="18"/>
              </w:rPr>
              <w:t>No physical presence in India; English-only; not built for the Indian context</w:t>
            </w:r>
          </w:p>
        </w:tc>
        <w:tc>
          <w:tcPr>
            <w:tcW w:type="dxa" w:w="2340"/>
            <w:shd w:fill="FFF3E6" w:val="clear"/>
          </w:tcPr>
          <w:p>
            <w:r/>
            <w:r>
              <w:rPr>
                <w:rFonts w:ascii="Times New Roman" w:hAnsi="Times New Roman"/>
                <w:color w:val="333333"/>
                <w:sz w:val="18"/>
              </w:rPr>
              <w:t>Digital/Global</w:t>
            </w:r>
          </w:p>
        </w:tc>
      </w:tr>
    </w:tbl>
    <w:p>
      <w:pPr>
        <w:spacing w:after="120" w:before="0"/>
        <w:jc w:val="left"/>
      </w:pPr>
      <w:r>
        <w:rPr>
          <w:rFonts w:ascii="Times New Roman" w:hAnsi="Times New Roman"/>
          <w:b w:val="0"/>
          <w:color w:val="333333"/>
          <w:sz w:val="12"/>
        </w:rPr>
      </w:r>
    </w:p>
    <w:p>
      <w:pPr>
        <w:spacing w:after="120" w:before="240"/>
        <w:jc w:val="left"/>
      </w:pPr>
      <w:r>
        <w:rPr>
          <w:rFonts w:ascii="Times New Roman" w:hAnsi="Times New Roman"/>
          <w:b/>
          <w:color w:val="333333"/>
          <w:sz w:val="26"/>
        </w:rPr>
        <w:t>Competitive Differentiation</w:t>
      </w:r>
    </w:p>
    <w:p>
      <w:pPr>
        <w:spacing w:after="120" w:before="0"/>
        <w:ind w:firstLine="720"/>
        <w:jc w:val="left"/>
      </w:pPr>
      <w:r>
        <w:rPr>
          <w:rFonts w:ascii="Times New Roman" w:hAnsi="Times New Roman"/>
          <w:b w:val="0"/>
          <w:color w:val="333333"/>
          <w:sz w:val="24"/>
        </w:rPr>
        <w:t>The key thing that sets HoopRise apart is our hybrid model, which nobody else in the Indian market is doing right now. The NBA Academy is elite but inaccessible. Local programs are accessible but low quality. International apps have great tech but zero local relevance. We sit right in the sweet spot—premium quality that is still accessible to a wide audience. Here is what specifically sets us apart:</w:t>
      </w:r>
    </w:p>
    <w:p>
      <w:pPr>
        <w:pStyle w:val="ListBullet"/>
        <w:spacing w:after="60" w:before="20"/>
        <w:ind w:left="720"/>
      </w:pPr>
      <w:r>
        <w:rPr>
          <w:rFonts w:ascii="Times New Roman" w:hAnsi="Times New Roman"/>
          <w:color w:val="333333"/>
          <w:sz w:val="24"/>
        </w:rPr>
        <w:t>Hybrid Physical-Digital Model: Players get in-person training at our academies plus a full mobile app experience, so their development does not stop when they leave the court.</w:t>
      </w:r>
    </w:p>
    <w:p>
      <w:pPr>
        <w:pStyle w:val="ListBullet"/>
        <w:spacing w:after="60" w:before="20"/>
        <w:ind w:left="720"/>
      </w:pPr>
      <w:r>
        <w:rPr>
          <w:rFonts w:ascii="Times New Roman" w:hAnsi="Times New Roman"/>
          <w:color w:val="333333"/>
          <w:sz w:val="24"/>
        </w:rPr>
        <w:t>Data-Driven Development: Our AI-powered performance tracking creates personalized training plans based on each player’s actual strengths and weaknesses, not a generic one-size-fits-all program.</w:t>
      </w:r>
    </w:p>
    <w:p>
      <w:pPr>
        <w:pStyle w:val="ListBullet"/>
        <w:spacing w:after="60" w:before="20"/>
        <w:ind w:left="720"/>
      </w:pPr>
      <w:r>
        <w:rPr>
          <w:rFonts w:ascii="Times New Roman" w:hAnsi="Times New Roman"/>
          <w:color w:val="333333"/>
          <w:sz w:val="24"/>
        </w:rPr>
        <w:t>Tiered Pricing: We are building in scholarship programs and subsidized digital access from the start. Talent should not be gated by income.</w:t>
      </w:r>
    </w:p>
    <w:p>
      <w:pPr>
        <w:pStyle w:val="ListBullet"/>
        <w:spacing w:after="60" w:before="20"/>
        <w:ind w:left="720"/>
      </w:pPr>
      <w:r>
        <w:rPr>
          <w:rFonts w:ascii="Times New Roman" w:hAnsi="Times New Roman"/>
          <w:color w:val="333333"/>
          <w:sz w:val="24"/>
        </w:rPr>
        <w:t>Multilingual Platform: All training content will be available in Hindi, English, Tamil, Kannada, and Marathi at launch, because a kid in Bangalore should not have to train in a language they are not comfortable in.</w:t>
      </w:r>
    </w:p>
    <w:p>
      <w:pPr>
        <w:pStyle w:val="ListBullet"/>
        <w:spacing w:after="60" w:before="20"/>
        <w:ind w:left="720"/>
      </w:pPr>
      <w:r>
        <w:rPr>
          <w:rFonts w:ascii="Times New Roman" w:hAnsi="Times New Roman"/>
          <w:color w:val="333333"/>
          <w:sz w:val="24"/>
        </w:rPr>
        <w:t>Clear Pathway to Professional Play: We are establishing direct relationships with international college programs and professional leagues so that players can see a real future in basketball, not just a hobby.</w:t>
      </w:r>
    </w:p>
    <w:p>
      <w:r>
        <w:br w:type="page"/>
      </w:r>
    </w:p>
    <w:p>
      <w:pPr>
        <w:spacing w:after="160" w:before="360"/>
        <w:jc w:val="left"/>
      </w:pPr>
      <w:r>
        <w:rPr>
          <w:rFonts w:ascii="Times New Roman" w:hAnsi="Times New Roman"/>
          <w:b/>
          <w:color w:val="E86C00"/>
          <w:sz w:val="32"/>
        </w:rPr>
        <w:t>Cultural Considerations</w:t>
      </w:r>
    </w:p>
    <w:p>
      <w:pPr>
        <w:spacing w:after="120" w:before="240"/>
        <w:jc w:val="left"/>
      </w:pPr>
      <w:r>
        <w:rPr>
          <w:rFonts w:ascii="Times New Roman" w:hAnsi="Times New Roman"/>
          <w:b/>
          <w:color w:val="333333"/>
          <w:sz w:val="26"/>
        </w:rPr>
        <w:t>Family-Centric Decision Making</w:t>
      </w:r>
    </w:p>
    <w:p>
      <w:pPr>
        <w:spacing w:after="120" w:before="0"/>
        <w:ind w:firstLine="720"/>
        <w:jc w:val="left"/>
      </w:pPr>
      <w:r>
        <w:rPr>
          <w:rFonts w:ascii="Times New Roman" w:hAnsi="Times New Roman"/>
          <w:b w:val="0"/>
          <w:color w:val="333333"/>
          <w:sz w:val="24"/>
        </w:rPr>
        <w:t>In India, parents and often even extended family are the decision makers when it comes to a child’s extracurricular activities. You cannot just market to the kid; you have to win over the family. That is why our marketing and enrollment strategies will speak directly to parental priorities. Every piece of promotional content will emphasize the character-building side of basketball—discipline, time management, teamwork, leadership—because those are the qualities that resonate with Indian parents. We will also hold regular open-house events, parent orientation sessions, and send out quarterly progress reports so families feel genuinely involved in their child’s development. The enrollment process will treat parents as partners in the journey, not just people writing checks.</w:t>
      </w:r>
    </w:p>
    <w:p>
      <w:pPr>
        <w:spacing w:after="120" w:before="240"/>
        <w:jc w:val="left"/>
      </w:pPr>
      <w:r>
        <w:rPr>
          <w:rFonts w:ascii="Times New Roman" w:hAnsi="Times New Roman"/>
          <w:b/>
          <w:color w:val="333333"/>
          <w:sz w:val="26"/>
        </w:rPr>
        <w:t>Education-First Culture</w:t>
      </w:r>
    </w:p>
    <w:p>
      <w:pPr>
        <w:spacing w:after="120" w:before="0"/>
        <w:ind w:firstLine="720"/>
        <w:jc w:val="left"/>
      </w:pPr>
      <w:r>
        <w:rPr>
          <w:rFonts w:ascii="Times New Roman" w:hAnsi="Times New Roman"/>
          <w:b w:val="0"/>
          <w:color w:val="333333"/>
          <w:sz w:val="24"/>
        </w:rPr>
        <w:t>Academics come first in Indian culture, and any sports venture that ignores that reality is going to fail. We are not fighting that; we are working with it. All training sessions will be scheduled around school hours, and during board exam seasons (March–April and October–November), we will offer flexible and reduced schedules so students are not forced to choose between studying and training. A big part of our pitch to families will be the scholarship angle—we will highlight players who earned spots at international universities through basketball, showing parents that this is actually complementary to their child’s education, not competing with it. We even plan to have study spaces inside each academy facility so that kids can get homework done before or after practice.</w:t>
      </w:r>
    </w:p>
    <w:p>
      <w:pPr>
        <w:spacing w:after="120" w:before="240"/>
        <w:jc w:val="left"/>
      </w:pPr>
      <w:r>
        <w:rPr>
          <w:rFonts w:ascii="Times New Roman" w:hAnsi="Times New Roman"/>
          <w:b/>
          <w:color w:val="333333"/>
          <w:sz w:val="26"/>
        </w:rPr>
        <w:t>Language and Regional Diversity</w:t>
      </w:r>
    </w:p>
    <w:p>
      <w:pPr>
        <w:spacing w:after="120" w:before="0"/>
        <w:ind w:firstLine="720"/>
        <w:jc w:val="left"/>
      </w:pPr>
      <w:r>
        <w:rPr>
          <w:rFonts w:ascii="Times New Roman" w:hAnsi="Times New Roman"/>
          <w:b w:val="0"/>
          <w:color w:val="333333"/>
          <w:sz w:val="24"/>
        </w:rPr>
        <w:t>India has 22 officially recognized languages and hundreds of dialects, which means operating in English alone is not going to cut it. At each academy, coaching will be bilingual—English paired with the dominant local language (Hindi in Delhi, Marathi in Mumbai, Kannada in Bangalore). The app will launch with content in five languages, and we will add more based on what users are asking for. Our marketing will also be localized beyond just language; we will use region-specific cultural references and sports analogies that actually connect with people in each city rather than running the same generic national campaign everywhere.</w:t>
      </w:r>
    </w:p>
    <w:p>
      <w:pPr>
        <w:spacing w:after="120" w:before="240"/>
        <w:jc w:val="left"/>
      </w:pPr>
      <w:r>
        <w:rPr>
          <w:rFonts w:ascii="Times New Roman" w:hAnsi="Times New Roman"/>
          <w:b/>
          <w:color w:val="333333"/>
          <w:sz w:val="26"/>
        </w:rPr>
        <w:t>Religious and Festival Sensitivity</w:t>
      </w:r>
    </w:p>
    <w:p>
      <w:pPr>
        <w:spacing w:after="120" w:before="0"/>
        <w:ind w:firstLine="720"/>
        <w:jc w:val="left"/>
      </w:pPr>
      <w:r>
        <w:rPr>
          <w:rFonts w:ascii="Times New Roman" w:hAnsi="Times New Roman"/>
          <w:b w:val="0"/>
          <w:color w:val="333333"/>
          <w:sz w:val="24"/>
        </w:rPr>
        <w:t>India is one of the most religiously diverse countries in the world, and the calendar is packed with festivals—Diwali, Eid, Christmas, Pongal, Holi, Navratri, and many more. Rather than treating these as scheduling headaches, we plan to use them as opportunities. We will adjust schedules around major festivals, host themed basketball events during holiday seasons, and use celebrations as moments to bring together players from different backgrounds. The goal is to make the academy feel like a space where everyone belongs, and where diversity is something that gets celebrated, not just tolerated.</w:t>
      </w:r>
    </w:p>
    <w:p>
      <w:pPr>
        <w:spacing w:after="120" w:before="240"/>
        <w:jc w:val="left"/>
      </w:pPr>
      <w:r>
        <w:rPr>
          <w:rFonts w:ascii="Times New Roman" w:hAnsi="Times New Roman"/>
          <w:b/>
          <w:color w:val="333333"/>
          <w:sz w:val="26"/>
        </w:rPr>
        <w:t>Gender Considerations</w:t>
      </w:r>
    </w:p>
    <w:p>
      <w:pPr>
        <w:spacing w:after="120" w:before="0"/>
        <w:ind w:firstLine="720"/>
        <w:jc w:val="left"/>
      </w:pPr>
      <w:r>
        <w:rPr>
          <w:rFonts w:ascii="Times New Roman" w:hAnsi="Times New Roman"/>
          <w:b w:val="0"/>
          <w:color w:val="333333"/>
          <w:sz w:val="24"/>
        </w:rPr>
        <w:t>Women’s sports participation in urban India is growing fast, but there are still cultural sensitivities, especially when it comes to mixed-gender athletic settings for teenagers. We are going to address this head-on by offering dedicated girls-only training sessions led by female coaches. This makes it much easier for more conservative families to feel comfortable enrolling their daughters. Our marketing will also prominently feature female basketball role models and lean into the empowerment narrative, because honestly, the growth potential on the women’s side is enormous, and we do not want to leave half the market on the table just because we did not think about these dynamics early enough.</w:t>
      </w:r>
    </w:p>
    <w:p>
      <w:r>
        <w:br w:type="page"/>
      </w:r>
    </w:p>
    <w:p>
      <w:pPr>
        <w:spacing w:after="160" w:before="360"/>
        <w:jc w:val="left"/>
      </w:pPr>
      <w:r>
        <w:rPr>
          <w:rFonts w:ascii="Times New Roman" w:hAnsi="Times New Roman"/>
          <w:b/>
          <w:color w:val="E86C00"/>
          <w:sz w:val="32"/>
        </w:rPr>
        <w:t>Fundraising/Financing</w:t>
      </w:r>
    </w:p>
    <w:p>
      <w:pPr>
        <w:spacing w:after="120" w:before="0"/>
        <w:ind w:firstLine="720"/>
        <w:jc w:val="left"/>
      </w:pPr>
      <w:r>
        <w:rPr>
          <w:rFonts w:ascii="Times New Roman" w:hAnsi="Times New Roman"/>
          <w:b w:val="0"/>
          <w:color w:val="333333"/>
          <w:sz w:val="24"/>
        </w:rPr>
        <w:t>We estimate that HoopRise needs approximately $900,000 to get through launch and the first year of operations. Rather than relying on one big investor or a single funding source, we are spreading the risk across multiple channels. Here is how we plan to raise the capital.</w:t>
      </w:r>
    </w:p>
    <w:p>
      <w:pPr>
        <w:spacing w:after="120" w:before="240"/>
        <w:jc w:val="left"/>
      </w:pPr>
      <w:r>
        <w:rPr>
          <w:rFonts w:ascii="Times New Roman" w:hAnsi="Times New Roman"/>
          <w:b/>
          <w:color w:val="333333"/>
          <w:sz w:val="26"/>
        </w:rPr>
        <w:t>Angel Investors and Venture Capital</w:t>
      </w:r>
    </w:p>
    <w:p>
      <w:pPr>
        <w:spacing w:after="120" w:before="0"/>
        <w:ind w:firstLine="720"/>
        <w:jc w:val="left"/>
      </w:pPr>
      <w:r>
        <w:rPr>
          <w:rFonts w:ascii="Times New Roman" w:hAnsi="Times New Roman"/>
          <w:b w:val="0"/>
          <w:color w:val="333333"/>
          <w:sz w:val="24"/>
        </w:rPr>
        <w:t>India’s sports-tech investment scene has been heating up, with firms like Dream Sports, Blume Ventures, and Sequoia India actively looking for sports-related plays. Our plan is to target a seed round of around $400,000 from angel investors who have a track record in sports, education, or youth development. The pitch is straightforward: India has the demographics, the digital infrastructure, and the growing demand, but nobody has built a scalable hybrid training model yet. HoopRise is that model.</w:t>
      </w:r>
    </w:p>
    <w:p>
      <w:pPr>
        <w:spacing w:after="120" w:before="240"/>
        <w:jc w:val="left"/>
      </w:pPr>
      <w:r>
        <w:rPr>
          <w:rFonts w:ascii="Times New Roman" w:hAnsi="Times New Roman"/>
          <w:b/>
          <w:color w:val="333333"/>
          <w:sz w:val="26"/>
        </w:rPr>
        <w:t>Government Grants and Initiatives</w:t>
      </w:r>
    </w:p>
    <w:p>
      <w:pPr>
        <w:spacing w:after="120" w:before="0"/>
        <w:ind w:firstLine="720"/>
        <w:jc w:val="left"/>
      </w:pPr>
      <w:r>
        <w:rPr>
          <w:rFonts w:ascii="Times New Roman" w:hAnsi="Times New Roman"/>
          <w:b w:val="0"/>
          <w:color w:val="333333"/>
          <w:sz w:val="24"/>
        </w:rPr>
        <w:t>The Indian government’s Khelo India program and the Sports Authority of India (SAI) both offer grants and subsidies to organizations that develop sports infrastructure and increase grassroots participation. We plan to apply for accreditation as an official training center under these programs, which could bring in $100,000–$150,000 in direct grants and give us access to government sports facilities at subsidized rates. Each state—Maharashtra, Delhi, and Karnataka—has its own sports department with additional funding opportunities, so we will be applying at both the national and state levels.</w:t>
      </w:r>
    </w:p>
    <w:p>
      <w:pPr>
        <w:spacing w:after="120" w:before="240"/>
        <w:jc w:val="left"/>
      </w:pPr>
      <w:r>
        <w:rPr>
          <w:rFonts w:ascii="Times New Roman" w:hAnsi="Times New Roman"/>
          <w:b/>
          <w:color w:val="333333"/>
          <w:sz w:val="26"/>
        </w:rPr>
        <w:t>Corporate Sponsorships</w:t>
      </w:r>
    </w:p>
    <w:p>
      <w:pPr>
        <w:spacing w:after="120" w:before="0"/>
        <w:ind w:firstLine="720"/>
        <w:jc w:val="left"/>
      </w:pPr>
      <w:r>
        <w:rPr>
          <w:rFonts w:ascii="Times New Roman" w:hAnsi="Times New Roman"/>
          <w:b w:val="0"/>
          <w:color w:val="333333"/>
          <w:sz w:val="24"/>
        </w:rPr>
        <w:t>Here is something a lot of people do not realize about India: companies with profits above a certain threshold are legally required to spend 2% of their net profits on Corporate Social Responsibility (CSR) initiatives. Sports development and youth empowerment both qualify, which opens the door to sponsorship from major Indian corporations like the Tata Group, Reliance Industries, and Infosys. We are going to build tiered sponsorship packages ranging from $25,000 to $200,000, offering brand visibility across our facilities, our app, and our events. It is a win-win—they need to spend the money anyway, and we can offer them meaningful brand exposure in a growing space.</w:t>
      </w:r>
    </w:p>
    <w:p>
      <w:pPr>
        <w:spacing w:after="120" w:before="240"/>
        <w:jc w:val="left"/>
      </w:pPr>
      <w:r>
        <w:rPr>
          <w:rFonts w:ascii="Times New Roman" w:hAnsi="Times New Roman"/>
          <w:b/>
          <w:color w:val="333333"/>
          <w:sz w:val="26"/>
        </w:rPr>
        <w:t>Crowdfunding</w:t>
      </w:r>
    </w:p>
    <w:p>
      <w:pPr>
        <w:spacing w:after="120" w:before="0"/>
        <w:ind w:firstLine="720"/>
        <w:jc w:val="left"/>
      </w:pPr>
      <w:r>
        <w:rPr>
          <w:rFonts w:ascii="Times New Roman" w:hAnsi="Times New Roman"/>
          <w:b w:val="0"/>
          <w:color w:val="333333"/>
          <w:sz w:val="24"/>
        </w:rPr>
        <w:t>To supplement the larger funding sources, we plan to run a crowdfunding campaign on Ketto (India’s biggest crowdfunding platform) and Kickstarter with a target of $50,000–$75,000. Beyond the money, this is really about building a community from day one. The campaign will lean into the social impact story—democratizing basketball access for kids who would never otherwise get quality coaching—and backers will get rewards like discounted memberships, exclusive merchandise, and early access to the app.</w:t>
      </w:r>
    </w:p>
    <w:p>
      <w:r>
        <w:br w:type="page"/>
      </w:r>
    </w:p>
    <w:p>
      <w:pPr>
        <w:spacing w:after="160" w:before="360"/>
        <w:jc w:val="left"/>
      </w:pPr>
      <w:r>
        <w:rPr>
          <w:rFonts w:ascii="Times New Roman" w:hAnsi="Times New Roman"/>
          <w:b/>
          <w:color w:val="E86C00"/>
          <w:sz w:val="32"/>
        </w:rPr>
        <w:t>Promotional Strategies</w:t>
      </w:r>
    </w:p>
    <w:p>
      <w:pPr>
        <w:spacing w:after="120" w:before="240"/>
        <w:jc w:val="left"/>
      </w:pPr>
      <w:r>
        <w:rPr>
          <w:rFonts w:ascii="Times New Roman" w:hAnsi="Times New Roman"/>
          <w:b/>
          <w:color w:val="333333"/>
          <w:sz w:val="26"/>
        </w:rPr>
        <w:t>Digital Marketing Campaigns</w:t>
      </w:r>
    </w:p>
    <w:p>
      <w:pPr>
        <w:spacing w:after="120" w:before="0"/>
        <w:ind w:firstLine="720"/>
        <w:jc w:val="left"/>
      </w:pPr>
      <w:r>
        <w:rPr>
          <w:rFonts w:ascii="Times New Roman" w:hAnsi="Times New Roman"/>
          <w:b w:val="0"/>
          <w:color w:val="333333"/>
          <w:sz w:val="24"/>
        </w:rPr>
        <w:t>With over 800 million internet users in India, digital is obviously the primary channel. We will run targeted ad campaigns on Instagram, YouTube, and Facebook built around video content—training highlights, player transformation stories, and behind-the-scenes looks at academy life. YouTube pre-roll ads placed before NBA content is a no-brainer since that is exactly where our target audience already is. On the search side, we will invest in SEO and Google Ads targeting high-intent keywords like “basketball training India,” “basketball academy near me,” and “learn basketball.” We will also publish weekly blog posts and video tutorials to build organic traffic and position HoopRise as the go-to authority on basketball development in India.</w:t>
      </w:r>
    </w:p>
    <w:p>
      <w:pPr>
        <w:spacing w:after="120" w:before="240"/>
        <w:jc w:val="left"/>
      </w:pPr>
      <w:r>
        <w:rPr>
          <w:rFonts w:ascii="Times New Roman" w:hAnsi="Times New Roman"/>
          <w:b/>
          <w:color w:val="333333"/>
          <w:sz w:val="26"/>
        </w:rPr>
        <w:t>Influencer and Ambassador Partnerships</w:t>
      </w:r>
    </w:p>
    <w:p>
      <w:pPr>
        <w:spacing w:after="120" w:before="0"/>
        <w:ind w:firstLine="720"/>
        <w:jc w:val="left"/>
      </w:pPr>
      <w:r>
        <w:rPr>
          <w:rFonts w:ascii="Times New Roman" w:hAnsi="Times New Roman"/>
          <w:b w:val="0"/>
          <w:color w:val="333333"/>
          <w:sz w:val="24"/>
        </w:rPr>
        <w:t>We are going to partner with a mix of Indian basketball figures, fitness influencers, and youth-oriented content creators to get the word out. Top targets include Satnam Singh (the first Indian player ever drafted by an NBA team), Prachi Tehlan (former national team captain), and some of the bigger fitness YouTubers whose audiences overlap with our demographic. In each target city, we will also work with local micro-influencers who have real credibility in their communities. These partnerships will involve content creation, appearances at academy events, and social media collaborations—all designed to give us authentic visibility rather than feeling like generic advertising.</w:t>
      </w:r>
    </w:p>
    <w:p>
      <w:pPr>
        <w:spacing w:after="120" w:before="240"/>
        <w:jc w:val="left"/>
      </w:pPr>
      <w:r>
        <w:rPr>
          <w:rFonts w:ascii="Times New Roman" w:hAnsi="Times New Roman"/>
          <w:b/>
          <w:color w:val="333333"/>
          <w:sz w:val="26"/>
        </w:rPr>
        <w:t>School and University Outreach</w:t>
      </w:r>
    </w:p>
    <w:p>
      <w:pPr>
        <w:spacing w:after="120" w:before="0"/>
        <w:ind w:firstLine="720"/>
        <w:jc w:val="left"/>
      </w:pPr>
      <w:r>
        <w:rPr>
          <w:rFonts w:ascii="Times New Roman" w:hAnsi="Times New Roman"/>
          <w:b w:val="0"/>
          <w:color w:val="333333"/>
          <w:sz w:val="24"/>
        </w:rPr>
        <w:t>Getting into schools is one of our biggest enrollment drivers. We plan to partner with major school networks to offer free introductory basketball clinics, donate equipment to schools that start basketball programs, and sponsor inter-school tournaments. On the university side, we want to become the preferred training partner for college basketball teams by offering group training packages and giving teams access to our digital platform for performance analysis. This approach puts us in front of our exact target audience in an environment where they are already open to learning new things.</w:t>
      </w:r>
    </w:p>
    <w:p>
      <w:pPr>
        <w:spacing w:after="120" w:before="240"/>
        <w:jc w:val="left"/>
      </w:pPr>
      <w:r>
        <w:rPr>
          <w:rFonts w:ascii="Times New Roman" w:hAnsi="Times New Roman"/>
          <w:b/>
          <w:color w:val="333333"/>
          <w:sz w:val="26"/>
        </w:rPr>
        <w:t>Event Sponsorships and Community Engagement</w:t>
      </w:r>
    </w:p>
    <w:p>
      <w:pPr>
        <w:spacing w:after="120" w:before="0"/>
        <w:ind w:firstLine="720"/>
        <w:jc w:val="left"/>
      </w:pPr>
      <w:r>
        <w:rPr>
          <w:rFonts w:ascii="Times New Roman" w:hAnsi="Times New Roman"/>
          <w:b w:val="0"/>
          <w:color w:val="333333"/>
          <w:sz w:val="24"/>
        </w:rPr>
        <w:t>Nothing builds a brand like real-world experiences. We will organize three-on-three street tournaments, holiday basketball camps, and viewing parties during major NBA events like the Finals and All-Star Weekend. These events let potential customers experience our coaching quality firsthand and get a feel for the HoopRise community. We also plan to host an annual “HoopRise Rising Stars Challenge” that will generate media coverage, drive social media engagement, and over time become a marquee event in India’s basketball calendar. The point is to make HoopRise synonymous with basketball culture in India, not just another training program.</w:t>
      </w:r>
    </w:p>
    <w:p>
      <w:r>
        <w:br w:type="page"/>
      </w:r>
    </w:p>
    <w:p>
      <w:pPr>
        <w:spacing w:after="160" w:before="360"/>
        <w:jc w:val="left"/>
      </w:pPr>
      <w:r>
        <w:rPr>
          <w:rFonts w:ascii="Times New Roman" w:hAnsi="Times New Roman"/>
          <w:b/>
          <w:color w:val="E86C00"/>
          <w:sz w:val="32"/>
        </w:rPr>
        <w:t>Anticipated Budget</w:t>
      </w:r>
    </w:p>
    <w:p>
      <w:pPr>
        <w:spacing w:after="120" w:before="0"/>
        <w:ind w:firstLine="720"/>
        <w:jc w:val="left"/>
      </w:pPr>
      <w:r>
        <w:rPr>
          <w:rFonts w:ascii="Times New Roman" w:hAnsi="Times New Roman"/>
          <w:b w:val="0"/>
          <w:color w:val="333333"/>
          <w:sz w:val="24"/>
        </w:rPr>
        <w:t>Below is our three-year financial projection. Year 1 is all about getting set up and launching. Year 2 is focused on growth and gaining traction. By Year 3, we are scaling and hitting profitability.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Category</w:t>
            </w:r>
          </w:p>
        </w:tc>
        <w:tc>
          <w:tcPr>
            <w:tcW w:type="dxa" w:w="2340"/>
            <w:shd w:fill="E86C00" w:val="clear"/>
          </w:tcPr>
          <w:p>
            <w:pPr>
              <w:jc w:val="center"/>
            </w:pPr>
            <w:r/>
            <w:r>
              <w:rPr>
                <w:rFonts w:ascii="Times New Roman" w:hAnsi="Times New Roman"/>
                <w:b/>
                <w:color w:val="FFFFFF"/>
                <w:sz w:val="20"/>
              </w:rPr>
              <w:t>Year 1 (USD)</w:t>
            </w:r>
          </w:p>
        </w:tc>
        <w:tc>
          <w:tcPr>
            <w:tcW w:type="dxa" w:w="2340"/>
            <w:shd w:fill="E86C00" w:val="clear"/>
          </w:tcPr>
          <w:p>
            <w:pPr>
              <w:jc w:val="center"/>
            </w:pPr>
            <w:r/>
            <w:r>
              <w:rPr>
                <w:rFonts w:ascii="Times New Roman" w:hAnsi="Times New Roman"/>
                <w:b/>
                <w:color w:val="FFFFFF"/>
                <w:sz w:val="20"/>
              </w:rPr>
              <w:t>Year 2 (USD)</w:t>
            </w:r>
          </w:p>
        </w:tc>
        <w:tc>
          <w:tcPr>
            <w:tcW w:type="dxa" w:w="2340"/>
            <w:shd w:fill="E86C00"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Facility Lease &amp; Renovation</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$140,000</w:t>
            </w:r>
          </w:p>
        </w:tc>
        <w:tc>
          <w:tcPr>
            <w:tcW w:type="dxa" w:w="2340"/>
          </w:tcPr>
          <w:p>
            <w:pPr>
              <w:jc w:val="right"/>
            </w:pPr>
            <w:r/>
            <w:r>
              <w:rPr>
                <w:rFonts w:ascii="Times New Roman" w:hAnsi="Times New Roman"/>
                <w:color w:val="333333"/>
                <w:sz w:val="20"/>
              </w:rPr>
              <w:t>$120,000</w:t>
            </w:r>
          </w:p>
        </w:tc>
      </w:tr>
      <w:tr>
        <w:tc>
          <w:tcPr>
            <w:tcW w:type="dxa" w:w="2340"/>
            <w:shd w:fill="FFF3E6" w:val="clear"/>
          </w:tcPr>
          <w:p>
            <w:r/>
            <w:r>
              <w:rPr>
                <w:rFonts w:ascii="Times New Roman" w:hAnsi="Times New Roman"/>
                <w:color w:val="333333"/>
                <w:sz w:val="20"/>
              </w:rPr>
              <w:t>Equipment &amp; Technology</w:t>
            </w:r>
          </w:p>
        </w:tc>
        <w:tc>
          <w:tcPr>
            <w:tcW w:type="dxa" w:w="2340"/>
            <w:shd w:fill="FFF3E6" w:val="clear"/>
          </w:tcPr>
          <w:p>
            <w:pPr>
              <w:jc w:val="right"/>
            </w:pPr>
            <w:r/>
            <w:r>
              <w:rPr>
                <w:rFonts w:ascii="Times New Roman" w:hAnsi="Times New Roman"/>
                <w:color w:val="333333"/>
                <w:sz w:val="20"/>
              </w:rPr>
              <w:t>$95,000</w:t>
            </w:r>
          </w:p>
        </w:tc>
        <w:tc>
          <w:tcPr>
            <w:tcW w:type="dxa" w:w="2340"/>
            <w:shd w:fill="FFF3E6" w:val="clear"/>
          </w:tcPr>
          <w:p>
            <w:pPr>
              <w:jc w:val="right"/>
            </w:pPr>
            <w:r/>
            <w:r>
              <w:rPr>
                <w:rFonts w:ascii="Times New Roman" w:hAnsi="Times New Roman"/>
                <w:color w:val="333333"/>
                <w:sz w:val="20"/>
              </w:rPr>
              <w:t>$60,000</w:t>
            </w:r>
          </w:p>
        </w:tc>
        <w:tc>
          <w:tcPr>
            <w:tcW w:type="dxa" w:w="2340"/>
            <w:shd w:fill="FFF3E6" w:val="clear"/>
          </w:tcPr>
          <w:p>
            <w:pPr>
              <w:jc w:val="right"/>
            </w:pPr>
            <w:r/>
            <w:r>
              <w:rPr>
                <w:rFonts w:ascii="Times New Roman" w:hAnsi="Times New Roman"/>
                <w:color w:val="333333"/>
                <w:sz w:val="20"/>
              </w:rPr>
              <w:t>$45,000</w:t>
            </w:r>
          </w:p>
        </w:tc>
      </w:tr>
      <w:tr>
        <w:tc>
          <w:tcPr>
            <w:tcW w:type="dxa" w:w="2340"/>
          </w:tcPr>
          <w:p>
            <w:r/>
            <w:r>
              <w:rPr>
                <w:rFonts w:ascii="Times New Roman" w:hAnsi="Times New Roman"/>
                <w:color w:val="333333"/>
                <w:sz w:val="20"/>
              </w:rPr>
              <w:t>Staff Salaries &amp; Training</w:t>
            </w:r>
          </w:p>
        </w:tc>
        <w:tc>
          <w:tcPr>
            <w:tcW w:type="dxa" w:w="2340"/>
          </w:tcPr>
          <w:p>
            <w:pPr>
              <w:jc w:val="right"/>
            </w:pPr>
            <w:r/>
            <w:r>
              <w:rPr>
                <w:rFonts w:ascii="Times New Roman" w:hAnsi="Times New Roman"/>
                <w:color w:val="333333"/>
                <w:sz w:val="20"/>
              </w:rPr>
              <w:t>$220,000</w:t>
            </w:r>
          </w:p>
        </w:tc>
        <w:tc>
          <w:tcPr>
            <w:tcW w:type="dxa" w:w="2340"/>
          </w:tcPr>
          <w:p>
            <w:pPr>
              <w:jc w:val="right"/>
            </w:pPr>
            <w:r/>
            <w:r>
              <w:rPr>
                <w:rFonts w:ascii="Times New Roman" w:hAnsi="Times New Roman"/>
                <w:color w:val="333333"/>
                <w:sz w:val="20"/>
              </w:rPr>
              <w:t>$310,000</w:t>
            </w:r>
          </w:p>
        </w:tc>
        <w:tc>
          <w:tcPr>
            <w:tcW w:type="dxa" w:w="2340"/>
          </w:tcPr>
          <w:p>
            <w:pPr>
              <w:jc w:val="right"/>
            </w:pPr>
            <w:r/>
            <w:r>
              <w:rPr>
                <w:rFonts w:ascii="Times New Roman" w:hAnsi="Times New Roman"/>
                <w:color w:val="333333"/>
                <w:sz w:val="20"/>
              </w:rPr>
              <w:t>$420,000</w:t>
            </w:r>
          </w:p>
        </w:tc>
      </w:tr>
      <w:tr>
        <w:tc>
          <w:tcPr>
            <w:tcW w:type="dxa" w:w="2340"/>
            <w:shd w:fill="FFF3E6" w:val="clear"/>
          </w:tcPr>
          <w:p>
            <w:r/>
            <w:r>
              <w:rPr>
                <w:rFonts w:ascii="Times New Roman" w:hAnsi="Times New Roman"/>
                <w:color w:val="333333"/>
                <w:sz w:val="20"/>
              </w:rPr>
              <w:t>Digital Platform Development</w:t>
            </w:r>
          </w:p>
        </w:tc>
        <w:tc>
          <w:tcPr>
            <w:tcW w:type="dxa" w:w="2340"/>
            <w:shd w:fill="FFF3E6" w:val="clear"/>
          </w:tcPr>
          <w:p>
            <w:pPr>
              <w:jc w:val="right"/>
            </w:pPr>
            <w:r/>
            <w:r>
              <w:rPr>
                <w:rFonts w:ascii="Times New Roman" w:hAnsi="Times New Roman"/>
                <w:color w:val="333333"/>
                <w:sz w:val="20"/>
              </w:rPr>
              <w:t>$150,000</w:t>
            </w:r>
          </w:p>
        </w:tc>
        <w:tc>
          <w:tcPr>
            <w:tcW w:type="dxa" w:w="2340"/>
            <w:shd w:fill="FFF3E6" w:val="clear"/>
          </w:tcPr>
          <w:p>
            <w:pPr>
              <w:jc w:val="right"/>
            </w:pPr>
            <w:r/>
            <w:r>
              <w:rPr>
                <w:rFonts w:ascii="Times New Roman" w:hAnsi="Times New Roman"/>
                <w:color w:val="333333"/>
                <w:sz w:val="20"/>
              </w:rPr>
              <w:t>$80,000</w:t>
            </w:r>
          </w:p>
        </w:tc>
        <w:tc>
          <w:tcPr>
            <w:tcW w:type="dxa" w:w="2340"/>
            <w:shd w:fill="FFF3E6" w:val="clear"/>
          </w:tcPr>
          <w:p>
            <w:pPr>
              <w:jc w:val="right"/>
            </w:pPr>
            <w:r/>
            <w:r>
              <w:rPr>
                <w:rFonts w:ascii="Times New Roman" w:hAnsi="Times New Roman"/>
                <w:color w:val="333333"/>
                <w:sz w:val="20"/>
              </w:rPr>
              <w:t>$60,000</w:t>
            </w:r>
          </w:p>
        </w:tc>
      </w:tr>
      <w:tr>
        <w:tc>
          <w:tcPr>
            <w:tcW w:type="dxa" w:w="2340"/>
          </w:tcPr>
          <w:p>
            <w:r/>
            <w:r>
              <w:rPr>
                <w:rFonts w:ascii="Times New Roman" w:hAnsi="Times New Roman"/>
                <w:color w:val="333333"/>
                <w:sz w:val="20"/>
              </w:rPr>
              <w:t>Marketing &amp; Promotion</w:t>
            </w:r>
          </w:p>
        </w:tc>
        <w:tc>
          <w:tcPr>
            <w:tcW w:type="dxa" w:w="2340"/>
          </w:tcPr>
          <w:p>
            <w:pPr>
              <w:jc w:val="right"/>
            </w:pPr>
            <w:r/>
            <w:r>
              <w:rPr>
                <w:rFonts w:ascii="Times New Roman" w:hAnsi="Times New Roman"/>
                <w:color w:val="333333"/>
                <w:sz w:val="20"/>
              </w:rPr>
              <w:t>$120,000</w:t>
            </w:r>
          </w:p>
        </w:tc>
        <w:tc>
          <w:tcPr>
            <w:tcW w:type="dxa" w:w="2340"/>
          </w:tcPr>
          <w:p>
            <w:pPr>
              <w:jc w:val="right"/>
            </w:pPr>
            <w:r/>
            <w:r>
              <w:rPr>
                <w:rFonts w:ascii="Times New Roman" w:hAnsi="Times New Roman"/>
                <w:color w:val="333333"/>
                <w:sz w:val="20"/>
              </w:rPr>
              <w:t>$160,000</w:t>
            </w:r>
          </w:p>
        </w:tc>
        <w:tc>
          <w:tcPr>
            <w:tcW w:type="dxa" w:w="2340"/>
          </w:tcPr>
          <w:p>
            <w:pPr>
              <w:jc w:val="right"/>
            </w:pPr>
            <w:r/>
            <w:r>
              <w:rPr>
                <w:rFonts w:ascii="Times New Roman" w:hAnsi="Times New Roman"/>
                <w:color w:val="333333"/>
                <w:sz w:val="20"/>
              </w:rPr>
              <w:t>$200,000</w:t>
            </w:r>
          </w:p>
        </w:tc>
      </w:tr>
      <w:tr>
        <w:tc>
          <w:tcPr>
            <w:tcW w:type="dxa" w:w="2340"/>
            <w:shd w:fill="FFF3E6" w:val="clear"/>
          </w:tcPr>
          <w:p>
            <w:r/>
            <w:r>
              <w:rPr>
                <w:rFonts w:ascii="Times New Roman" w:hAnsi="Times New Roman"/>
                <w:color w:val="333333"/>
                <w:sz w:val="20"/>
              </w:rPr>
              <w:t>Operations &amp; Administration</w:t>
            </w:r>
          </w:p>
        </w:tc>
        <w:tc>
          <w:tcPr>
            <w:tcW w:type="dxa" w:w="2340"/>
            <w:shd w:fill="FFF3E6" w:val="clear"/>
          </w:tcPr>
          <w:p>
            <w:pPr>
              <w:jc w:val="right"/>
            </w:pPr>
            <w:r/>
            <w:r>
              <w:rPr>
                <w:rFonts w:ascii="Times New Roman" w:hAnsi="Times New Roman"/>
                <w:color w:val="333333"/>
                <w:sz w:val="20"/>
              </w:rPr>
              <w:t>$85,000</w:t>
            </w:r>
          </w:p>
        </w:tc>
        <w:tc>
          <w:tcPr>
            <w:tcW w:type="dxa" w:w="2340"/>
            <w:shd w:fill="FFF3E6" w:val="clear"/>
          </w:tcPr>
          <w:p>
            <w:pPr>
              <w:jc w:val="right"/>
            </w:pPr>
            <w:r/>
            <w:r>
              <w:rPr>
                <w:rFonts w:ascii="Times New Roman" w:hAnsi="Times New Roman"/>
                <w:color w:val="333333"/>
                <w:sz w:val="20"/>
              </w:rPr>
              <w:t>$110,000</w:t>
            </w:r>
          </w:p>
        </w:tc>
        <w:tc>
          <w:tcPr>
            <w:tcW w:type="dxa" w:w="2340"/>
            <w:shd w:fill="FFF3E6" w:val="clear"/>
          </w:tcPr>
          <w:p>
            <w:pPr>
              <w:jc w:val="right"/>
            </w:pPr>
            <w:r/>
            <w:r>
              <w:rPr>
                <w:rFonts w:ascii="Times New Roman" w:hAnsi="Times New Roman"/>
                <w:color w:val="333333"/>
                <w:sz w:val="20"/>
              </w:rPr>
              <w:t>$140,000</w:t>
            </w:r>
          </w:p>
        </w:tc>
      </w:tr>
      <w:tr>
        <w:tc>
          <w:tcPr>
            <w:tcW w:type="dxa" w:w="2340"/>
          </w:tcPr>
          <w:p>
            <w:r/>
            <w:r>
              <w:rPr>
                <w:rFonts w:ascii="Times New Roman" w:hAnsi="Times New Roman"/>
                <w:color w:val="333333"/>
                <w:sz w:val="20"/>
              </w:rPr>
              <w:t>Contingency Fund</w:t>
            </w:r>
          </w:p>
        </w:tc>
        <w:tc>
          <w:tcPr>
            <w:tcW w:type="dxa" w:w="2340"/>
          </w:tcPr>
          <w:p>
            <w:pPr>
              <w:jc w:val="right"/>
            </w:pPr>
            <w:r/>
            <w:r>
              <w:rPr>
                <w:rFonts w:ascii="Times New Roman" w:hAnsi="Times New Roman"/>
                <w:color w:val="333333"/>
                <w:sz w:val="20"/>
              </w:rPr>
              <w:t>$50,000</w:t>
            </w:r>
          </w:p>
        </w:tc>
        <w:tc>
          <w:tcPr>
            <w:tcW w:type="dxa" w:w="2340"/>
          </w:tcPr>
          <w:p>
            <w:pPr>
              <w:jc w:val="right"/>
            </w:pPr>
            <w:r/>
            <w:r>
              <w:rPr>
                <w:rFonts w:ascii="Times New Roman" w:hAnsi="Times New Roman"/>
                <w:color w:val="333333"/>
                <w:sz w:val="20"/>
              </w:rPr>
              <w:t>$45,000</w:t>
            </w:r>
          </w:p>
        </w:tc>
        <w:tc>
          <w:tcPr>
            <w:tcW w:type="dxa" w:w="2340"/>
          </w:tcPr>
          <w:p>
            <w:pPr>
              <w:jc w:val="right"/>
            </w:pPr>
            <w:r/>
            <w:r>
              <w:rPr>
                <w:rFonts w:ascii="Times New Roman" w:hAnsi="Times New Roman"/>
                <w:color w:val="333333"/>
                <w:sz w:val="20"/>
              </w:rPr>
              <w:t>$40,000</w:t>
            </w:r>
          </w:p>
        </w:tc>
      </w:tr>
      <w:tr>
        <w:tc>
          <w:tcPr>
            <w:tcW w:type="dxa" w:w="2340"/>
            <w:shd w:fill="333333" w:val="clear"/>
          </w:tcPr>
          <w:p>
            <w:r/>
            <w:r>
              <w:rPr>
                <w:rFonts w:ascii="Times New Roman" w:hAnsi="Times New Roman"/>
                <w:b/>
                <w:color w:val="FFFFFF"/>
                <w:sz w:val="20"/>
              </w:rPr>
              <w:t>Total Expenses</w:t>
            </w:r>
          </w:p>
        </w:tc>
        <w:tc>
          <w:tcPr>
            <w:tcW w:type="dxa" w:w="2340"/>
            <w:shd w:fill="333333" w:val="clear"/>
          </w:tcPr>
          <w:p>
            <w:r/>
            <w:r>
              <w:rPr>
                <w:rFonts w:ascii="Times New Roman" w:hAnsi="Times New Roman"/>
                <w:b/>
                <w:color w:val="FFFFFF"/>
                <w:sz w:val="20"/>
              </w:rPr>
              <w:t>$900,000</w:t>
            </w:r>
          </w:p>
        </w:tc>
        <w:tc>
          <w:tcPr>
            <w:tcW w:type="dxa" w:w="2340"/>
            <w:shd w:fill="333333" w:val="clear"/>
          </w:tcPr>
          <w:p>
            <w:r/>
            <w:r>
              <w:rPr>
                <w:rFonts w:ascii="Times New Roman" w:hAnsi="Times New Roman"/>
                <w:b/>
                <w:color w:val="FFFFFF"/>
                <w:sz w:val="20"/>
              </w:rPr>
              <w:t>$905,000</w:t>
            </w:r>
          </w:p>
        </w:tc>
        <w:tc>
          <w:tcPr>
            <w:tcW w:type="dxa" w:w="2340"/>
            <w:shd w:fill="333333" w:val="clear"/>
          </w:tcPr>
          <w:p>
            <w:r/>
            <w:r>
              <w:rPr>
                <w:rFonts w:ascii="Times New Roman" w:hAnsi="Times New Roman"/>
                <w:b/>
                <w:color w:val="FFFFFF"/>
                <w:sz w:val="20"/>
              </w:rPr>
              <w:t>$1,025,000</w:t>
            </w:r>
          </w:p>
        </w:tc>
      </w:tr>
    </w:tbl>
    <w:p>
      <w:pPr>
        <w:spacing w:after="160" w:before="0"/>
        <w:jc w:val="left"/>
      </w:pPr>
      <w:r>
        <w:rPr>
          <w:rFonts w:ascii="Times New Roman" w:hAnsi="Times New Roman"/>
          <w:b w:val="0"/>
          <w:color w:val="333333"/>
          <w:sz w:val="16"/>
        </w:rPr>
      </w:r>
    </w:p>
    <w:p>
      <w:pPr>
        <w:spacing w:after="120" w:before="240"/>
        <w:jc w:val="left"/>
      </w:pPr>
      <w:r>
        <w:rPr>
          <w:rFonts w:ascii="Times New Roman" w:hAnsi="Times New Roman"/>
          <w:b/>
          <w:color w:val="333333"/>
          <w:sz w:val="26"/>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86AB" w:val="clear"/>
          </w:tcPr>
          <w:p>
            <w:pPr>
              <w:jc w:val="center"/>
            </w:pPr>
            <w:r/>
            <w:r>
              <w:rPr>
                <w:rFonts w:ascii="Times New Roman" w:hAnsi="Times New Roman"/>
                <w:b/>
                <w:color w:val="FFFFFF"/>
                <w:sz w:val="20"/>
              </w:rPr>
              <w:t>Revenue Stream</w:t>
            </w:r>
          </w:p>
        </w:tc>
        <w:tc>
          <w:tcPr>
            <w:tcW w:type="dxa" w:w="2340"/>
            <w:shd w:fill="2E86AB" w:val="clear"/>
          </w:tcPr>
          <w:p>
            <w:pPr>
              <w:jc w:val="center"/>
            </w:pPr>
            <w:r/>
            <w:r>
              <w:rPr>
                <w:rFonts w:ascii="Times New Roman" w:hAnsi="Times New Roman"/>
                <w:b/>
                <w:color w:val="FFFFFF"/>
                <w:sz w:val="20"/>
              </w:rPr>
              <w:t>Year 1 (USD)</w:t>
            </w:r>
          </w:p>
        </w:tc>
        <w:tc>
          <w:tcPr>
            <w:tcW w:type="dxa" w:w="2340"/>
            <w:shd w:fill="2E86AB" w:val="clear"/>
          </w:tcPr>
          <w:p>
            <w:pPr>
              <w:jc w:val="center"/>
            </w:pPr>
            <w:r/>
            <w:r>
              <w:rPr>
                <w:rFonts w:ascii="Times New Roman" w:hAnsi="Times New Roman"/>
                <w:b/>
                <w:color w:val="FFFFFF"/>
                <w:sz w:val="20"/>
              </w:rPr>
              <w:t>Year 2 (USD)</w:t>
            </w:r>
          </w:p>
        </w:tc>
        <w:tc>
          <w:tcPr>
            <w:tcW w:type="dxa" w:w="2340"/>
            <w:shd w:fill="2E86AB"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Academy Memberships</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$420,000</w:t>
            </w:r>
          </w:p>
        </w:tc>
        <w:tc>
          <w:tcPr>
            <w:tcW w:type="dxa" w:w="2340"/>
          </w:tcPr>
          <w:p>
            <w:pPr>
              <w:jc w:val="right"/>
            </w:pPr>
            <w:r/>
            <w:r>
              <w:rPr>
                <w:rFonts w:ascii="Times New Roman" w:hAnsi="Times New Roman"/>
                <w:color w:val="333333"/>
                <w:sz w:val="20"/>
              </w:rPr>
              <w:t>$720,000</w:t>
            </w:r>
          </w:p>
        </w:tc>
      </w:tr>
      <w:tr>
        <w:tc>
          <w:tcPr>
            <w:tcW w:type="dxa" w:w="2340"/>
            <w:shd w:fill="E6F4FA" w:val="clear"/>
          </w:tcPr>
          <w:p>
            <w:r/>
            <w:r>
              <w:rPr>
                <w:rFonts w:ascii="Times New Roman" w:hAnsi="Times New Roman"/>
                <w:color w:val="333333"/>
                <w:sz w:val="20"/>
              </w:rPr>
              <w:t>Digital Platform Subscriptions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$150,000</w:t>
            </w:r>
          </w:p>
        </w:tc>
        <w:tc>
          <w:tcPr>
            <w:tcW w:type="dxa" w:w="2340"/>
            <w:shd w:fill="E6F4FA" w:val="clear"/>
          </w:tcPr>
          <w:p>
            <w:pPr>
              <w:jc w:val="right"/>
            </w:pPr>
            <w:r/>
            <w:r>
              <w:rPr>
                <w:rFonts w:ascii="Times New Roman" w:hAnsi="Times New Roman"/>
                <w:color w:val="333333"/>
                <w:sz w:val="20"/>
              </w:rPr>
              <w:t>$380,000</w:t>
            </w:r>
          </w:p>
        </w:tc>
      </w:tr>
      <w:tr>
        <w:tc>
          <w:tcPr>
            <w:tcW w:type="dxa" w:w="2340"/>
          </w:tcPr>
          <w:p>
            <w:r/>
            <w:r>
              <w:rPr>
                <w:rFonts w:ascii="Times New Roman" w:hAnsi="Times New Roman"/>
                <w:color w:val="333333"/>
                <w:sz w:val="20"/>
              </w:rPr>
              <w:t>Corporate Programs &amp; Events</w:t>
            </w:r>
          </w:p>
        </w:tc>
        <w:tc>
          <w:tcPr>
            <w:tcW w:type="dxa" w:w="2340"/>
          </w:tcPr>
          <w:p>
            <w:pPr>
              <w:jc w:val="right"/>
            </w:pPr>
            <w:r/>
            <w:r>
              <w:rPr>
                <w:rFonts w:ascii="Times New Roman" w:hAnsi="Times New Roman"/>
                <w:color w:val="333333"/>
                <w:sz w:val="20"/>
              </w:rPr>
              <w:t>$60,000</w:t>
            </w:r>
          </w:p>
        </w:tc>
        <w:tc>
          <w:tcPr>
            <w:tcW w:type="dxa" w:w="2340"/>
          </w:tcPr>
          <w:p>
            <w:pPr>
              <w:jc w:val="right"/>
            </w:pPr>
            <w:r/>
            <w:r>
              <w:rPr>
                <w:rFonts w:ascii="Times New Roman" w:hAnsi="Times New Roman"/>
                <w:color w:val="333333"/>
                <w:sz w:val="20"/>
              </w:rPr>
              <w:t>$130,000</w:t>
            </w:r>
          </w:p>
        </w:tc>
        <w:tc>
          <w:tcPr>
            <w:tcW w:type="dxa" w:w="2340"/>
          </w:tcPr>
          <w:p>
            <w:pPr>
              <w:jc w:val="right"/>
            </w:pPr>
            <w:r/>
            <w:r>
              <w:rPr>
                <w:rFonts w:ascii="Times New Roman" w:hAnsi="Times New Roman"/>
                <w:color w:val="333333"/>
                <w:sz w:val="20"/>
              </w:rPr>
              <w:t>$230,000</w:t>
            </w:r>
          </w:p>
        </w:tc>
      </w:tr>
      <w:tr>
        <w:tc>
          <w:tcPr>
            <w:tcW w:type="dxa" w:w="2340"/>
            <w:shd w:fill="E6F4FA" w:val="clear"/>
          </w:tcPr>
          <w:p>
            <w:r/>
            <w:r>
              <w:rPr>
                <w:rFonts w:ascii="Times New Roman" w:hAnsi="Times New Roman"/>
                <w:color w:val="333333"/>
                <w:sz w:val="20"/>
              </w:rPr>
              <w:t>Sponsorship &amp; Partnerships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$80,000</w:t>
            </w:r>
          </w:p>
        </w:tc>
        <w:tc>
          <w:tcPr>
            <w:tcW w:type="dxa" w:w="2340"/>
            <w:shd w:fill="E6F4FA" w:val="clear"/>
          </w:tcPr>
          <w:p>
            <w:pPr>
              <w:jc w:val="right"/>
            </w:pPr>
            <w:r/>
            <w:r>
              <w:rPr>
                <w:rFonts w:ascii="Times New Roman" w:hAnsi="Times New Roman"/>
                <w:color w:val="333333"/>
                <w:sz w:val="20"/>
              </w:rPr>
              <w:t>$120,000</w:t>
            </w:r>
          </w:p>
        </w:tc>
      </w:tr>
    </w:tbl>
    <w:p>
      <w:pPr>
        <w:spacing w:after="80" w:before="0"/>
        <w:jc w:val="left"/>
      </w:pPr>
      <w:r>
        <w:rPr>
          <w:rFonts w:ascii="Times New Roman" w:hAnsi="Times New Roman"/>
          <w:b w:val="0"/>
          <w:color w:val="333333"/>
          <w:sz w:val="12"/>
        </w:rPr>
      </w:r>
    </w:p>
    <w:p>
      <w:pPr>
        <w:spacing w:after="120" w:before="0"/>
        <w:ind w:firstLine="720"/>
        <w:jc w:val="left"/>
      </w:pPr>
      <w:r>
        <w:rPr>
          <w:rFonts w:ascii="Times New Roman" w:hAnsi="Times New Roman"/>
          <w:b w:val="0"/>
          <w:color w:val="333333"/>
          <w:sz w:val="24"/>
        </w:rPr>
        <w:t>The numbers tell a clear story. Year 1 is a net loss as we invest heavily in setup, but revenue ramps quickly. By the second half of Year 2, we cross into profitability, with the break-even point coming at roughly 18 months post-launch. Year 3 revenue of $1.45 million against $1.025 million in expenses gives us a healthy margin, and that is before factoring in the potential for geographic expansion. The digital platform is the real growth engine here—it scales without the overhead of additional physical locations.</w:t>
      </w:r>
    </w:p>
    <w:p>
      <w:pPr>
        <w:spacing w:after="40" w:before="0"/>
        <w:jc w:val="left"/>
      </w:pPr>
      <w:r>
        <w:rPr>
          <w:rFonts w:ascii="Times New Roman" w:hAnsi="Times New Roman"/>
          <w:b w:val="0"/>
          <w:color w:val="333333"/>
          <w:sz w:val="8"/>
        </w:rPr>
      </w:r>
    </w:p>
    <w:p>
      <w:pPr>
        <w:jc w:val="center"/>
      </w:pPr>
      <w:r>
        <w:drawing>
          <wp:inline xmlns:a="http://schemas.openxmlformats.org/drawingml/2006/main" xmlns:pic="http://schemas.openxmlformats.org/drawingml/2006/picture">
            <wp:extent cx="5669280" cy="2137154"/>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669280" cy="2137154"/>
                    </a:xfrm>
                    <a:prstGeom prst="rect"/>
                  </pic:spPr>
                </pic:pic>
              </a:graphicData>
            </a:graphic>
          </wp:inline>
        </w:drawing>
      </w:r>
    </w:p>
    <w:p>
      <w:r>
        <w:br w:type="page"/>
      </w:r>
    </w:p>
    <w:p>
      <w:pPr>
        <w:spacing w:after="160" w:before="360"/>
        <w:jc w:val="left"/>
      </w:pPr>
      <w:r>
        <w:rPr>
          <w:rFonts w:ascii="Times New Roman" w:hAnsi="Times New Roman"/>
          <w:b/>
          <w:color w:val="E86C00"/>
          <w:sz w:val="32"/>
        </w:rPr>
        <w:t>Strategic Partnerships</w:t>
      </w:r>
    </w:p>
    <w:p>
      <w:pPr>
        <w:spacing w:after="120" w:before="0"/>
        <w:ind w:firstLine="720"/>
        <w:jc w:val="left"/>
      </w:pPr>
      <w:r>
        <w:rPr>
          <w:rFonts w:ascii="Times New Roman" w:hAnsi="Times New Roman"/>
          <w:b w:val="0"/>
          <w:color w:val="333333"/>
          <w:sz w:val="24"/>
        </w:rPr>
        <w:t>No startup succeeds in a vacuum, and that is especially true when you are entering a market as complex as India. The right partnerships give us credibility, resources, and access that would take years and a lot more money to build on our own. Here are the key partnerships we are targeting and why each one matters.</w:t>
      </w:r>
    </w:p>
    <w:p>
      <w:pPr>
        <w:spacing w:after="120" w:before="240"/>
        <w:jc w:val="left"/>
      </w:pPr>
      <w:r>
        <w:rPr>
          <w:rFonts w:ascii="Times New Roman" w:hAnsi="Times New Roman"/>
          <w:b/>
          <w:color w:val="333333"/>
          <w:sz w:val="26"/>
        </w:rPr>
        <w:t>NBA India</w:t>
      </w:r>
    </w:p>
    <w:p>
      <w:pPr>
        <w:spacing w:after="120" w:before="0"/>
        <w:ind w:firstLine="720"/>
        <w:jc w:val="left"/>
      </w:pPr>
      <w:r>
        <w:rPr>
          <w:rFonts w:ascii="Times New Roman" w:hAnsi="Times New Roman"/>
          <w:b w:val="0"/>
          <w:color w:val="333333"/>
          <w:sz w:val="24"/>
        </w:rPr>
        <w:t>This is the partnership that changes everything. The NBA has already invested significantly in growing basketball in India through NBA Academy India, Jr. NBA programs, and broadcast deals. We want to position HoopRise as an official NBA-affiliated training center, which would give us access to their coaching curriculum, their brand halo, and their scouting network. For our players, this creates a visible pathway—train at HoopRise, get noticed, potentially earn a spot at the NBA Academy or get scouted for international opportunities. That is a recruiting pitch that no local competitor can match.</w:t>
      </w:r>
    </w:p>
    <w:p>
      <w:pPr>
        <w:spacing w:after="120" w:before="240"/>
        <w:jc w:val="left"/>
      </w:pPr>
      <w:r>
        <w:rPr>
          <w:rFonts w:ascii="Times New Roman" w:hAnsi="Times New Roman"/>
          <w:b/>
          <w:color w:val="333333"/>
          <w:sz w:val="26"/>
        </w:rPr>
        <w:t>Nike India / Adidas India</w:t>
      </w:r>
    </w:p>
    <w:p>
      <w:pPr>
        <w:spacing w:after="120" w:before="0"/>
        <w:ind w:firstLine="720"/>
        <w:jc w:val="left"/>
      </w:pPr>
      <w:r>
        <w:rPr>
          <w:rFonts w:ascii="Times New Roman" w:hAnsi="Times New Roman"/>
          <w:b w:val="0"/>
          <w:color w:val="333333"/>
          <w:sz w:val="24"/>
        </w:rPr>
        <w:t>A sportswear partnership is about more than just getting discounted gear (though that helps too). A brand like Nike, with its deep roots in basketball culture, would give us co-marketing opportunities, branded academy uniforms, and potential funding for scholarship programs. In return, Nike gets a dedicated channel for youth basketball engagement in one of the fastest-growing markets in the world. We would be putting their products on the next generation of Indian basketball players, which is exactly the kind of grassroots brand-building that sportswear companies love.</w:t>
      </w:r>
    </w:p>
    <w:p>
      <w:pPr>
        <w:spacing w:after="120" w:before="240"/>
        <w:jc w:val="left"/>
      </w:pPr>
      <w:r>
        <w:rPr>
          <w:rFonts w:ascii="Times New Roman" w:hAnsi="Times New Roman"/>
          <w:b/>
          <w:color w:val="333333"/>
          <w:sz w:val="26"/>
        </w:rPr>
        <w:t>Basketball Federation of India (BFI)</w:t>
      </w:r>
    </w:p>
    <w:p>
      <w:pPr>
        <w:spacing w:after="120" w:before="0"/>
        <w:ind w:firstLine="720"/>
        <w:jc w:val="left"/>
      </w:pPr>
      <w:r>
        <w:rPr>
          <w:rFonts w:ascii="Times New Roman" w:hAnsi="Times New Roman"/>
          <w:b w:val="0"/>
          <w:color w:val="333333"/>
          <w:sz w:val="24"/>
        </w:rPr>
        <w:t>Getting official recognition from the BFI gives us institutional legitimacy and connects our players to the national basketball ecosystem. If we are an accredited training center, our players become eligible for state and national team selection pathways. We also get access to BFI-organized tournaments, coaching certification programs, and government sports facilities. For the BFI, the value is clear—we are doing the grassroots development and talent identification work that strengthens the entire basketball pipeline in India.</w:t>
      </w:r>
    </w:p>
    <w:p>
      <w:pPr>
        <w:spacing w:after="120" w:before="240"/>
        <w:jc w:val="left"/>
      </w:pPr>
      <w:r>
        <w:rPr>
          <w:rFonts w:ascii="Times New Roman" w:hAnsi="Times New Roman"/>
          <w:b/>
          <w:color w:val="333333"/>
          <w:sz w:val="26"/>
        </w:rPr>
        <w:t>Indian School and University Networks</w:t>
      </w:r>
    </w:p>
    <w:p>
      <w:pPr>
        <w:spacing w:after="120" w:before="0"/>
        <w:ind w:firstLine="720"/>
        <w:jc w:val="left"/>
      </w:pPr>
      <w:r>
        <w:rPr>
          <w:rFonts w:ascii="Times New Roman" w:hAnsi="Times New Roman"/>
          <w:b w:val="0"/>
          <w:color w:val="333333"/>
          <w:sz w:val="24"/>
        </w:rPr>
        <w:t>Partnering with major school networks like Delhi Public School (DPS), Amity International, and Ryan International lets us embed HoopRise directly into the education ecosystem where our target customers already are. These partnerships would include after-school basketball programs at school facilities, discounted enrollment for partner school students, and sponsored inter-school tournaments. On the university side, we are targeting schools like Christ University in Bangalore, Shiv Nadar University in Delhi, and NMIMS in Mumbai for collegiate basketball development programs, internship pipelines, and sports management collaborations.</w:t>
      </w:r>
    </w:p>
    <w:p>
      <w:pPr>
        <w:spacing w:after="120" w:before="240"/>
        <w:jc w:val="left"/>
      </w:pPr>
      <w:r>
        <w:rPr>
          <w:rFonts w:ascii="Times New Roman" w:hAnsi="Times New Roman"/>
          <w:b/>
          <w:color w:val="333333"/>
          <w:sz w:val="26"/>
        </w:rPr>
        <w:t>Technology Partners</w:t>
      </w:r>
    </w:p>
    <w:p>
      <w:pPr>
        <w:spacing w:after="120" w:before="0"/>
        <w:ind w:firstLine="720"/>
        <w:jc w:val="left"/>
      </w:pPr>
      <w:r>
        <w:rPr>
          <w:rFonts w:ascii="Times New Roman" w:hAnsi="Times New Roman"/>
          <w:b w:val="0"/>
          <w:color w:val="333333"/>
          <w:sz w:val="24"/>
        </w:rPr>
        <w:t>Building and scaling a digital platform is expensive, but the right tech partnerships can cut those costs dramatically. We are looking at collaborations with Indian IT firms like Infosys or Wipro for platform development, AWS India for cloud infrastructure (they have a solid startup credits program), and sports tech companies like ShotTracker for performance analytics integration. These partnerships keep our development costs manageable while making sure the tech we deliver is genuinely world-class.</w:t>
      </w:r>
    </w:p>
    <w:p>
      <w:r>
        <w:br w:type="page"/>
      </w:r>
    </w:p>
    <w:p>
      <w:pPr>
        <w:spacing w:after="160" w:before="360"/>
        <w:jc w:val="left"/>
      </w:pPr>
      <w:r>
        <w:rPr>
          <w:rFonts w:ascii="Times New Roman" w:hAnsi="Times New Roman"/>
          <w:b/>
          <w:color w:val="E86C00"/>
          <w:sz w:val="32"/>
        </w:rPr>
        <w:t>References</w:t>
      </w:r>
    </w:p>
    <w:p>
      <w:pPr>
        <w:spacing w:after="160"/>
        <w:ind w:left="720" w:hanging="720"/>
      </w:pPr>
      <w:r>
        <w:rPr>
          <w:rFonts w:ascii="Times New Roman" w:hAnsi="Times New Roman"/>
          <w:color w:val="333333"/>
          <w:sz w:val="24"/>
        </w:rPr>
        <w:t>Deloitte. (2024). India’s digital sports consumption: Trends and opportunities in a mobile-first market. Deloitte Touche Tohmatsu India LLP.</w:t>
      </w:r>
    </w:p>
    <w:p>
      <w:pPr>
        <w:spacing w:after="160"/>
        <w:ind w:left="720" w:hanging="720"/>
      </w:pPr>
      <w:r>
        <w:rPr>
          <w:rFonts w:ascii="Times New Roman" w:hAnsi="Times New Roman"/>
          <w:color w:val="333333"/>
          <w:sz w:val="24"/>
        </w:rPr>
        <w:t>KPMG. (2023). The business of sports: A comprehensive analysis of India’s evolving sports industry landscape. KPMG India.</w:t>
      </w:r>
    </w:p>
    <w:p>
      <w:pPr>
        <w:spacing w:after="160"/>
        <w:ind w:left="720" w:hanging="720"/>
      </w:pPr>
      <w:r>
        <w:rPr>
          <w:rFonts w:ascii="Times New Roman" w:hAnsi="Times New Roman"/>
          <w:color w:val="333333"/>
          <w:sz w:val="24"/>
        </w:rPr>
        <w:t>National Basketball Association. (2024). NBA global outreach report: Expanding basketball culture in emerging markets. NBA Communications.</w:t>
      </w:r>
    </w:p>
    <w:p>
      <w:pPr>
        <w:spacing w:after="160"/>
        <w:ind w:left="720" w:hanging="720"/>
      </w:pPr>
      <w:r>
        <w:rPr>
          <w:rFonts w:ascii="Times New Roman" w:hAnsi="Times New Roman"/>
          <w:color w:val="333333"/>
          <w:sz w:val="24"/>
        </w:rPr>
        <w:t>Sports Authority of India. (2023). Khelo India annual report 2022–2023: Building a sporting nation through grassroots development. Ministry of Youth Affairs and Sports, Government of India.</w:t>
      </w:r>
    </w:p>
    <w:p>
      <w:pPr>
        <w:spacing w:after="160"/>
        <w:ind w:left="720" w:hanging="720"/>
      </w:pPr>
      <w:r>
        <w:rPr>
          <w:rFonts w:ascii="Times New Roman" w:hAnsi="Times New Roman"/>
          <w:color w:val="333333"/>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