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before="0"/>
        <w:jc w:val="center"/>
      </w:pPr>
      <w:r>
        <w:rPr>
          <w:rFonts w:ascii="Times New Roman" w:hAnsi="Times New Roman"/>
          <w:b/>
          <w:color w:val="E86C00"/>
          <w:sz w:val="56"/>
        </w:rPr>
        <w:t>HoopRise Basketball Academy</w:t>
      </w:r>
    </w:p>
    <w:p>
      <w:pPr>
        <w:spacing w:after="80" w:before="0"/>
        <w:jc w:val="center"/>
      </w:pPr>
      <w:r>
        <w:rPr>
          <w:rFonts w:ascii="Times New Roman" w:hAnsi="Times New Roman"/>
          <w:b/>
          <w:color w:val="333333"/>
          <w:sz w:val="36"/>
        </w:rPr>
        <w:t>International Sport Business Plan</w:t>
      </w:r>
    </w:p>
    <w:p>
      <w:pPr>
        <w:jc w:val="center"/>
      </w:pPr>
      <w:r>
        <w:rPr>
          <w:color w:val="E86C00"/>
          <w:sz w:val="24"/>
        </w:rPr>
        <w:t>━━━━━━━━━━━━━━━━━━━━━━━━━━━━━━━━━━━━━━━━</w:t>
      </w:r>
    </w:p>
    <w:p>
      <w:pPr>
        <w:spacing w:after="600" w:before="0"/>
        <w:jc w:val="center"/>
      </w:pPr>
      <w:r>
        <w:rPr>
          <w:rFonts w:ascii="Times New Roman" w:hAnsi="Times New Roman"/>
          <w:b w:val="0"/>
          <w:color w:val="666666"/>
          <w:sz w:val="28"/>
        </w:rPr>
        <w:t>Expanding Youth Basketball Development in India</w:t>
      </w:r>
    </w:p>
    <w:p>
      <w:pPr>
        <w:spacing w:after="80" w:before="0"/>
        <w:jc w:val="center"/>
      </w:pPr>
      <w:r>
        <w:rPr>
          <w:rFonts w:ascii="Times New Roman" w:hAnsi="Times New Roman"/>
          <w:b w:val="0"/>
          <w:color w:val="333333"/>
          <w:sz w:val="24"/>
        </w:rPr>
        <w:t>Prepared for: International Sport Business</w:t>
      </w:r>
    </w:p>
    <w:p>
      <w:pPr>
        <w:spacing w:after="80" w:before="0"/>
        <w:jc w:val="center"/>
      </w:pPr>
      <w:r>
        <w:rPr>
          <w:rFonts w:ascii="Times New Roman" w:hAnsi="Times New Roman"/>
          <w:b w:val="0"/>
          <w:color w:val="333333"/>
          <w:sz w:val="24"/>
        </w:rPr>
        <w:t>June 2026</w:t>
      </w:r>
    </w:p>
    <w:p>
      <w:r>
        <w:br w:type="page"/>
      </w:r>
    </w:p>
    <w:p>
      <w:pPr>
        <w:spacing w:after="240" w:before="0"/>
        <w:jc w:val="left"/>
      </w:pPr>
      <w:r>
        <w:rPr>
          <w:rFonts w:ascii="Times New Roman" w:hAnsi="Times New Roman"/>
          <w:b/>
          <w:color w:val="E86C00"/>
          <w:sz w:val="32"/>
        </w:rPr>
        <w:t>Table of Contents</w:t>
      </w:r>
    </w:p>
    <w:p>
      <w:pPr>
        <w:tabs>
          <w:tab w:pos="8640" w:val="right" w:leader="dot"/>
        </w:tabs>
        <w:spacing w:after="80"/>
      </w:pPr>
      <w:r>
        <w:rPr>
          <w:rFonts w:ascii="Times New Roman" w:hAnsi="Times New Roman"/>
          <w:color w:val="333333"/>
          <w:sz w:val="24"/>
        </w:rPr>
        <w:t>Market Research Summary</w:t>
      </w:r>
      <w:r>
        <w:rPr>
          <w:rFonts w:ascii="Times New Roman" w:hAnsi="Times New Roman"/>
          <w:color w:val="666666"/>
          <w:sz w:val="24"/>
        </w:rPr>
        <w:tab/>
        <w:t>1</w:t>
      </w:r>
    </w:p>
    <w:p>
      <w:pPr>
        <w:tabs>
          <w:tab w:pos="8640" w:val="right" w:leader="dot"/>
        </w:tabs>
        <w:spacing w:after="80"/>
      </w:pPr>
      <w:r>
        <w:rPr>
          <w:rFonts w:ascii="Times New Roman" w:hAnsi="Times New Roman"/>
          <w:color w:val="333333"/>
          <w:sz w:val="24"/>
        </w:rPr>
        <w:t>The Concept</w:t>
      </w:r>
      <w:r>
        <w:rPr>
          <w:rFonts w:ascii="Times New Roman" w:hAnsi="Times New Roman"/>
          <w:color w:val="666666"/>
          <w:sz w:val="24"/>
        </w:rPr>
        <w:tab/>
        <w:t>2</w:t>
      </w:r>
    </w:p>
    <w:p>
      <w:pPr>
        <w:tabs>
          <w:tab w:pos="8640" w:val="right" w:leader="dot"/>
        </w:tabs>
        <w:spacing w:after="80"/>
      </w:pPr>
      <w:r>
        <w:rPr>
          <w:rFonts w:ascii="Times New Roman" w:hAnsi="Times New Roman"/>
          <w:color w:val="333333"/>
          <w:sz w:val="24"/>
        </w:rPr>
        <w:t>Mission Statement</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Competitive Position</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Cultural Considerations</w:t>
      </w:r>
      <w:r>
        <w:rPr>
          <w:rFonts w:ascii="Times New Roman" w:hAnsi="Times New Roman"/>
          <w:color w:val="666666"/>
          <w:sz w:val="24"/>
        </w:rPr>
        <w:tab/>
        <w:t>5</w:t>
      </w:r>
    </w:p>
    <w:p>
      <w:pPr>
        <w:tabs>
          <w:tab w:pos="8640" w:val="right" w:leader="dot"/>
        </w:tabs>
        <w:spacing w:after="80"/>
      </w:pPr>
      <w:r>
        <w:rPr>
          <w:rFonts w:ascii="Times New Roman" w:hAnsi="Times New Roman"/>
          <w:color w:val="333333"/>
          <w:sz w:val="24"/>
        </w:rPr>
        <w:t>Fundraising/Financing</w:t>
      </w:r>
      <w:r>
        <w:rPr>
          <w:rFonts w:ascii="Times New Roman" w:hAnsi="Times New Roman"/>
          <w:color w:val="666666"/>
          <w:sz w:val="24"/>
        </w:rPr>
        <w:tab/>
        <w:t>6</w:t>
      </w:r>
    </w:p>
    <w:p>
      <w:pPr>
        <w:tabs>
          <w:tab w:pos="8640" w:val="right" w:leader="dot"/>
        </w:tabs>
        <w:spacing w:after="80"/>
      </w:pPr>
      <w:r>
        <w:rPr>
          <w:rFonts w:ascii="Times New Roman" w:hAnsi="Times New Roman"/>
          <w:color w:val="333333"/>
          <w:sz w:val="24"/>
        </w:rPr>
        <w:t>Promotional Strategies</w:t>
      </w:r>
      <w:r>
        <w:rPr>
          <w:rFonts w:ascii="Times New Roman" w:hAnsi="Times New Roman"/>
          <w:color w:val="666666"/>
          <w:sz w:val="24"/>
        </w:rPr>
        <w:tab/>
        <w:t>7</w:t>
      </w:r>
    </w:p>
    <w:p>
      <w:pPr>
        <w:tabs>
          <w:tab w:pos="8640" w:val="right" w:leader="dot"/>
        </w:tabs>
        <w:spacing w:after="80"/>
      </w:pPr>
      <w:r>
        <w:rPr>
          <w:rFonts w:ascii="Times New Roman" w:hAnsi="Times New Roman"/>
          <w:color w:val="333333"/>
          <w:sz w:val="24"/>
        </w:rPr>
        <w:t>Anticipated Budget</w:t>
      </w:r>
      <w:r>
        <w:rPr>
          <w:rFonts w:ascii="Times New Roman" w:hAnsi="Times New Roman"/>
          <w:color w:val="666666"/>
          <w:sz w:val="24"/>
        </w:rPr>
        <w:tab/>
        <w:t>8</w:t>
      </w:r>
    </w:p>
    <w:p>
      <w:pPr>
        <w:tabs>
          <w:tab w:pos="8640" w:val="right" w:leader="dot"/>
        </w:tabs>
        <w:spacing w:after="80"/>
      </w:pPr>
      <w:r>
        <w:rPr>
          <w:rFonts w:ascii="Times New Roman" w:hAnsi="Times New Roman"/>
          <w:color w:val="333333"/>
          <w:sz w:val="24"/>
        </w:rPr>
        <w:t>Strategic Partnerships</w:t>
      </w:r>
      <w:r>
        <w:rPr>
          <w:rFonts w:ascii="Times New Roman" w:hAnsi="Times New Roman"/>
          <w:color w:val="666666"/>
          <w:sz w:val="24"/>
        </w:rPr>
        <w:tab/>
        <w:t>9</w:t>
      </w:r>
    </w:p>
    <w:p>
      <w:pPr>
        <w:tabs>
          <w:tab w:pos="8640" w:val="right" w:leader="dot"/>
        </w:tabs>
        <w:spacing w:after="80"/>
      </w:pPr>
      <w:r>
        <w:rPr>
          <w:rFonts w:ascii="Times New Roman" w:hAnsi="Times New Roman"/>
          <w:color w:val="333333"/>
          <w:sz w:val="24"/>
        </w:rPr>
        <w:t>References</w:t>
      </w:r>
      <w:r>
        <w:rPr>
          <w:rFonts w:ascii="Times New Roman" w:hAnsi="Times New Roman"/>
          <w:color w:val="666666"/>
          <w:sz w:val="24"/>
        </w:rPr>
        <w:tab/>
        <w:t>10</w:t>
      </w:r>
    </w:p>
    <w:p>
      <w:r>
        <w:br w:type="page"/>
      </w:r>
    </w:p>
    <w:p>
      <w:pPr>
        <w:spacing w:after="160" w:before="360"/>
        <w:jc w:val="left"/>
      </w:pPr>
      <w:r>
        <w:rPr>
          <w:rFonts w:ascii="Times New Roman" w:hAnsi="Times New Roman"/>
          <w:b/>
          <w:color w:val="E86C00"/>
          <w:sz w:val="32"/>
        </w:rPr>
        <w:t>Market Research Summary</w:t>
      </w:r>
    </w:p>
    <w:p>
      <w:pPr>
        <w:spacing w:after="120" w:before="240"/>
        <w:jc w:val="left"/>
      </w:pPr>
      <w:r>
        <w:rPr>
          <w:rFonts w:ascii="Times New Roman" w:hAnsi="Times New Roman"/>
          <w:b/>
          <w:color w:val="333333"/>
          <w:sz w:val="26"/>
        </w:rPr>
        <w:t>Key Demographics and Market Size</w:t>
      </w:r>
    </w:p>
    <w:p>
      <w:pPr>
        <w:spacing w:after="120" w:before="0"/>
        <w:ind w:firstLine="720"/>
        <w:jc w:val="left"/>
      </w:pPr>
      <w:r>
        <w:rPr>
          <w:rFonts w:ascii="Times New Roman" w:hAnsi="Times New Roman"/>
          <w:b w:val="0"/>
          <w:color w:val="333333"/>
          <w:sz w:val="24"/>
        </w:rPr>
        <w:t>India jumped out at us right away. We spent weeks looking at markets in Southeast Asia, parts of Africa, and even Eastern Europe, but the numbers in India were impossible to ignore. The country has 1.44 billion people. That alone is wild. But what makes it truly special for basketball is the age breakdown: about 65% of the population falls under 35, and the median age is just 28.4 (United Nations, 2024). So you have this enormous young population that is growing up in a more connected, more globally influenced world than any Indian generation before them.</w:t>
      </w:r>
    </w:p>
    <w:p>
      <w:pPr>
        <w:spacing w:after="120" w:before="0"/>
        <w:ind w:firstLine="720"/>
        <w:jc w:val="left"/>
      </w:pPr>
      <w:r>
        <w:rPr>
          <w:rFonts w:ascii="Times New Roman" w:hAnsi="Times New Roman"/>
          <w:b w:val="0"/>
          <w:color w:val="333333"/>
          <w:sz w:val="24"/>
        </w:rPr>
        <w:t>The broader sports industry in India sits at roughly $2.7 billion right now and analysts expect it to crack $10 billion by 2030 (KPMG, 2023). Rising incomes, more people moving to cities, and a government that is finally putting real money behind sports are all feeding that growth. But here is the stat that got us most excited: the NBA says it has over 300 million fans in India, making it their second biggest market outside the U.S. Three hundred million fans, and barely any structured training infrastructure to serve them. That gap is exactly where HoopRise fits in.</w:t>
      </w:r>
    </w:p>
    <w:p>
      <w:pPr>
        <w:spacing w:after="120" w:before="240"/>
        <w:jc w:val="left"/>
      </w:pPr>
      <w:r>
        <w:rPr>
          <w:rFonts w:ascii="Times New Roman" w:hAnsi="Times New Roman"/>
          <w:b/>
          <w:color w:val="333333"/>
          <w:sz w:val="26"/>
        </w:rPr>
        <w:t>Consumer Behavior Trends</w:t>
      </w:r>
    </w:p>
    <w:p>
      <w:pPr>
        <w:spacing w:after="120" w:before="0"/>
        <w:ind w:firstLine="720"/>
        <w:jc w:val="left"/>
      </w:pPr>
      <w:r>
        <w:rPr>
          <w:rFonts w:ascii="Times New Roman" w:hAnsi="Times New Roman"/>
          <w:b w:val="0"/>
          <w:color w:val="333333"/>
          <w:sz w:val="24"/>
        </w:rPr>
        <w:t>Indian kids between 15 and 30 are not the same consumers their parents were. They work out more. They follow NBA players on Instagram. They watch highlight reels at 2 a.m. A huge reason for this shift is how cheap mobile data has gotten in India, averaging around $0.17 per GB, which is basically nothing (Deloitte, 2024). Smartphones are everywhere, and that means sports content consumption has gone through the roof in the last five or six years.</w:t>
      </w:r>
    </w:p>
    <w:p>
      <w:pPr>
        <w:spacing w:after="120" w:before="0"/>
        <w:ind w:firstLine="720"/>
        <w:jc w:val="left"/>
      </w:pPr>
      <w:r>
        <w:rPr>
          <w:rFonts w:ascii="Times New Roman" w:hAnsi="Times New Roman"/>
          <w:b w:val="0"/>
          <w:color w:val="333333"/>
          <w:sz w:val="24"/>
        </w:rPr>
        <w:t>On the family side, India's middle class has ballooned to over 400 million people. Parents in this bracket are spending more on their kids' activities outside of school. They want their children doing something productive after classes, and they are increasingly open to sports, not just tutoring. The Indian Premier League showed everyone that Indians will throw their full passion behind a well-packaged sport product. Cricket did it first. Basketball can be next.</w:t>
      </w:r>
    </w:p>
    <w:p>
      <w:pPr>
        <w:spacing w:after="120" w:before="240"/>
        <w:jc w:val="left"/>
      </w:pPr>
      <w:r>
        <w:rPr>
          <w:rFonts w:ascii="Times New Roman" w:hAnsi="Times New Roman"/>
          <w:b/>
          <w:color w:val="333333"/>
          <w:sz w:val="26"/>
        </w:rPr>
        <w:t>Opportunities and Challenges</w:t>
      </w:r>
    </w:p>
    <w:p>
      <w:pPr>
        <w:spacing w:after="120" w:before="0"/>
        <w:ind w:firstLine="720"/>
        <w:jc w:val="left"/>
      </w:pPr>
      <w:r>
        <w:rPr>
          <w:rFonts w:ascii="Times New Roman" w:hAnsi="Times New Roman"/>
          <w:b w:val="0"/>
          <w:color w:val="333333"/>
          <w:sz w:val="24"/>
        </w:rPr>
        <w:t>The timing for this kind of venture is genuinely good. The government's Khelo India program has funneled over $350 million into sports development. The NBA opened its own academy in India back in 2017, which tells you that serious institutional money already believes in this market. And with 35% of the country now living in cities, you have dense pockets of demand ready to be tapped.</w:t>
      </w:r>
    </w:p>
    <w:p>
      <w:pPr>
        <w:spacing w:after="120" w:before="0"/>
        <w:ind w:firstLine="720"/>
        <w:jc w:val="left"/>
      </w:pPr>
      <w:r>
        <w:rPr>
          <w:rFonts w:ascii="Times New Roman" w:hAnsi="Times New Roman"/>
          <w:b w:val="0"/>
          <w:color w:val="333333"/>
          <w:sz w:val="24"/>
        </w:rPr>
        <w:t>But we are not naive about the obstacles. Cricket runs deep in Indian culture. It is not just a sport there; it is almost a religion. Any basketball venture is fighting for attention against that. Quality indoor courts are rare outside major metros. Price sensitivity matters a lot because even middle-class families watch their budgets carefully. And India's regulatory setup varies wildly across 28 states and 8 union territories, so what works in Mumbai might not fly in Chennai without adjustments. We have thought about all of this, and the plan accounts for it.</w:t>
      </w:r>
    </w:p>
    <w:p>
      <w:r>
        <w:br w:type="page"/>
      </w:r>
    </w:p>
    <w:p>
      <w:pPr>
        <w:spacing w:after="160" w:before="360"/>
        <w:jc w:val="left"/>
      </w:pPr>
      <w:r>
        <w:rPr>
          <w:rFonts w:ascii="Times New Roman" w:hAnsi="Times New Roman"/>
          <w:b/>
          <w:color w:val="E86C00"/>
          <w:sz w:val="32"/>
        </w:rPr>
        <w:t>The Concept</w:t>
      </w:r>
    </w:p>
    <w:p>
      <w:pPr>
        <w:spacing w:after="120" w:before="0"/>
        <w:ind w:firstLine="720"/>
        <w:jc w:val="left"/>
      </w:pPr>
      <w:r>
        <w:rPr>
          <w:rFonts w:ascii="Times New Roman" w:hAnsi="Times New Roman"/>
          <w:b w:val="0"/>
          <w:color w:val="333333"/>
          <w:sz w:val="24"/>
        </w:rPr>
        <w:t>HoopRise is a basketball training company built around one core idea: pair real, physical academy locations with a strong digital platform so that quality coaching reaches as many young players as possible. We are opening training centers in Mumbai, Delhi NCR, and Bangalore. At the same time, we are building a mobile app that brings our training methods to kids in any city, any town, anywhere in India.</w:t>
      </w:r>
    </w:p>
    <w:p>
      <w:pPr>
        <w:spacing w:after="120" w:before="0"/>
        <w:ind w:firstLine="720"/>
        <w:jc w:val="left"/>
      </w:pPr>
      <w:r>
        <w:rPr>
          <w:rFonts w:ascii="Times New Roman" w:hAnsi="Times New Roman"/>
          <w:b w:val="0"/>
          <w:color w:val="333333"/>
          <w:sz w:val="24"/>
        </w:rPr>
        <w:t>The academies themselves will have full-size indoor courts, weight rooms, sports science labs with motion capture tech, and film rooms for breaking down game footage. We plan on hiring coaches with international backgrounds (playing or coaching overseas) and pairing them with local assistants who actually know the community and can relate to the kids. Training runs on four levels: Beginner, Intermediate, Advanced, and Elite. That way an 8-year-old just learning to dribble and a 21-year-old gunning for a pro tryout can both find a program that fits.</w:t>
      </w:r>
    </w:p>
    <w:p>
      <w:pPr>
        <w:spacing w:after="120" w:before="0"/>
        <w:ind w:firstLine="720"/>
        <w:jc w:val="left"/>
      </w:pPr>
      <w:r>
        <w:rPr>
          <w:rFonts w:ascii="Times New Roman" w:hAnsi="Times New Roman"/>
          <w:b w:val="0"/>
          <w:color w:val="333333"/>
          <w:sz w:val="24"/>
        </w:rPr>
        <w:t>The app is honestly where this business gets really interesting from a growth perspective. It will have AI skill assessments, a video drill library filmed in multiple Indian languages, stat tracking, and virtual coaching sessions. Right now, if you are a kid in a Tier 2 or Tier 3 Indian city and you want serious basketball coaching, your options are basically zero. HoopRise changes that. A smartphone and an internet connection become your access point to training content that used to only exist in a handful of elite programs. Meanwhile, players near our academy cities still get the full in-person experience. That combination is something nobody else in India is offering.</w:t>
      </w:r>
    </w:p>
    <w:p>
      <w:r>
        <w:br w:type="page"/>
      </w:r>
    </w:p>
    <w:p>
      <w:pPr>
        <w:spacing w:after="160" w:before="360"/>
        <w:jc w:val="left"/>
      </w:pPr>
      <w:r>
        <w:rPr>
          <w:rFonts w:ascii="Times New Roman" w:hAnsi="Times New Roman"/>
          <w:b/>
          <w:color w:val="E86C00"/>
          <w:sz w:val="32"/>
        </w:rPr>
        <w:t>Mission Statement</w:t>
      </w:r>
    </w:p>
    <w:p>
      <w:pPr>
        <w:spacing w:after="120" w:before="0"/>
        <w:ind w:firstLine="720"/>
        <w:jc w:val="left"/>
      </w:pPr>
      <w:r>
        <w:rPr>
          <w:rFonts w:ascii="Times New Roman" w:hAnsi="Times New Roman"/>
          <w:b w:val="0"/>
          <w:color w:val="333333"/>
          <w:sz w:val="24"/>
        </w:rPr>
        <w:t>We started HoopRise because we believe that where you grow up or how much your family makes should not decide whether you get good basketball coaching. Our mission is straightforward: build the best basketball training program in India by combining great coaches, solid facilities, and smart technology, then make it accessible to as many young players as we possibly can. We also care about what basketball teaches beyond the court. Discipline. Accountability. How to work with people who are different from you. Those things matter just as much as a jump shot.</w:t>
      </w:r>
    </w:p>
    <w:p>
      <w:pPr>
        <w:spacing w:after="120" w:before="0"/>
        <w:ind w:firstLine="720"/>
        <w:jc w:val="left"/>
      </w:pPr>
      <w:r>
        <w:rPr>
          <w:rFonts w:ascii="Times New Roman" w:hAnsi="Times New Roman"/>
          <w:b w:val="0"/>
          <w:color w:val="333333"/>
          <w:sz w:val="24"/>
        </w:rPr>
        <w:t>Three goals sit at the center of everything. First, we want HoopRise to be the name people think of when they think of basketball training in India, and we want that within five years. Second, we want to build a real pipeline of players who go on to compete in college programs, national teams, and professional leagues. Third, we want one million users on the app within three years. Those are big numbers. We know that. But the market is big, the demand is real, and we have a plan for each one.</w:t>
      </w:r>
    </w:p>
    <w:p>
      <w:pPr>
        <w:spacing w:after="160" w:before="360"/>
        <w:jc w:val="left"/>
      </w:pPr>
      <w:r>
        <w:rPr>
          <w:rFonts w:ascii="Times New Roman" w:hAnsi="Times New Roman"/>
          <w:b/>
          <w:color w:val="E86C00"/>
          <w:sz w:val="32"/>
        </w:rPr>
        <w:t>Competitive Position</w:t>
      </w:r>
    </w:p>
    <w:p>
      <w:pPr>
        <w:spacing w:after="120" w:before="240"/>
        <w:jc w:val="left"/>
      </w:pPr>
      <w:r>
        <w:rPr>
          <w:rFonts w:ascii="Times New Roman" w:hAnsi="Times New Roman"/>
          <w:b/>
          <w:color w:val="333333"/>
          <w:sz w:val="26"/>
        </w:rPr>
        <w:t>Target Market Profile</w:t>
      </w:r>
    </w:p>
    <w:p>
      <w:pPr>
        <w:spacing w:after="120" w:before="0"/>
        <w:ind w:firstLine="720"/>
        <w:jc w:val="left"/>
      </w:pPr>
      <w:r>
        <w:rPr>
          <w:rFonts w:ascii="Times New Roman" w:hAnsi="Times New Roman"/>
          <w:b w:val="0"/>
          <w:color w:val="333333"/>
          <w:sz w:val="24"/>
        </w:rPr>
        <w:t>We are going after kids and young adults between 8 and 22, mostly from middle-class and upper-middle-class families in Indian cities. These are households pulling in roughly $10,000 to $50,000 a year, where parents care a lot about education but are starting to see sports as part of the picture too. The young people in this group grew up online. They watch the NBA. They follow basketball culture. A lot of them already want to play; they just do not have anywhere good to train.</w:t>
      </w:r>
    </w:p>
    <w:p>
      <w:pPr>
        <w:spacing w:after="120" w:before="0"/>
        <w:ind w:firstLine="720"/>
        <w:jc w:val="left"/>
      </w:pPr>
      <w:r>
        <w:rPr>
          <w:rFonts w:ascii="Times New Roman" w:hAnsi="Times New Roman"/>
          <w:b w:val="0"/>
          <w:color w:val="333333"/>
          <w:sz w:val="24"/>
        </w:rPr>
        <w:t>Our secondary market includes college athletes who need better coaching, companies looking for team-building activities, and adults in their twenties and thirties who play recreational basketball on weekends. Across India's 20 biggest cities, about 120 million young people fit our target profile. We are launching in Mumbai (21 million metro), Delhi NCR (32 million), and Bangalore (13 million) because that is where middle-class density, basketball interest, and commercial infrastructure overlap the most.</w:t>
      </w:r>
    </w:p>
    <w:p>
      <w:pPr>
        <w:spacing w:after="120" w:before="240"/>
        <w:jc w:val="left"/>
      </w:pPr>
      <w:r>
        <w:rPr>
          <w:rFonts w:ascii="Times New Roman" w:hAnsi="Times New Roman"/>
          <w:b/>
          <w:color w:val="333333"/>
          <w:sz w:val="26"/>
        </w:rPr>
        <w:t>Key Competitors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Competitor</w:t>
            </w:r>
          </w:p>
        </w:tc>
        <w:tc>
          <w:tcPr>
            <w:tcW w:type="dxa" w:w="2340"/>
            <w:shd w:fill="E86C00" w:val="clear"/>
          </w:tcPr>
          <w:p>
            <w:pPr>
              <w:jc w:val="center"/>
            </w:pPr>
            <w:r/>
            <w:r>
              <w:rPr>
                <w:rFonts w:ascii="Times New Roman" w:hAnsi="Times New Roman"/>
                <w:b/>
                <w:color w:val="FFFFFF"/>
                <w:sz w:val="20"/>
              </w:rPr>
              <w:t>Strengths</w:t>
            </w:r>
          </w:p>
        </w:tc>
        <w:tc>
          <w:tcPr>
            <w:tcW w:type="dxa" w:w="2340"/>
            <w:shd w:fill="E86C00" w:val="clear"/>
          </w:tcPr>
          <w:p>
            <w:pPr>
              <w:jc w:val="center"/>
            </w:pPr>
            <w:r/>
            <w:r>
              <w:rPr>
                <w:rFonts w:ascii="Times New Roman" w:hAnsi="Times New Roman"/>
                <w:b/>
                <w:color w:val="FFFFFF"/>
                <w:sz w:val="20"/>
              </w:rPr>
              <w:t>Weaknesses</w:t>
            </w:r>
          </w:p>
        </w:tc>
        <w:tc>
          <w:tcPr>
            <w:tcW w:type="dxa" w:w="2340"/>
            <w:shd w:fill="E86C00" w:val="clear"/>
          </w:tcPr>
          <w:p>
            <w:pPr>
              <w:jc w:val="center"/>
            </w:pPr>
            <w:r/>
            <w:r>
              <w:rPr>
                <w:rFonts w:ascii="Times New Roman" w:hAnsi="Times New Roman"/>
                <w:b/>
                <w:color w:val="FFFFFF"/>
                <w:sz w:val="20"/>
              </w:rPr>
              <w:t>Market Position</w:t>
            </w:r>
          </w:p>
        </w:tc>
      </w:tr>
      <w:tr>
        <w:tc>
          <w:tcPr>
            <w:tcW w:type="dxa" w:w="2340"/>
          </w:tcPr>
          <w:p>
            <w:r/>
            <w:r>
              <w:rPr>
                <w:rFonts w:ascii="Times New Roman" w:hAnsi="Times New Roman"/>
                <w:color w:val="333333"/>
                <w:sz w:val="18"/>
              </w:rPr>
              <w:t>NBA Academy India</w:t>
            </w:r>
          </w:p>
        </w:tc>
        <w:tc>
          <w:tcPr>
            <w:tcW w:type="dxa" w:w="2340"/>
          </w:tcPr>
          <w:p>
            <w:r/>
            <w:r>
              <w:rPr>
                <w:rFonts w:ascii="Times New Roman" w:hAnsi="Times New Roman"/>
                <w:color w:val="333333"/>
                <w:sz w:val="18"/>
              </w:rPr>
              <w:t>Massive brand power; elite coaches; direct NBA scouting pipeline</w:t>
            </w:r>
          </w:p>
        </w:tc>
        <w:tc>
          <w:tcPr>
            <w:tcW w:type="dxa" w:w="2340"/>
          </w:tcPr>
          <w:p>
            <w:r/>
            <w:r>
              <w:rPr>
                <w:rFonts w:ascii="Times New Roman" w:hAnsi="Times New Roman"/>
                <w:color w:val="333333"/>
                <w:sz w:val="18"/>
              </w:rPr>
              <w:t>Accepts maybe 24 kids total; single location; completely unreachable for the average player</w:t>
            </w:r>
          </w:p>
        </w:tc>
        <w:tc>
          <w:tcPr>
            <w:tcW w:type="dxa" w:w="2340"/>
          </w:tcPr>
          <w:p>
            <w:r/>
            <w:r>
              <w:rPr>
                <w:rFonts w:ascii="Times New Roman" w:hAnsi="Times New Roman"/>
                <w:color w:val="333333"/>
                <w:sz w:val="18"/>
              </w:rPr>
              <w:t>Niche/Elite</w:t>
            </w:r>
          </w:p>
        </w:tc>
      </w:tr>
      <w:tr>
        <w:tc>
          <w:tcPr>
            <w:tcW w:type="dxa" w:w="2340"/>
            <w:shd w:fill="FFF3E6" w:val="clear"/>
          </w:tcPr>
          <w:p>
            <w:r/>
            <w:r>
              <w:rPr>
                <w:rFonts w:ascii="Times New Roman" w:hAnsi="Times New Roman"/>
                <w:color w:val="333333"/>
                <w:sz w:val="18"/>
              </w:rPr>
              <w:t>Stepanova Basketball</w:t>
              <w:br/>
              <w:t>Academy</w:t>
            </w:r>
          </w:p>
        </w:tc>
        <w:tc>
          <w:tcPr>
            <w:tcW w:type="dxa" w:w="2340"/>
            <w:shd w:fill="FFF3E6" w:val="clear"/>
          </w:tcPr>
          <w:p>
            <w:r/>
            <w:r>
              <w:rPr>
                <w:rFonts w:ascii="Times New Roman" w:hAnsi="Times New Roman"/>
                <w:color w:val="333333"/>
                <w:sz w:val="18"/>
              </w:rPr>
              <w:t>Been around a while; priced low; focused on grassroots</w:t>
            </w:r>
          </w:p>
        </w:tc>
        <w:tc>
          <w:tcPr>
            <w:tcW w:type="dxa" w:w="2340"/>
            <w:shd w:fill="FFF3E6" w:val="clear"/>
          </w:tcPr>
          <w:p>
            <w:r/>
            <w:r>
              <w:rPr>
                <w:rFonts w:ascii="Times New Roman" w:hAnsi="Times New Roman"/>
                <w:color w:val="333333"/>
                <w:sz w:val="18"/>
              </w:rPr>
              <w:t>Small, cramped facilities; no app or digital tools; coaching quality is inconsistent</w:t>
            </w:r>
          </w:p>
        </w:tc>
        <w:tc>
          <w:tcPr>
            <w:tcW w:type="dxa" w:w="2340"/>
            <w:shd w:fill="FFF3E6" w:val="clear"/>
          </w:tcPr>
          <w:p>
            <w:r/>
            <w:r>
              <w:rPr>
                <w:rFonts w:ascii="Times New Roman" w:hAnsi="Times New Roman"/>
                <w:color w:val="333333"/>
                <w:sz w:val="18"/>
              </w:rPr>
              <w:t>Local/Grassroots</w:t>
            </w:r>
          </w:p>
        </w:tc>
      </w:tr>
      <w:tr>
        <w:tc>
          <w:tcPr>
            <w:tcW w:type="dxa" w:w="2340"/>
          </w:tcPr>
          <w:p>
            <w:r/>
            <w:r>
              <w:rPr>
                <w:rFonts w:ascii="Times New Roman" w:hAnsi="Times New Roman"/>
                <w:color w:val="333333"/>
                <w:sz w:val="18"/>
              </w:rPr>
              <w:t>Local Municipal</w:t>
              <w:br/>
              <w:t>Programs</w:t>
            </w:r>
          </w:p>
        </w:tc>
        <w:tc>
          <w:tcPr>
            <w:tcW w:type="dxa" w:w="2340"/>
          </w:tcPr>
          <w:p>
            <w:r/>
            <w:r>
              <w:rPr>
                <w:rFonts w:ascii="Times New Roman" w:hAnsi="Times New Roman"/>
                <w:color w:val="333333"/>
                <w:sz w:val="18"/>
              </w:rPr>
              <w:t>Free or nearly free; government backed; exist in many cities</w:t>
            </w:r>
          </w:p>
        </w:tc>
        <w:tc>
          <w:tcPr>
            <w:tcW w:type="dxa" w:w="2340"/>
          </w:tcPr>
          <w:p>
            <w:r/>
            <w:r>
              <w:rPr>
                <w:rFonts w:ascii="Times New Roman" w:hAnsi="Times New Roman"/>
                <w:color w:val="333333"/>
                <w:sz w:val="18"/>
              </w:rPr>
              <w:t>Courts are falling apart; coaches rarely have real credentials; no structured program at all</w:t>
            </w:r>
          </w:p>
        </w:tc>
        <w:tc>
          <w:tcPr>
            <w:tcW w:type="dxa" w:w="2340"/>
          </w:tcPr>
          <w:p>
            <w:r/>
            <w:r>
              <w:rPr>
                <w:rFonts w:ascii="Times New Roman" w:hAnsi="Times New Roman"/>
                <w:color w:val="333333"/>
                <w:sz w:val="18"/>
              </w:rPr>
              <w:t>Mass/Basic</w:t>
            </w:r>
          </w:p>
        </w:tc>
      </w:tr>
      <w:tr>
        <w:tc>
          <w:tcPr>
            <w:tcW w:type="dxa" w:w="2340"/>
            <w:shd w:fill="FFF3E6" w:val="clear"/>
          </w:tcPr>
          <w:p>
            <w:r/>
            <w:r>
              <w:rPr>
                <w:rFonts w:ascii="Times New Roman" w:hAnsi="Times New Roman"/>
                <w:color w:val="333333"/>
                <w:sz w:val="18"/>
              </w:rPr>
              <w:t>International Apps</w:t>
              <w:br/>
              <w:t>(HomeCourt, etc.)</w:t>
            </w:r>
          </w:p>
        </w:tc>
        <w:tc>
          <w:tcPr>
            <w:tcW w:type="dxa" w:w="2340"/>
            <w:shd w:fill="FFF3E6" w:val="clear"/>
          </w:tcPr>
          <w:p>
            <w:r/>
            <w:r>
              <w:rPr>
                <w:rFonts w:ascii="Times New Roman" w:hAnsi="Times New Roman"/>
                <w:color w:val="333333"/>
                <w:sz w:val="18"/>
              </w:rPr>
              <w:t>Strong tech; AI analysis; big global user numbers</w:t>
            </w:r>
          </w:p>
        </w:tc>
        <w:tc>
          <w:tcPr>
            <w:tcW w:type="dxa" w:w="2340"/>
            <w:shd w:fill="FFF3E6" w:val="clear"/>
          </w:tcPr>
          <w:p>
            <w:r/>
            <w:r>
              <w:rPr>
                <w:rFonts w:ascii="Times New Roman" w:hAnsi="Times New Roman"/>
                <w:color w:val="333333"/>
                <w:sz w:val="18"/>
              </w:rPr>
              <w:t>Nobody on the ground in India; English only; built for American and European users, not Indians</w:t>
            </w:r>
          </w:p>
        </w:tc>
        <w:tc>
          <w:tcPr>
            <w:tcW w:type="dxa" w:w="2340"/>
            <w:shd w:fill="FFF3E6" w:val="clear"/>
          </w:tcPr>
          <w:p>
            <w:r/>
            <w:r>
              <w:rPr>
                <w:rFonts w:ascii="Times New Roman" w:hAnsi="Times New Roman"/>
                <w:color w:val="333333"/>
                <w:sz w:val="18"/>
              </w:rPr>
              <w:t>Digital/Global</w:t>
            </w:r>
          </w:p>
        </w:tc>
      </w:tr>
    </w:tbl>
    <w:p>
      <w:pPr>
        <w:spacing w:after="120" w:before="0"/>
        <w:jc w:val="left"/>
      </w:pPr>
      <w:r>
        <w:rPr>
          <w:rFonts w:ascii="Times New Roman" w:hAnsi="Times New Roman"/>
          <w:b w:val="0"/>
          <w:color w:val="333333"/>
          <w:sz w:val="12"/>
        </w:rPr>
      </w:r>
    </w:p>
    <w:p>
      <w:pPr>
        <w:spacing w:after="120" w:before="240"/>
        <w:jc w:val="left"/>
      </w:pPr>
      <w:r>
        <w:rPr>
          <w:rFonts w:ascii="Times New Roman" w:hAnsi="Times New Roman"/>
          <w:b/>
          <w:color w:val="333333"/>
          <w:sz w:val="26"/>
        </w:rPr>
        <w:t>Competitive Differentiation</w:t>
      </w:r>
    </w:p>
    <w:p>
      <w:pPr>
        <w:spacing w:after="120" w:before="0"/>
        <w:ind w:firstLine="720"/>
        <w:jc w:val="left"/>
      </w:pPr>
      <w:r>
        <w:rPr>
          <w:rFonts w:ascii="Times New Roman" w:hAnsi="Times New Roman"/>
          <w:b w:val="0"/>
          <w:color w:val="333333"/>
          <w:sz w:val="24"/>
        </w:rPr>
        <w:t>The reason HoopRise works where others fall short comes down to one thing: nobody else is combining physical academies with a full digital training product in the Indian market. The NBA Academy is world-class but only serves a tiny handful of kids. Local programs are open to everyone but the quality is awful. International apps have great technology but they were not designed with India in mind at all.</w:t>
      </w:r>
    </w:p>
    <w:p>
      <w:pPr>
        <w:spacing w:after="120" w:before="0"/>
        <w:ind w:firstLine="720"/>
        <w:jc w:val="left"/>
      </w:pPr>
      <w:r>
        <w:rPr>
          <w:rFonts w:ascii="Times New Roman" w:hAnsi="Times New Roman"/>
          <w:b w:val="0"/>
          <w:color w:val="333333"/>
          <w:sz w:val="24"/>
        </w:rPr>
        <w:t>We sit right between all of those. Premium enough to actually develop real talent. Accessible enough that a regular middle-class family can afford it. Our specific advantages break down like this:</w:t>
      </w:r>
    </w:p>
    <w:p>
      <w:pPr>
        <w:pStyle w:val="ListBullet"/>
        <w:spacing w:after="60" w:before="20"/>
        <w:ind w:left="720"/>
      </w:pPr>
      <w:r>
        <w:rPr>
          <w:rFonts w:ascii="Times New Roman" w:hAnsi="Times New Roman"/>
          <w:color w:val="333333"/>
          <w:sz w:val="24"/>
        </w:rPr>
        <w:t>Physical plus Digital: Train at the academy, then keep working at home through the app. Development does not stop when practice ends.</w:t>
      </w:r>
    </w:p>
    <w:p>
      <w:pPr>
        <w:pStyle w:val="ListBullet"/>
        <w:spacing w:after="60" w:before="20"/>
        <w:ind w:left="720"/>
      </w:pPr>
      <w:r>
        <w:rPr>
          <w:rFonts w:ascii="Times New Roman" w:hAnsi="Times New Roman"/>
          <w:color w:val="333333"/>
          <w:sz w:val="24"/>
        </w:rPr>
        <w:t>Personalized Training Plans: The AI tracks what each player is good at and where they struggle, then adjusts their program accordingly. No cookie-cutter drills.</w:t>
      </w:r>
    </w:p>
    <w:p>
      <w:pPr>
        <w:pStyle w:val="ListBullet"/>
        <w:spacing w:after="60" w:before="20"/>
        <w:ind w:left="720"/>
      </w:pPr>
      <w:r>
        <w:rPr>
          <w:rFonts w:ascii="Times New Roman" w:hAnsi="Times New Roman"/>
          <w:color w:val="333333"/>
          <w:sz w:val="24"/>
        </w:rPr>
        <w:t>Tiered Pricing with Scholarships: We built financial aid into the model from day one. A talented kid should not get shut out because of money.</w:t>
      </w:r>
    </w:p>
    <w:p>
      <w:pPr>
        <w:pStyle w:val="ListBullet"/>
        <w:spacing w:after="60" w:before="20"/>
        <w:ind w:left="720"/>
      </w:pPr>
      <w:r>
        <w:rPr>
          <w:rFonts w:ascii="Times New Roman" w:hAnsi="Times New Roman"/>
          <w:color w:val="333333"/>
          <w:sz w:val="24"/>
        </w:rPr>
        <w:t>Multilingual Content: The app launches in Hindi, English, Tamil, Kannada, and Marathi. A kid in Bangalore deserves to train in a language that feels natural to them.</w:t>
      </w:r>
    </w:p>
    <w:p>
      <w:pPr>
        <w:pStyle w:val="ListBullet"/>
        <w:spacing w:after="60" w:before="20"/>
        <w:ind w:left="720"/>
      </w:pPr>
      <w:r>
        <w:rPr>
          <w:rFonts w:ascii="Times New Roman" w:hAnsi="Times New Roman"/>
          <w:color w:val="333333"/>
          <w:sz w:val="24"/>
        </w:rPr>
        <w:t>A Real Path Forward: We are building direct connections with international college programs and pro leagues so players can actually see where basketball might take them.</w:t>
      </w:r>
    </w:p>
    <w:p>
      <w:r>
        <w:br w:type="page"/>
      </w:r>
    </w:p>
    <w:p>
      <w:pPr>
        <w:spacing w:after="160" w:before="360"/>
        <w:jc w:val="left"/>
      </w:pPr>
      <w:r>
        <w:rPr>
          <w:rFonts w:ascii="Times New Roman" w:hAnsi="Times New Roman"/>
          <w:b/>
          <w:color w:val="E86C00"/>
          <w:sz w:val="32"/>
        </w:rPr>
        <w:t>Cultural Considerations</w:t>
      </w:r>
    </w:p>
    <w:p>
      <w:pPr>
        <w:spacing w:after="120" w:before="240"/>
        <w:jc w:val="left"/>
      </w:pPr>
      <w:r>
        <w:rPr>
          <w:rFonts w:ascii="Times New Roman" w:hAnsi="Times New Roman"/>
          <w:b/>
          <w:color w:val="333333"/>
          <w:sz w:val="26"/>
        </w:rPr>
        <w:t>Family-Centric Decision Making</w:t>
      </w:r>
    </w:p>
    <w:p>
      <w:pPr>
        <w:spacing w:after="120" w:before="0"/>
        <w:ind w:firstLine="720"/>
        <w:jc w:val="left"/>
      </w:pPr>
      <w:r>
        <w:rPr>
          <w:rFonts w:ascii="Times New Roman" w:hAnsi="Times New Roman"/>
          <w:b w:val="0"/>
          <w:color w:val="333333"/>
          <w:sz w:val="24"/>
        </w:rPr>
        <w:t>Indian families make decisions together. Period. If a kid wants to join a basketball program, the parents need to be convinced, and sometimes grandparents weigh in too. So our marketing cannot just be cool dunk videos targeting teenagers. We have to speak directly to what parents care about: will this make my child more disciplined? Will it teach them to manage their time? Will it help with college?</w:t>
      </w:r>
    </w:p>
    <w:p>
      <w:pPr>
        <w:spacing w:after="120" w:before="0"/>
        <w:ind w:firstLine="720"/>
        <w:jc w:val="left"/>
      </w:pPr>
      <w:r>
        <w:rPr>
          <w:rFonts w:ascii="Times New Roman" w:hAnsi="Times New Roman"/>
          <w:b w:val="0"/>
          <w:color w:val="333333"/>
          <w:sz w:val="24"/>
        </w:rPr>
        <w:t>Every promotional piece we put out will hit those points hard. We will also run open-house days where families can come see the facility, meet the coaches, and ask questions. Quarterly progress reports go home to parents. The whole enrollment process treats the family as a partner. If the parents do not feel like they are part of this, the kid does not sign up. Simple as that.</w:t>
      </w:r>
    </w:p>
    <w:p>
      <w:pPr>
        <w:spacing w:after="120" w:before="240"/>
        <w:jc w:val="left"/>
      </w:pPr>
      <w:r>
        <w:rPr>
          <w:rFonts w:ascii="Times New Roman" w:hAnsi="Times New Roman"/>
          <w:b/>
          <w:color w:val="333333"/>
          <w:sz w:val="26"/>
        </w:rPr>
        <w:t>Education-First Culture</w:t>
      </w:r>
    </w:p>
    <w:p>
      <w:pPr>
        <w:spacing w:after="120" w:before="0"/>
        <w:ind w:firstLine="720"/>
        <w:jc w:val="left"/>
      </w:pPr>
      <w:r>
        <w:rPr>
          <w:rFonts w:ascii="Times New Roman" w:hAnsi="Times New Roman"/>
          <w:b w:val="0"/>
          <w:color w:val="333333"/>
          <w:sz w:val="24"/>
        </w:rPr>
        <w:t>Academics are sacred in India. If a parent has to choose between tutoring and basketball, basketball loses every single time. We are not trying to fight that. Instead, we work around it. Practice times run outside of school hours. During board exam season (March through April, and again in October and November), we scale back sessions and offer flexible scheduling. We will also push the scholarship angle constantly, showing families real examples of basketball players who got into international universities on athletic scholarships. And every academy will have a study area where kids can do homework before or after practice, because that small detail sends a message: we take their education seriously too.</w:t>
      </w:r>
    </w:p>
    <w:p>
      <w:pPr>
        <w:spacing w:after="120" w:before="240"/>
        <w:jc w:val="left"/>
      </w:pPr>
      <w:r>
        <w:rPr>
          <w:rFonts w:ascii="Times New Roman" w:hAnsi="Times New Roman"/>
          <w:b/>
          <w:color w:val="333333"/>
          <w:sz w:val="26"/>
        </w:rPr>
        <w:t>Language and Regional Diversity</w:t>
      </w:r>
    </w:p>
    <w:p>
      <w:pPr>
        <w:spacing w:after="120" w:before="0"/>
        <w:ind w:firstLine="720"/>
        <w:jc w:val="left"/>
      </w:pPr>
      <w:r>
        <w:rPr>
          <w:rFonts w:ascii="Times New Roman" w:hAnsi="Times New Roman"/>
          <w:b w:val="0"/>
          <w:color w:val="333333"/>
          <w:sz w:val="24"/>
        </w:rPr>
        <w:t>Twenty-two official languages. Hundreds of dialects. India is not one market; it is dozens of markets stitched together. Running an English-only operation would cut us off from a huge number of potential players and families. Our coaches will work bilingually at each location: English plus Hindi in Delhi, English plus Marathi in Mumbai, English plus Kannada in Bangalore. The app launches in five languages with more added based on user demand. Marketing gets localized too, not just translated. We will use references and cultural touchpoints that actually mean something in each city instead of running one national campaign and hoping it lands everywhere.</w:t>
      </w:r>
    </w:p>
    <w:p>
      <w:pPr>
        <w:spacing w:after="120" w:before="240"/>
        <w:jc w:val="left"/>
      </w:pPr>
      <w:r>
        <w:rPr>
          <w:rFonts w:ascii="Times New Roman" w:hAnsi="Times New Roman"/>
          <w:b/>
          <w:color w:val="333333"/>
          <w:sz w:val="26"/>
        </w:rPr>
        <w:t>Religious and Festival Sensitivity</w:t>
      </w:r>
    </w:p>
    <w:p>
      <w:pPr>
        <w:spacing w:after="120" w:before="0"/>
        <w:ind w:firstLine="720"/>
        <w:jc w:val="left"/>
      </w:pPr>
      <w:r>
        <w:rPr>
          <w:rFonts w:ascii="Times New Roman" w:hAnsi="Times New Roman"/>
          <w:b w:val="0"/>
          <w:color w:val="333333"/>
          <w:sz w:val="24"/>
        </w:rPr>
        <w:t>Diwali. Eid. Christmas. Holi. Pongal. Navratri. The festival calendar in India is packed, and these celebrations are deeply important to families. We are building our yearly schedule around them, not in spite of them. When a major festival hits, we adjust training schedules. During holiday seasons, we will host themed basketball events that bring together players from different communities. Honestly, festivals are an opportunity to make the academy feel like a place where every kid belongs, regardless of their background. That sense of inclusion is not just nice to have; it is essential for long-term retention in a country this diverse.</w:t>
      </w:r>
    </w:p>
    <w:p>
      <w:pPr>
        <w:spacing w:after="120" w:before="240"/>
        <w:jc w:val="left"/>
      </w:pPr>
      <w:r>
        <w:rPr>
          <w:rFonts w:ascii="Times New Roman" w:hAnsi="Times New Roman"/>
          <w:b/>
          <w:color w:val="333333"/>
          <w:sz w:val="26"/>
        </w:rPr>
        <w:t>Gender Considerations</w:t>
      </w:r>
    </w:p>
    <w:p>
      <w:pPr>
        <w:spacing w:after="120" w:before="0"/>
        <w:ind w:firstLine="720"/>
        <w:jc w:val="left"/>
      </w:pPr>
      <w:r>
        <w:rPr>
          <w:rFonts w:ascii="Times New Roman" w:hAnsi="Times New Roman"/>
          <w:b w:val="0"/>
          <w:color w:val="333333"/>
          <w:sz w:val="24"/>
        </w:rPr>
        <w:t>Women's sports in urban India are growing, but cultural hesitation around mixed-gender athletics (especially for teenagers) is still very real. Some families will not enroll their daughters in a program where they train alongside boys. We are going to offer dedicated sessions for girls, coached by women. That removes the barrier for families who would otherwise say no.</w:t>
      </w:r>
    </w:p>
    <w:p>
      <w:pPr>
        <w:spacing w:after="120" w:before="0"/>
        <w:ind w:firstLine="720"/>
        <w:jc w:val="left"/>
      </w:pPr>
      <w:r>
        <w:rPr>
          <w:rFonts w:ascii="Times New Roman" w:hAnsi="Times New Roman"/>
          <w:b w:val="0"/>
          <w:color w:val="333333"/>
          <w:sz w:val="24"/>
        </w:rPr>
        <w:t>Our marketing will feature female players prominently, not as an afterthought but as a central part of the brand. Frankly, the business case is obvious too. If we ignore this, we are voluntarily giving up access to half the market. We would rather get it right from the start.</w:t>
      </w:r>
    </w:p>
    <w:p>
      <w:r>
        <w:br w:type="page"/>
      </w:r>
    </w:p>
    <w:p>
      <w:pPr>
        <w:spacing w:after="160" w:before="360"/>
        <w:jc w:val="left"/>
      </w:pPr>
      <w:r>
        <w:rPr>
          <w:rFonts w:ascii="Times New Roman" w:hAnsi="Times New Roman"/>
          <w:b/>
          <w:color w:val="E86C00"/>
          <w:sz w:val="32"/>
        </w:rPr>
        <w:t>Fundraising/Financing</w:t>
      </w:r>
    </w:p>
    <w:p>
      <w:pPr>
        <w:spacing w:after="120" w:before="0"/>
        <w:ind w:firstLine="720"/>
        <w:jc w:val="left"/>
      </w:pPr>
      <w:r>
        <w:rPr>
          <w:rFonts w:ascii="Times New Roman" w:hAnsi="Times New Roman"/>
          <w:b w:val="0"/>
          <w:color w:val="333333"/>
          <w:sz w:val="24"/>
        </w:rPr>
        <w:t>Getting HoopRise off the ground and through year one will cost about $900,000. That covers facilities, staff, tech development, marketing, and a contingency buffer. We are not putting all our eggs in one basket with funding. The plan spreads across four sources.</w:t>
      </w:r>
    </w:p>
    <w:p>
      <w:pPr>
        <w:spacing w:after="120" w:before="240"/>
        <w:jc w:val="left"/>
      </w:pPr>
      <w:r>
        <w:rPr>
          <w:rFonts w:ascii="Times New Roman" w:hAnsi="Times New Roman"/>
          <w:b/>
          <w:color w:val="333333"/>
          <w:sz w:val="26"/>
        </w:rPr>
        <w:t>Angel Investors and Venture Capital</w:t>
      </w:r>
    </w:p>
    <w:p>
      <w:pPr>
        <w:spacing w:after="120" w:before="0"/>
        <w:ind w:firstLine="720"/>
        <w:jc w:val="left"/>
      </w:pPr>
      <w:r>
        <w:rPr>
          <w:rFonts w:ascii="Times New Roman" w:hAnsi="Times New Roman"/>
          <w:b w:val="0"/>
          <w:color w:val="333333"/>
          <w:sz w:val="24"/>
        </w:rPr>
        <w:t>The sports-tech investment scene in India has picked up real momentum lately. Firms like Dream Sports, Blume Ventures, and Sequoia India have all been putting money into sports-related startups. We are targeting a seed round of roughly $400,000 from angels who have a background in sports, education, or youth programs. The pitch writes itself: India has the biggest young population on the planet, basketball fandom is exploding, and nobody has built a scalable hybrid training model there yet. That is the opening we are walking through.</w:t>
      </w:r>
    </w:p>
    <w:p>
      <w:pPr>
        <w:spacing w:after="120" w:before="240"/>
        <w:jc w:val="left"/>
      </w:pPr>
      <w:r>
        <w:rPr>
          <w:rFonts w:ascii="Times New Roman" w:hAnsi="Times New Roman"/>
          <w:b/>
          <w:color w:val="333333"/>
          <w:sz w:val="26"/>
        </w:rPr>
        <w:t>Government Grants and Initiatives</w:t>
      </w:r>
    </w:p>
    <w:p>
      <w:pPr>
        <w:spacing w:after="120" w:before="0"/>
        <w:ind w:firstLine="720"/>
        <w:jc w:val="left"/>
      </w:pPr>
      <w:r>
        <w:rPr>
          <w:rFonts w:ascii="Times New Roman" w:hAnsi="Times New Roman"/>
          <w:b w:val="0"/>
          <w:color w:val="333333"/>
          <w:sz w:val="24"/>
        </w:rPr>
        <w:t>India's Khelo India program and the Sports Authority of India both hand out grants to organizations that build sports infrastructure and grow participation at the grassroots level. We are applying for accreditation as an official training center, which could unlock $100,000 to $150,000 in grants and get us discounted access to government-owned sports facilities. Maharashtra, Delhi, and Karnataka each have their own state-level sports funding too, so we will be applying at multiple levels simultaneously.</w:t>
      </w:r>
    </w:p>
    <w:p>
      <w:pPr>
        <w:spacing w:after="120" w:before="240"/>
        <w:jc w:val="left"/>
      </w:pPr>
      <w:r>
        <w:rPr>
          <w:rFonts w:ascii="Times New Roman" w:hAnsi="Times New Roman"/>
          <w:b/>
          <w:color w:val="333333"/>
          <w:sz w:val="26"/>
        </w:rPr>
        <w:t>Corporate Sponsorships</w:t>
      </w:r>
    </w:p>
    <w:p>
      <w:pPr>
        <w:spacing w:after="120" w:before="0"/>
        <w:ind w:firstLine="720"/>
        <w:jc w:val="left"/>
      </w:pPr>
      <w:r>
        <w:rPr>
          <w:rFonts w:ascii="Times New Roman" w:hAnsi="Times New Roman"/>
          <w:b w:val="0"/>
          <w:color w:val="333333"/>
          <w:sz w:val="24"/>
        </w:rPr>
        <w:t>This is one of those details about India that most people outside the country do not know. Indian companies above a certain profit threshold are legally required to spend 2% of net profits on social responsibility initiatives. Youth sports and empowerment programs qualify. That opens the door to sponsorship conversations with the Tata Group, Reliance, Infosys, and others who need to spend that money somewhere. We are building tiered sponsorship packages from $25,000 to $200,000 that give brands visibility at our academies, on the app, and at events. They get genuine exposure in a growing space. We get funded. It works for both sides.</w:t>
      </w:r>
    </w:p>
    <w:p>
      <w:pPr>
        <w:spacing w:after="120" w:before="240"/>
        <w:jc w:val="left"/>
      </w:pPr>
      <w:r>
        <w:rPr>
          <w:rFonts w:ascii="Times New Roman" w:hAnsi="Times New Roman"/>
          <w:b/>
          <w:color w:val="333333"/>
          <w:sz w:val="26"/>
        </w:rPr>
        <w:t>Crowdfunding</w:t>
      </w:r>
    </w:p>
    <w:p>
      <w:pPr>
        <w:spacing w:after="120" w:before="0"/>
        <w:ind w:firstLine="720"/>
        <w:jc w:val="left"/>
      </w:pPr>
      <w:r>
        <w:rPr>
          <w:rFonts w:ascii="Times New Roman" w:hAnsi="Times New Roman"/>
          <w:b w:val="0"/>
          <w:color w:val="333333"/>
          <w:sz w:val="24"/>
        </w:rPr>
        <w:t>We are also planning a crowdfunding campaign on Ketto (India's largest platform for this) and Kickstarter, aiming for $50,000 to $75,000. Honestly, the crowdfunding piece is about more than just money. It builds a community of early supporters who feel personally invested in HoopRise before we even open the doors. Backers get discounted memberships, exclusive merch, and early app access. The campaign tells the story of what we are trying to do for kids who would never otherwise get real basketball coaching, and that kind of narrative travels well on social media.</w:t>
      </w:r>
    </w:p>
    <w:p>
      <w:r>
        <w:br w:type="page"/>
      </w:r>
    </w:p>
    <w:p>
      <w:pPr>
        <w:spacing w:after="160" w:before="360"/>
        <w:jc w:val="left"/>
      </w:pPr>
      <w:r>
        <w:rPr>
          <w:rFonts w:ascii="Times New Roman" w:hAnsi="Times New Roman"/>
          <w:b/>
          <w:color w:val="E86C00"/>
          <w:sz w:val="32"/>
        </w:rPr>
        <w:t>Promotional Strategies</w:t>
      </w:r>
    </w:p>
    <w:p>
      <w:pPr>
        <w:spacing w:after="120" w:before="240"/>
        <w:jc w:val="left"/>
      </w:pPr>
      <w:r>
        <w:rPr>
          <w:rFonts w:ascii="Times New Roman" w:hAnsi="Times New Roman"/>
          <w:b/>
          <w:color w:val="333333"/>
          <w:sz w:val="26"/>
        </w:rPr>
        <w:t>Digital Marketing Campaigns</w:t>
      </w:r>
    </w:p>
    <w:p>
      <w:pPr>
        <w:spacing w:after="120" w:before="0"/>
        <w:ind w:firstLine="720"/>
        <w:jc w:val="left"/>
      </w:pPr>
      <w:r>
        <w:rPr>
          <w:rFonts w:ascii="Times New Roman" w:hAnsi="Times New Roman"/>
          <w:b w:val="0"/>
          <w:color w:val="333333"/>
          <w:sz w:val="24"/>
        </w:rPr>
        <w:t>India has over 800 million internet users, so digital is the obvious primary channel. We will run targeted ads on Instagram, YouTube, and Facebook, all built around video. Training clips, player progress stories, behind-the-scenes content from the academy. YouTube pre-roll ads placed before NBA videos make a lot of sense because that is literally where our audience is already spending their time.</w:t>
      </w:r>
    </w:p>
    <w:p>
      <w:pPr>
        <w:spacing w:after="120" w:before="0"/>
        <w:ind w:firstLine="720"/>
        <w:jc w:val="left"/>
      </w:pPr>
      <w:r>
        <w:rPr>
          <w:rFonts w:ascii="Times New Roman" w:hAnsi="Times New Roman"/>
          <w:b w:val="0"/>
          <w:color w:val="333333"/>
          <w:sz w:val="24"/>
        </w:rPr>
        <w:t>On the search side, we will invest in SEO and Google Ads around high-intent terms like "basketball training India" and "basketball academy near me." Weekly blog posts and tutorial videos will build organic reach over time and make HoopRise the name that keeps showing up whenever someone searches for basketball development content in India.</w:t>
      </w:r>
    </w:p>
    <w:p>
      <w:pPr>
        <w:spacing w:after="120" w:before="240"/>
        <w:jc w:val="left"/>
      </w:pPr>
      <w:r>
        <w:rPr>
          <w:rFonts w:ascii="Times New Roman" w:hAnsi="Times New Roman"/>
          <w:b/>
          <w:color w:val="333333"/>
          <w:sz w:val="26"/>
        </w:rPr>
        <w:t>Influencer and Ambassador Partnerships</w:t>
      </w:r>
    </w:p>
    <w:p>
      <w:pPr>
        <w:spacing w:after="120" w:before="0"/>
        <w:ind w:firstLine="720"/>
        <w:jc w:val="left"/>
      </w:pPr>
      <w:r>
        <w:rPr>
          <w:rFonts w:ascii="Times New Roman" w:hAnsi="Times New Roman"/>
          <w:b w:val="0"/>
          <w:color w:val="333333"/>
          <w:sz w:val="24"/>
        </w:rPr>
        <w:t>We want real faces attached to this brand, not just a logo. Top targets include Satnam Singh (first Indian ever drafted by an NBA team), Prachi Tehlan (former national team captain), and several fitness-focused YouTubers whose audiences line up with our demographic. In each city we are also going to work with local micro-influencers, people with maybe 50,000 to 200,000 followers who have genuine credibility in their communities. These are not going to be stiff endorsement deals. We want content collaborations, appearances at our events, and social media partnerships that feel authentic rather than forced.</w:t>
      </w:r>
    </w:p>
    <w:p>
      <w:pPr>
        <w:spacing w:after="120" w:before="240"/>
        <w:jc w:val="left"/>
      </w:pPr>
      <w:r>
        <w:rPr>
          <w:rFonts w:ascii="Times New Roman" w:hAnsi="Times New Roman"/>
          <w:b/>
          <w:color w:val="333333"/>
          <w:sz w:val="26"/>
        </w:rPr>
        <w:t>School and University Outreach</w:t>
      </w:r>
    </w:p>
    <w:p>
      <w:pPr>
        <w:spacing w:after="120" w:before="0"/>
        <w:ind w:firstLine="720"/>
        <w:jc w:val="left"/>
      </w:pPr>
      <w:r>
        <w:rPr>
          <w:rFonts w:ascii="Times New Roman" w:hAnsi="Times New Roman"/>
          <w:b w:val="0"/>
          <w:color w:val="333333"/>
          <w:sz w:val="24"/>
        </w:rPr>
        <w:t>Schools are where our customers already are, five days a week. We plan to partner with school networks to run free introductory basketball clinics, give away equipment to schools that start basketball programs, and sponsor inter-school tournaments. On the college side, we want to be the go-to training partner for university basketball teams, offering group packages and access to the app's analytics tools. This puts us directly in front of the exact kids we are trying to reach, in a setting where they are already open to trying something new.</w:t>
      </w:r>
    </w:p>
    <w:p>
      <w:pPr>
        <w:spacing w:after="120" w:before="240"/>
        <w:jc w:val="left"/>
      </w:pPr>
      <w:r>
        <w:rPr>
          <w:rFonts w:ascii="Times New Roman" w:hAnsi="Times New Roman"/>
          <w:b/>
          <w:color w:val="333333"/>
          <w:sz w:val="26"/>
        </w:rPr>
        <w:t>Event Sponsorships and Community Engagement</w:t>
      </w:r>
    </w:p>
    <w:p>
      <w:pPr>
        <w:spacing w:after="120" w:before="0"/>
        <w:ind w:firstLine="720"/>
        <w:jc w:val="left"/>
      </w:pPr>
      <w:r>
        <w:rPr>
          <w:rFonts w:ascii="Times New Roman" w:hAnsi="Times New Roman"/>
          <w:b w:val="0"/>
          <w:color w:val="333333"/>
          <w:sz w:val="24"/>
        </w:rPr>
        <w:t>You can run all the online ads you want, but there is no substitute for people actually experiencing your product. We are going to organize 3-on-3 street tournaments, basketball camps during school breaks, and watch parties for the NBA Finals and All-Star Weekend. Once a year, we will run a "HoopRise Rising Stars Challenge" that becomes the big annual event, gets press coverage, and gives the brand a signature moment on the calendar. The goal is to make HoopRise feel like the center of basketball culture in India, not just another place to take lessons.</w:t>
      </w:r>
    </w:p>
    <w:p>
      <w:r>
        <w:br w:type="page"/>
      </w:r>
    </w:p>
    <w:p>
      <w:pPr>
        <w:spacing w:after="160" w:before="360"/>
        <w:jc w:val="left"/>
      </w:pPr>
      <w:r>
        <w:rPr>
          <w:rFonts w:ascii="Times New Roman" w:hAnsi="Times New Roman"/>
          <w:b/>
          <w:color w:val="E86C00"/>
          <w:sz w:val="32"/>
        </w:rPr>
        <w:t>Anticipated Budget</w:t>
      </w:r>
    </w:p>
    <w:p>
      <w:pPr>
        <w:spacing w:after="120" w:before="0"/>
        <w:ind w:firstLine="720"/>
        <w:jc w:val="left"/>
      </w:pPr>
      <w:r>
        <w:rPr>
          <w:rFonts w:ascii="Times New Roman" w:hAnsi="Times New Roman"/>
          <w:b w:val="0"/>
          <w:color w:val="333333"/>
          <w:sz w:val="24"/>
        </w:rPr>
        <w:t>Here is the financial picture across three years. Year 1 is setup and launch. Year 2 is growth. Year 3 is when we start making real money.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Category</w:t>
            </w:r>
          </w:p>
        </w:tc>
        <w:tc>
          <w:tcPr>
            <w:tcW w:type="dxa" w:w="2340"/>
            <w:shd w:fill="E86C00" w:val="clear"/>
          </w:tcPr>
          <w:p>
            <w:pPr>
              <w:jc w:val="center"/>
            </w:pPr>
            <w:r/>
            <w:r>
              <w:rPr>
                <w:rFonts w:ascii="Times New Roman" w:hAnsi="Times New Roman"/>
                <w:b/>
                <w:color w:val="FFFFFF"/>
                <w:sz w:val="20"/>
              </w:rPr>
              <w:t>Year 1 (USD)</w:t>
            </w:r>
          </w:p>
        </w:tc>
        <w:tc>
          <w:tcPr>
            <w:tcW w:type="dxa" w:w="2340"/>
            <w:shd w:fill="E86C00" w:val="clear"/>
          </w:tcPr>
          <w:p>
            <w:pPr>
              <w:jc w:val="center"/>
            </w:pPr>
            <w:r/>
            <w:r>
              <w:rPr>
                <w:rFonts w:ascii="Times New Roman" w:hAnsi="Times New Roman"/>
                <w:b/>
                <w:color w:val="FFFFFF"/>
                <w:sz w:val="20"/>
              </w:rPr>
              <w:t>Year 2 (USD)</w:t>
            </w:r>
          </w:p>
        </w:tc>
        <w:tc>
          <w:tcPr>
            <w:tcW w:type="dxa" w:w="2340"/>
            <w:shd w:fill="E86C00"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Facility Lease &amp; Renovation</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$140,000</w:t>
            </w:r>
          </w:p>
        </w:tc>
        <w:tc>
          <w:tcPr>
            <w:tcW w:type="dxa" w:w="2340"/>
          </w:tcPr>
          <w:p>
            <w:pPr>
              <w:jc w:val="right"/>
            </w:pPr>
            <w:r/>
            <w:r>
              <w:rPr>
                <w:rFonts w:ascii="Times New Roman" w:hAnsi="Times New Roman"/>
                <w:color w:val="333333"/>
                <w:sz w:val="20"/>
              </w:rPr>
              <w:t>$120,000</w:t>
            </w:r>
          </w:p>
        </w:tc>
      </w:tr>
      <w:tr>
        <w:tc>
          <w:tcPr>
            <w:tcW w:type="dxa" w:w="2340"/>
            <w:shd w:fill="FFF3E6" w:val="clear"/>
          </w:tcPr>
          <w:p>
            <w:r/>
            <w:r>
              <w:rPr>
                <w:rFonts w:ascii="Times New Roman" w:hAnsi="Times New Roman"/>
                <w:color w:val="333333"/>
                <w:sz w:val="20"/>
              </w:rPr>
              <w:t>Equipment &amp; Technology</w:t>
            </w:r>
          </w:p>
        </w:tc>
        <w:tc>
          <w:tcPr>
            <w:tcW w:type="dxa" w:w="2340"/>
            <w:shd w:fill="FFF3E6" w:val="clear"/>
          </w:tcPr>
          <w:p>
            <w:pPr>
              <w:jc w:val="right"/>
            </w:pPr>
            <w:r/>
            <w:r>
              <w:rPr>
                <w:rFonts w:ascii="Times New Roman" w:hAnsi="Times New Roman"/>
                <w:color w:val="333333"/>
                <w:sz w:val="20"/>
              </w:rPr>
              <w:t>$95,000</w:t>
            </w:r>
          </w:p>
        </w:tc>
        <w:tc>
          <w:tcPr>
            <w:tcW w:type="dxa" w:w="2340"/>
            <w:shd w:fill="FFF3E6" w:val="clear"/>
          </w:tcPr>
          <w:p>
            <w:pPr>
              <w:jc w:val="right"/>
            </w:pPr>
            <w:r/>
            <w:r>
              <w:rPr>
                <w:rFonts w:ascii="Times New Roman" w:hAnsi="Times New Roman"/>
                <w:color w:val="333333"/>
                <w:sz w:val="20"/>
              </w:rPr>
              <w:t>$60,000</w:t>
            </w:r>
          </w:p>
        </w:tc>
        <w:tc>
          <w:tcPr>
            <w:tcW w:type="dxa" w:w="2340"/>
            <w:shd w:fill="FFF3E6" w:val="clear"/>
          </w:tcPr>
          <w:p>
            <w:pPr>
              <w:jc w:val="right"/>
            </w:pPr>
            <w:r/>
            <w:r>
              <w:rPr>
                <w:rFonts w:ascii="Times New Roman" w:hAnsi="Times New Roman"/>
                <w:color w:val="333333"/>
                <w:sz w:val="20"/>
              </w:rPr>
              <w:t>$45,000</w:t>
            </w:r>
          </w:p>
        </w:tc>
      </w:tr>
      <w:tr>
        <w:tc>
          <w:tcPr>
            <w:tcW w:type="dxa" w:w="2340"/>
          </w:tcPr>
          <w:p>
            <w:r/>
            <w:r>
              <w:rPr>
                <w:rFonts w:ascii="Times New Roman" w:hAnsi="Times New Roman"/>
                <w:color w:val="333333"/>
                <w:sz w:val="20"/>
              </w:rPr>
              <w:t>Staff Salaries &amp; Training</w:t>
            </w:r>
          </w:p>
        </w:tc>
        <w:tc>
          <w:tcPr>
            <w:tcW w:type="dxa" w:w="2340"/>
          </w:tcPr>
          <w:p>
            <w:pPr>
              <w:jc w:val="right"/>
            </w:pPr>
            <w:r/>
            <w:r>
              <w:rPr>
                <w:rFonts w:ascii="Times New Roman" w:hAnsi="Times New Roman"/>
                <w:color w:val="333333"/>
                <w:sz w:val="20"/>
              </w:rPr>
              <w:t>$220,000</w:t>
            </w:r>
          </w:p>
        </w:tc>
        <w:tc>
          <w:tcPr>
            <w:tcW w:type="dxa" w:w="2340"/>
          </w:tcPr>
          <w:p>
            <w:pPr>
              <w:jc w:val="right"/>
            </w:pPr>
            <w:r/>
            <w:r>
              <w:rPr>
                <w:rFonts w:ascii="Times New Roman" w:hAnsi="Times New Roman"/>
                <w:color w:val="333333"/>
                <w:sz w:val="20"/>
              </w:rPr>
              <w:t>$310,000</w:t>
            </w:r>
          </w:p>
        </w:tc>
        <w:tc>
          <w:tcPr>
            <w:tcW w:type="dxa" w:w="2340"/>
          </w:tcPr>
          <w:p>
            <w:pPr>
              <w:jc w:val="right"/>
            </w:pPr>
            <w:r/>
            <w:r>
              <w:rPr>
                <w:rFonts w:ascii="Times New Roman" w:hAnsi="Times New Roman"/>
                <w:color w:val="333333"/>
                <w:sz w:val="20"/>
              </w:rPr>
              <w:t>$420,000</w:t>
            </w:r>
          </w:p>
        </w:tc>
      </w:tr>
      <w:tr>
        <w:tc>
          <w:tcPr>
            <w:tcW w:type="dxa" w:w="2340"/>
            <w:shd w:fill="FFF3E6" w:val="clear"/>
          </w:tcPr>
          <w:p>
            <w:r/>
            <w:r>
              <w:rPr>
                <w:rFonts w:ascii="Times New Roman" w:hAnsi="Times New Roman"/>
                <w:color w:val="333333"/>
                <w:sz w:val="20"/>
              </w:rPr>
              <w:t>Digital Platform Development</w:t>
            </w:r>
          </w:p>
        </w:tc>
        <w:tc>
          <w:tcPr>
            <w:tcW w:type="dxa" w:w="2340"/>
            <w:shd w:fill="FFF3E6" w:val="clear"/>
          </w:tcPr>
          <w:p>
            <w:pPr>
              <w:jc w:val="right"/>
            </w:pPr>
            <w:r/>
            <w:r>
              <w:rPr>
                <w:rFonts w:ascii="Times New Roman" w:hAnsi="Times New Roman"/>
                <w:color w:val="333333"/>
                <w:sz w:val="20"/>
              </w:rPr>
              <w:t>$150,000</w:t>
            </w:r>
          </w:p>
        </w:tc>
        <w:tc>
          <w:tcPr>
            <w:tcW w:type="dxa" w:w="2340"/>
            <w:shd w:fill="FFF3E6" w:val="clear"/>
          </w:tcPr>
          <w:p>
            <w:pPr>
              <w:jc w:val="right"/>
            </w:pPr>
            <w:r/>
            <w:r>
              <w:rPr>
                <w:rFonts w:ascii="Times New Roman" w:hAnsi="Times New Roman"/>
                <w:color w:val="333333"/>
                <w:sz w:val="20"/>
              </w:rPr>
              <w:t>$80,000</w:t>
            </w:r>
          </w:p>
        </w:tc>
        <w:tc>
          <w:tcPr>
            <w:tcW w:type="dxa" w:w="2340"/>
            <w:shd w:fill="FFF3E6" w:val="clear"/>
          </w:tcPr>
          <w:p>
            <w:pPr>
              <w:jc w:val="right"/>
            </w:pPr>
            <w:r/>
            <w:r>
              <w:rPr>
                <w:rFonts w:ascii="Times New Roman" w:hAnsi="Times New Roman"/>
                <w:color w:val="333333"/>
                <w:sz w:val="20"/>
              </w:rPr>
              <w:t>$60,000</w:t>
            </w:r>
          </w:p>
        </w:tc>
      </w:tr>
      <w:tr>
        <w:tc>
          <w:tcPr>
            <w:tcW w:type="dxa" w:w="2340"/>
          </w:tcPr>
          <w:p>
            <w:r/>
            <w:r>
              <w:rPr>
                <w:rFonts w:ascii="Times New Roman" w:hAnsi="Times New Roman"/>
                <w:color w:val="333333"/>
                <w:sz w:val="20"/>
              </w:rPr>
              <w:t>Marketing &amp; Promotion</w:t>
            </w:r>
          </w:p>
        </w:tc>
        <w:tc>
          <w:tcPr>
            <w:tcW w:type="dxa" w:w="2340"/>
          </w:tcPr>
          <w:p>
            <w:pPr>
              <w:jc w:val="right"/>
            </w:pPr>
            <w:r/>
            <w:r>
              <w:rPr>
                <w:rFonts w:ascii="Times New Roman" w:hAnsi="Times New Roman"/>
                <w:color w:val="333333"/>
                <w:sz w:val="20"/>
              </w:rPr>
              <w:t>$120,000</w:t>
            </w:r>
          </w:p>
        </w:tc>
        <w:tc>
          <w:tcPr>
            <w:tcW w:type="dxa" w:w="2340"/>
          </w:tcPr>
          <w:p>
            <w:pPr>
              <w:jc w:val="right"/>
            </w:pPr>
            <w:r/>
            <w:r>
              <w:rPr>
                <w:rFonts w:ascii="Times New Roman" w:hAnsi="Times New Roman"/>
                <w:color w:val="333333"/>
                <w:sz w:val="20"/>
              </w:rPr>
              <w:t>$160,000</w:t>
            </w:r>
          </w:p>
        </w:tc>
        <w:tc>
          <w:tcPr>
            <w:tcW w:type="dxa" w:w="2340"/>
          </w:tcPr>
          <w:p>
            <w:pPr>
              <w:jc w:val="right"/>
            </w:pPr>
            <w:r/>
            <w:r>
              <w:rPr>
                <w:rFonts w:ascii="Times New Roman" w:hAnsi="Times New Roman"/>
                <w:color w:val="333333"/>
                <w:sz w:val="20"/>
              </w:rPr>
              <w:t>$200,000</w:t>
            </w:r>
          </w:p>
        </w:tc>
      </w:tr>
      <w:tr>
        <w:tc>
          <w:tcPr>
            <w:tcW w:type="dxa" w:w="2340"/>
            <w:shd w:fill="FFF3E6" w:val="clear"/>
          </w:tcPr>
          <w:p>
            <w:r/>
            <w:r>
              <w:rPr>
                <w:rFonts w:ascii="Times New Roman" w:hAnsi="Times New Roman"/>
                <w:color w:val="333333"/>
                <w:sz w:val="20"/>
              </w:rPr>
              <w:t>Operations &amp; Administration</w:t>
            </w:r>
          </w:p>
        </w:tc>
        <w:tc>
          <w:tcPr>
            <w:tcW w:type="dxa" w:w="2340"/>
            <w:shd w:fill="FFF3E6" w:val="clear"/>
          </w:tcPr>
          <w:p>
            <w:pPr>
              <w:jc w:val="right"/>
            </w:pPr>
            <w:r/>
            <w:r>
              <w:rPr>
                <w:rFonts w:ascii="Times New Roman" w:hAnsi="Times New Roman"/>
                <w:color w:val="333333"/>
                <w:sz w:val="20"/>
              </w:rPr>
              <w:t>$85,000</w:t>
            </w:r>
          </w:p>
        </w:tc>
        <w:tc>
          <w:tcPr>
            <w:tcW w:type="dxa" w:w="2340"/>
            <w:shd w:fill="FFF3E6" w:val="clear"/>
          </w:tcPr>
          <w:p>
            <w:pPr>
              <w:jc w:val="right"/>
            </w:pPr>
            <w:r/>
            <w:r>
              <w:rPr>
                <w:rFonts w:ascii="Times New Roman" w:hAnsi="Times New Roman"/>
                <w:color w:val="333333"/>
                <w:sz w:val="20"/>
              </w:rPr>
              <w:t>$110,000</w:t>
            </w:r>
          </w:p>
        </w:tc>
        <w:tc>
          <w:tcPr>
            <w:tcW w:type="dxa" w:w="2340"/>
            <w:shd w:fill="FFF3E6" w:val="clear"/>
          </w:tcPr>
          <w:p>
            <w:pPr>
              <w:jc w:val="right"/>
            </w:pPr>
            <w:r/>
            <w:r>
              <w:rPr>
                <w:rFonts w:ascii="Times New Roman" w:hAnsi="Times New Roman"/>
                <w:color w:val="333333"/>
                <w:sz w:val="20"/>
              </w:rPr>
              <w:t>$140,000</w:t>
            </w:r>
          </w:p>
        </w:tc>
      </w:tr>
      <w:tr>
        <w:tc>
          <w:tcPr>
            <w:tcW w:type="dxa" w:w="2340"/>
          </w:tcPr>
          <w:p>
            <w:r/>
            <w:r>
              <w:rPr>
                <w:rFonts w:ascii="Times New Roman" w:hAnsi="Times New Roman"/>
                <w:color w:val="333333"/>
                <w:sz w:val="20"/>
              </w:rPr>
              <w:t>Contingency Fund</w:t>
            </w:r>
          </w:p>
        </w:tc>
        <w:tc>
          <w:tcPr>
            <w:tcW w:type="dxa" w:w="2340"/>
          </w:tcPr>
          <w:p>
            <w:pPr>
              <w:jc w:val="right"/>
            </w:pPr>
            <w:r/>
            <w:r>
              <w:rPr>
                <w:rFonts w:ascii="Times New Roman" w:hAnsi="Times New Roman"/>
                <w:color w:val="333333"/>
                <w:sz w:val="20"/>
              </w:rPr>
              <w:t>$50,000</w:t>
            </w:r>
          </w:p>
        </w:tc>
        <w:tc>
          <w:tcPr>
            <w:tcW w:type="dxa" w:w="2340"/>
          </w:tcPr>
          <w:p>
            <w:pPr>
              <w:jc w:val="right"/>
            </w:pPr>
            <w:r/>
            <w:r>
              <w:rPr>
                <w:rFonts w:ascii="Times New Roman" w:hAnsi="Times New Roman"/>
                <w:color w:val="333333"/>
                <w:sz w:val="20"/>
              </w:rPr>
              <w:t>$45,000</w:t>
            </w:r>
          </w:p>
        </w:tc>
        <w:tc>
          <w:tcPr>
            <w:tcW w:type="dxa" w:w="2340"/>
          </w:tcPr>
          <w:p>
            <w:pPr>
              <w:jc w:val="right"/>
            </w:pPr>
            <w:r/>
            <w:r>
              <w:rPr>
                <w:rFonts w:ascii="Times New Roman" w:hAnsi="Times New Roman"/>
                <w:color w:val="333333"/>
                <w:sz w:val="20"/>
              </w:rPr>
              <w:t>$40,000</w:t>
            </w:r>
          </w:p>
        </w:tc>
      </w:tr>
      <w:tr>
        <w:tc>
          <w:tcPr>
            <w:tcW w:type="dxa" w:w="2340"/>
            <w:shd w:fill="333333" w:val="clear"/>
          </w:tcPr>
          <w:p>
            <w:r/>
            <w:r>
              <w:rPr>
                <w:rFonts w:ascii="Times New Roman" w:hAnsi="Times New Roman"/>
                <w:b/>
                <w:color w:val="FFFFFF"/>
                <w:sz w:val="20"/>
              </w:rPr>
              <w:t>Total Expenses</w:t>
            </w:r>
          </w:p>
        </w:tc>
        <w:tc>
          <w:tcPr>
            <w:tcW w:type="dxa" w:w="2340"/>
            <w:shd w:fill="333333" w:val="clear"/>
          </w:tcPr>
          <w:p>
            <w:r/>
            <w:r>
              <w:rPr>
                <w:rFonts w:ascii="Times New Roman" w:hAnsi="Times New Roman"/>
                <w:b/>
                <w:color w:val="FFFFFF"/>
                <w:sz w:val="20"/>
              </w:rPr>
              <w:t>$900,000</w:t>
            </w:r>
          </w:p>
        </w:tc>
        <w:tc>
          <w:tcPr>
            <w:tcW w:type="dxa" w:w="2340"/>
            <w:shd w:fill="333333" w:val="clear"/>
          </w:tcPr>
          <w:p>
            <w:r/>
            <w:r>
              <w:rPr>
                <w:rFonts w:ascii="Times New Roman" w:hAnsi="Times New Roman"/>
                <w:b/>
                <w:color w:val="FFFFFF"/>
                <w:sz w:val="20"/>
              </w:rPr>
              <w:t>$905,000</w:t>
            </w:r>
          </w:p>
        </w:tc>
        <w:tc>
          <w:tcPr>
            <w:tcW w:type="dxa" w:w="2340"/>
            <w:shd w:fill="333333" w:val="clear"/>
          </w:tcPr>
          <w:p>
            <w:r/>
            <w:r>
              <w:rPr>
                <w:rFonts w:ascii="Times New Roman" w:hAnsi="Times New Roman"/>
                <w:b/>
                <w:color w:val="FFFFFF"/>
                <w:sz w:val="20"/>
              </w:rPr>
              <w:t>$1,025,000</w:t>
            </w:r>
          </w:p>
        </w:tc>
      </w:tr>
    </w:tbl>
    <w:p>
      <w:pPr>
        <w:spacing w:after="160" w:before="0"/>
        <w:jc w:val="left"/>
      </w:pPr>
      <w:r>
        <w:rPr>
          <w:rFonts w:ascii="Times New Roman" w:hAnsi="Times New Roman"/>
          <w:b w:val="0"/>
          <w:color w:val="333333"/>
          <w:sz w:val="16"/>
        </w:rPr>
      </w:r>
    </w:p>
    <w:p>
      <w:pPr>
        <w:spacing w:after="120" w:before="240"/>
        <w:jc w:val="left"/>
      </w:pPr>
      <w:r>
        <w:rPr>
          <w:rFonts w:ascii="Times New Roman" w:hAnsi="Times New Roman"/>
          <w:b/>
          <w:color w:val="333333"/>
          <w:sz w:val="26"/>
        </w:rPr>
        <w:t>Projected Revenue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86AB" w:val="clear"/>
          </w:tcPr>
          <w:p>
            <w:pPr>
              <w:jc w:val="center"/>
            </w:pPr>
            <w:r/>
            <w:r>
              <w:rPr>
                <w:rFonts w:ascii="Times New Roman" w:hAnsi="Times New Roman"/>
                <w:b/>
                <w:color w:val="FFFFFF"/>
                <w:sz w:val="20"/>
              </w:rPr>
              <w:t>Revenue Stream</w:t>
            </w:r>
          </w:p>
        </w:tc>
        <w:tc>
          <w:tcPr>
            <w:tcW w:type="dxa" w:w="2340"/>
            <w:shd w:fill="2E86AB" w:val="clear"/>
          </w:tcPr>
          <w:p>
            <w:pPr>
              <w:jc w:val="center"/>
            </w:pPr>
            <w:r/>
            <w:r>
              <w:rPr>
                <w:rFonts w:ascii="Times New Roman" w:hAnsi="Times New Roman"/>
                <w:b/>
                <w:color w:val="FFFFFF"/>
                <w:sz w:val="20"/>
              </w:rPr>
              <w:t>Year 1 (USD)</w:t>
            </w:r>
          </w:p>
        </w:tc>
        <w:tc>
          <w:tcPr>
            <w:tcW w:type="dxa" w:w="2340"/>
            <w:shd w:fill="2E86AB" w:val="clear"/>
          </w:tcPr>
          <w:p>
            <w:pPr>
              <w:jc w:val="center"/>
            </w:pPr>
            <w:r/>
            <w:r>
              <w:rPr>
                <w:rFonts w:ascii="Times New Roman" w:hAnsi="Times New Roman"/>
                <w:b/>
                <w:color w:val="FFFFFF"/>
                <w:sz w:val="20"/>
              </w:rPr>
              <w:t>Year 2 (USD)</w:t>
            </w:r>
          </w:p>
        </w:tc>
        <w:tc>
          <w:tcPr>
            <w:tcW w:type="dxa" w:w="2340"/>
            <w:shd w:fill="2E86AB"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Academy Memberships</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$420,000</w:t>
            </w:r>
          </w:p>
        </w:tc>
        <w:tc>
          <w:tcPr>
            <w:tcW w:type="dxa" w:w="2340"/>
          </w:tcPr>
          <w:p>
            <w:pPr>
              <w:jc w:val="right"/>
            </w:pPr>
            <w:r/>
            <w:r>
              <w:rPr>
                <w:rFonts w:ascii="Times New Roman" w:hAnsi="Times New Roman"/>
                <w:color w:val="333333"/>
                <w:sz w:val="20"/>
              </w:rPr>
              <w:t>$720,000</w:t>
            </w:r>
          </w:p>
        </w:tc>
      </w:tr>
      <w:tr>
        <w:tc>
          <w:tcPr>
            <w:tcW w:type="dxa" w:w="2340"/>
            <w:shd w:fill="E6F4FA" w:val="clear"/>
          </w:tcPr>
          <w:p>
            <w:r/>
            <w:r>
              <w:rPr>
                <w:rFonts w:ascii="Times New Roman" w:hAnsi="Times New Roman"/>
                <w:color w:val="333333"/>
                <w:sz w:val="20"/>
              </w:rPr>
              <w:t>Digital Platform Subscriptions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$150,000</w:t>
            </w:r>
          </w:p>
        </w:tc>
        <w:tc>
          <w:tcPr>
            <w:tcW w:type="dxa" w:w="2340"/>
            <w:shd w:fill="E6F4FA" w:val="clear"/>
          </w:tcPr>
          <w:p>
            <w:pPr>
              <w:jc w:val="right"/>
            </w:pPr>
            <w:r/>
            <w:r>
              <w:rPr>
                <w:rFonts w:ascii="Times New Roman" w:hAnsi="Times New Roman"/>
                <w:color w:val="333333"/>
                <w:sz w:val="20"/>
              </w:rPr>
              <w:t>$380,000</w:t>
            </w:r>
          </w:p>
        </w:tc>
      </w:tr>
      <w:tr>
        <w:tc>
          <w:tcPr>
            <w:tcW w:type="dxa" w:w="2340"/>
          </w:tcPr>
          <w:p>
            <w:r/>
            <w:r>
              <w:rPr>
                <w:rFonts w:ascii="Times New Roman" w:hAnsi="Times New Roman"/>
                <w:color w:val="333333"/>
                <w:sz w:val="20"/>
              </w:rPr>
              <w:t>Corporate Programs &amp; Events</w:t>
            </w:r>
          </w:p>
        </w:tc>
        <w:tc>
          <w:tcPr>
            <w:tcW w:type="dxa" w:w="2340"/>
          </w:tcPr>
          <w:p>
            <w:pPr>
              <w:jc w:val="right"/>
            </w:pPr>
            <w:r/>
            <w:r>
              <w:rPr>
                <w:rFonts w:ascii="Times New Roman" w:hAnsi="Times New Roman"/>
                <w:color w:val="333333"/>
                <w:sz w:val="20"/>
              </w:rPr>
              <w:t>$60,000</w:t>
            </w:r>
          </w:p>
        </w:tc>
        <w:tc>
          <w:tcPr>
            <w:tcW w:type="dxa" w:w="2340"/>
          </w:tcPr>
          <w:p>
            <w:pPr>
              <w:jc w:val="right"/>
            </w:pPr>
            <w:r/>
            <w:r>
              <w:rPr>
                <w:rFonts w:ascii="Times New Roman" w:hAnsi="Times New Roman"/>
                <w:color w:val="333333"/>
                <w:sz w:val="20"/>
              </w:rPr>
              <w:t>$130,000</w:t>
            </w:r>
          </w:p>
        </w:tc>
        <w:tc>
          <w:tcPr>
            <w:tcW w:type="dxa" w:w="2340"/>
          </w:tcPr>
          <w:p>
            <w:pPr>
              <w:jc w:val="right"/>
            </w:pPr>
            <w:r/>
            <w:r>
              <w:rPr>
                <w:rFonts w:ascii="Times New Roman" w:hAnsi="Times New Roman"/>
                <w:color w:val="333333"/>
                <w:sz w:val="20"/>
              </w:rPr>
              <w:t>$230,000</w:t>
            </w:r>
          </w:p>
        </w:tc>
      </w:tr>
      <w:tr>
        <w:tc>
          <w:tcPr>
            <w:tcW w:type="dxa" w:w="2340"/>
            <w:shd w:fill="E6F4FA" w:val="clear"/>
          </w:tcPr>
          <w:p>
            <w:r/>
            <w:r>
              <w:rPr>
                <w:rFonts w:ascii="Times New Roman" w:hAnsi="Times New Roman"/>
                <w:color w:val="333333"/>
                <w:sz w:val="20"/>
              </w:rPr>
              <w:t>Sponsorship &amp; Partnerships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$80,000</w:t>
            </w:r>
          </w:p>
        </w:tc>
        <w:tc>
          <w:tcPr>
            <w:tcW w:type="dxa" w:w="2340"/>
            <w:shd w:fill="E6F4FA" w:val="clear"/>
          </w:tcPr>
          <w:p>
            <w:pPr>
              <w:jc w:val="right"/>
            </w:pPr>
            <w:r/>
            <w:r>
              <w:rPr>
                <w:rFonts w:ascii="Times New Roman" w:hAnsi="Times New Roman"/>
                <w:color w:val="333333"/>
                <w:sz w:val="20"/>
              </w:rPr>
              <w:t>$120,000</w:t>
            </w:r>
          </w:p>
        </w:tc>
      </w:tr>
    </w:tbl>
    <w:p>
      <w:pPr>
        <w:spacing w:after="80" w:before="0"/>
        <w:jc w:val="left"/>
      </w:pPr>
      <w:r>
        <w:rPr>
          <w:rFonts w:ascii="Times New Roman" w:hAnsi="Times New Roman"/>
          <w:b w:val="0"/>
          <w:color w:val="333333"/>
          <w:sz w:val="12"/>
        </w:rPr>
      </w:r>
    </w:p>
    <w:p>
      <w:pPr>
        <w:spacing w:after="120" w:before="0"/>
        <w:ind w:firstLine="720"/>
        <w:jc w:val="left"/>
      </w:pPr>
      <w:r>
        <w:rPr>
          <w:rFonts w:ascii="Times New Roman" w:hAnsi="Times New Roman"/>
          <w:b w:val="0"/>
          <w:color w:val="333333"/>
          <w:sz w:val="24"/>
        </w:rPr>
        <w:t>Year 1 is a loss. We knew that going in. Heavy upfront investment in facilities, tech, and staffing means we are spending far more than we are bringing in. But revenue climbs fast. By the back half of Year 2, we cross into the black, with a break-even point at about 18 months. Year 3 brings in $1.45 million against $1.025 million in costs, which gives us room to breathe and reinvest. The app is the real engine here because it scales without requiring us to lease more buildings or hire proportionally more staff for every new user.</w:t>
      </w:r>
    </w:p>
    <w:p>
      <w:pPr>
        <w:spacing w:after="40" w:before="0"/>
        <w:jc w:val="left"/>
      </w:pPr>
      <w:r>
        <w:rPr>
          <w:rFonts w:ascii="Times New Roman" w:hAnsi="Times New Roman"/>
          <w:b w:val="0"/>
          <w:color w:val="333333"/>
          <w:sz w:val="8"/>
        </w:rPr>
      </w:r>
    </w:p>
    <w:p>
      <w:pPr>
        <w:jc w:val="center"/>
      </w:pPr>
      <w:r>
        <w:drawing>
          <wp:inline xmlns:a="http://schemas.openxmlformats.org/drawingml/2006/main" xmlns:pic="http://schemas.openxmlformats.org/drawingml/2006/picture">
            <wp:extent cx="5669280" cy="2137154"/>
            <wp:docPr id="1" name="Picture 1"/>
            <wp:cNvGraphicFramePr>
              <a:graphicFrameLocks noChangeAspect="1"/>
            </wp:cNvGraphicFramePr>
            <a:graphic>
              <a:graphicData uri="http://schemas.openxmlformats.org/drawingml/2006/picture">
                <pic:pic>
                  <pic:nvPicPr>
                    <pic:cNvPr id="0" name="budget_chart.png"/>
                    <pic:cNvPicPr/>
                  </pic:nvPicPr>
                  <pic:blipFill>
                    <a:blip r:embed="rId9"/>
                    <a:stretch>
                      <a:fillRect/>
                    </a:stretch>
                  </pic:blipFill>
                  <pic:spPr>
                    <a:xfrm>
                      <a:off x="0" y="0"/>
                      <a:ext cx="5669280" cy="2137154"/>
                    </a:xfrm>
                    <a:prstGeom prst="rect"/>
                  </pic:spPr>
                </pic:pic>
              </a:graphicData>
            </a:graphic>
          </wp:inline>
        </w:drawing>
      </w:r>
    </w:p>
    <w:p>
      <w:r>
        <w:br w:type="page"/>
      </w:r>
    </w:p>
    <w:p>
      <w:pPr>
        <w:spacing w:after="160" w:before="360"/>
        <w:jc w:val="left"/>
      </w:pPr>
      <w:r>
        <w:rPr>
          <w:rFonts w:ascii="Times New Roman" w:hAnsi="Times New Roman"/>
          <w:b/>
          <w:color w:val="E86C00"/>
          <w:sz w:val="32"/>
        </w:rPr>
        <w:t>Strategic Partnerships</w:t>
      </w:r>
    </w:p>
    <w:p>
      <w:pPr>
        <w:spacing w:after="120" w:before="0"/>
        <w:ind w:firstLine="720"/>
        <w:jc w:val="left"/>
      </w:pPr>
      <w:r>
        <w:rPr>
          <w:rFonts w:ascii="Times New Roman" w:hAnsi="Times New Roman"/>
          <w:b w:val="0"/>
          <w:color w:val="333333"/>
          <w:sz w:val="24"/>
        </w:rPr>
        <w:t>We could try to build everything from scratch. But honestly, that would be slow, expensive, and unnecessary. The smarter play is to partner with organizations that already have what we need (credibility, infrastructure, reach) and offer them something valuable in return. Here are the five partnerships we are going after.</w:t>
      </w:r>
    </w:p>
    <w:p>
      <w:pPr>
        <w:spacing w:after="120" w:before="240"/>
        <w:jc w:val="left"/>
      </w:pPr>
      <w:r>
        <w:rPr>
          <w:rFonts w:ascii="Times New Roman" w:hAnsi="Times New Roman"/>
          <w:b/>
          <w:color w:val="333333"/>
          <w:sz w:val="26"/>
        </w:rPr>
        <w:t>NBA India</w:t>
      </w:r>
    </w:p>
    <w:p>
      <w:pPr>
        <w:spacing w:after="120" w:before="0"/>
        <w:ind w:firstLine="720"/>
        <w:jc w:val="left"/>
      </w:pPr>
      <w:r>
        <w:rPr>
          <w:rFonts w:ascii="Times New Roman" w:hAnsi="Times New Roman"/>
          <w:b w:val="0"/>
          <w:color w:val="333333"/>
          <w:sz w:val="24"/>
        </w:rPr>
        <w:t>This one is the biggest. If we can get affiliated with the NBA, everything else becomes easier. They have already put real money into Indian basketball through the NBA Academy, Jr. NBA programs, and broadcast deals. What we want is recognition as an official NBA-affiliated training center. That gives us access to their coaching playbooks, their brand credibility, and their scouting network. For our players, it means a visible ladder: train at HoopRise, perform well, get noticed by NBA scouts or earn a look from the Academy. No local competitor can offer anything close to that.</w:t>
      </w:r>
    </w:p>
    <w:p>
      <w:pPr>
        <w:spacing w:after="120" w:before="240"/>
        <w:jc w:val="left"/>
      </w:pPr>
      <w:r>
        <w:rPr>
          <w:rFonts w:ascii="Times New Roman" w:hAnsi="Times New Roman"/>
          <w:b/>
          <w:color w:val="333333"/>
          <w:sz w:val="26"/>
        </w:rPr>
        <w:t>Nike India / Adidas India</w:t>
      </w:r>
    </w:p>
    <w:p>
      <w:pPr>
        <w:spacing w:after="120" w:before="0"/>
        <w:ind w:firstLine="720"/>
        <w:jc w:val="left"/>
      </w:pPr>
      <w:r>
        <w:rPr>
          <w:rFonts w:ascii="Times New Roman" w:hAnsi="Times New Roman"/>
          <w:b w:val="0"/>
          <w:color w:val="333333"/>
          <w:sz w:val="24"/>
        </w:rPr>
        <w:t>A partnership with a major sportswear brand does a few things at once. We get quality gear at better prices. We get co-branded marketing campaigns. And we potentially unlock funding for scholarship programs. Nike is our first choice because of their history with basketball, but Adidas would work too. From their perspective, they get a direct channel into India's next generation of basketball players. They get their products on kids in a market that is only getting bigger. That is the kind of grassroots brand-building that these companies spend millions trying to create organically.</w:t>
      </w:r>
    </w:p>
    <w:p>
      <w:pPr>
        <w:spacing w:after="120" w:before="240"/>
        <w:jc w:val="left"/>
      </w:pPr>
      <w:r>
        <w:rPr>
          <w:rFonts w:ascii="Times New Roman" w:hAnsi="Times New Roman"/>
          <w:b/>
          <w:color w:val="333333"/>
          <w:sz w:val="26"/>
        </w:rPr>
        <w:t>Basketball Federation of India (BFI)</w:t>
      </w:r>
    </w:p>
    <w:p>
      <w:pPr>
        <w:spacing w:after="120" w:before="0"/>
        <w:ind w:firstLine="720"/>
        <w:jc w:val="left"/>
      </w:pPr>
      <w:r>
        <w:rPr>
          <w:rFonts w:ascii="Times New Roman" w:hAnsi="Times New Roman"/>
          <w:b w:val="0"/>
          <w:color w:val="333333"/>
          <w:sz w:val="24"/>
        </w:rPr>
        <w:t>BFI recognition gives us something money cannot buy: institutional credibility. If we are an accredited center, our players can be eligible for state and national team selection. We get access to BFI tournaments, coaching certifications, and government sports venues. And for the BFI, we are basically doing their grassroots work for them, finding talent and developing players who feed into the national pipeline. It is a relationship that makes both sides stronger.</w:t>
      </w:r>
    </w:p>
    <w:p>
      <w:pPr>
        <w:spacing w:after="120" w:before="240"/>
        <w:jc w:val="left"/>
      </w:pPr>
      <w:r>
        <w:rPr>
          <w:rFonts w:ascii="Times New Roman" w:hAnsi="Times New Roman"/>
          <w:b/>
          <w:color w:val="333333"/>
          <w:sz w:val="26"/>
        </w:rPr>
        <w:t>Indian School and University Networks</w:t>
      </w:r>
    </w:p>
    <w:p>
      <w:pPr>
        <w:spacing w:after="120" w:before="0"/>
        <w:ind w:firstLine="720"/>
        <w:jc w:val="left"/>
      </w:pPr>
      <w:r>
        <w:rPr>
          <w:rFonts w:ascii="Times New Roman" w:hAnsi="Times New Roman"/>
          <w:b w:val="0"/>
          <w:color w:val="333333"/>
          <w:sz w:val="24"/>
        </w:rPr>
        <w:t>We want to be inside the schools. Partnering with networks like Delhi Public School, Amity International, and Ryan International lets us run after-school basketball programs on their campuses, offer discounted enrollment to their students, and sponsor inter-school tournaments. For universities, we are targeting Christ University in Bangalore, Shiv Nadar in Delhi, and NMIMS in Mumbai. These partnerships give us access to the exact age group we want, in the exact places where they spend most of their time. It does not get much more targeted than that.</w:t>
      </w:r>
    </w:p>
    <w:p>
      <w:pPr>
        <w:spacing w:after="120" w:before="240"/>
        <w:jc w:val="left"/>
      </w:pPr>
      <w:r>
        <w:rPr>
          <w:rFonts w:ascii="Times New Roman" w:hAnsi="Times New Roman"/>
          <w:b/>
          <w:color w:val="333333"/>
          <w:sz w:val="26"/>
        </w:rPr>
        <w:t>Technology Partners</w:t>
      </w:r>
    </w:p>
    <w:p>
      <w:pPr>
        <w:spacing w:after="120" w:before="0"/>
        <w:ind w:firstLine="720"/>
        <w:jc w:val="left"/>
      </w:pPr>
      <w:r>
        <w:rPr>
          <w:rFonts w:ascii="Times New Roman" w:hAnsi="Times New Roman"/>
          <w:b w:val="0"/>
          <w:color w:val="333333"/>
          <w:sz w:val="24"/>
        </w:rPr>
        <w:t>Building a good app costs a lot of money. Building a great app costs even more. Tech partnerships help close that gap. We are looking at Indian IT firms like Infosys or Wipro for platform development work, AWS India for cloud hosting (their startup credits program is genuinely helpful for early-stage companies), and sports tech outfits like ShotTracker for performance analytics features. These partnerships bring our development costs down while keeping the product quality high, which matters a lot when you are trying to compete with polished international apps on a startup budget.</w:t>
      </w:r>
    </w:p>
    <w:p>
      <w:r>
        <w:br w:type="page"/>
      </w:r>
    </w:p>
    <w:p>
      <w:pPr>
        <w:spacing w:after="160" w:before="360"/>
        <w:jc w:val="left"/>
      </w:pPr>
      <w:r>
        <w:rPr>
          <w:rFonts w:ascii="Times New Roman" w:hAnsi="Times New Roman"/>
          <w:b/>
          <w:color w:val="E86C00"/>
          <w:sz w:val="32"/>
        </w:rPr>
        <w:t>References</w:t>
      </w:r>
    </w:p>
    <w:p>
      <w:pPr>
        <w:spacing w:after="160"/>
        <w:ind w:left="720" w:hanging="720"/>
      </w:pPr>
      <w:r>
        <w:rPr>
          <w:rFonts w:ascii="Times New Roman" w:hAnsi="Times New Roman"/>
          <w:color w:val="333333"/>
          <w:sz w:val="24"/>
        </w:rPr>
        <w:t>Deloitte. (2024). India's digital sports consumption: Trends and opportunities in a mobile-first market. Deloitte Touche Tohmatsu India LLP.</w:t>
      </w:r>
    </w:p>
    <w:p>
      <w:pPr>
        <w:spacing w:after="160"/>
        <w:ind w:left="720" w:hanging="720"/>
      </w:pPr>
      <w:r>
        <w:rPr>
          <w:rFonts w:ascii="Times New Roman" w:hAnsi="Times New Roman"/>
          <w:color w:val="333333"/>
          <w:sz w:val="24"/>
        </w:rPr>
        <w:t>KPMG. (2023). The business of sports: A comprehensive analysis of India's evolving sports industry landscape. KPMG India.</w:t>
      </w:r>
    </w:p>
    <w:p>
      <w:pPr>
        <w:spacing w:after="160"/>
        <w:ind w:left="720" w:hanging="720"/>
      </w:pPr>
      <w:r>
        <w:rPr>
          <w:rFonts w:ascii="Times New Roman" w:hAnsi="Times New Roman"/>
          <w:color w:val="333333"/>
          <w:sz w:val="24"/>
        </w:rPr>
        <w:t>National Basketball Association. (2024). NBA global outreach report: Expanding basketball culture in emerging markets. NBA Communications.</w:t>
      </w:r>
    </w:p>
    <w:p>
      <w:pPr>
        <w:spacing w:after="160"/>
        <w:ind w:left="720" w:hanging="720"/>
      </w:pPr>
      <w:r>
        <w:rPr>
          <w:rFonts w:ascii="Times New Roman" w:hAnsi="Times New Roman"/>
          <w:color w:val="333333"/>
          <w:sz w:val="24"/>
        </w:rPr>
        <w:t>Sports Authority of India. (2023). Khelo India annual report 2022-2023: Building a sporting nation through grassroots development. Ministry of Youth Affairs and Sports, Government of India.</w:t>
      </w:r>
    </w:p>
    <w:p>
      <w:pPr>
        <w:spacing w:after="160"/>
        <w:ind w:left="720" w:hanging="720"/>
      </w:pPr>
      <w:r>
        <w:rPr>
          <w:rFonts w:ascii="Times New Roman" w:hAnsi="Times New Roman"/>
          <w:color w:val="333333"/>
          <w:sz w:val="24"/>
        </w:rPr>
        <w:t>United Nations Department of Economic and Social Affairs. (2024). World population prospects 2024: India demographic profile summary. United Nations 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