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80" w:before="0"/>
        <w:jc w:val="center"/>
      </w:pPr>
      <w:r>
        <w:rPr>
          <w:rFonts w:ascii="Times New Roman" w:hAnsi="Times New Roman"/>
          <w:b/>
          <w:color w:val="E86C00"/>
          <w:sz w:val="56"/>
        </w:rPr>
        <w:t>HoopRise Basketball Academy</w:t>
      </w:r>
    </w:p>
    <w:p>
      <w:pPr>
        <w:spacing w:after="80" w:before="0"/>
        <w:jc w:val="center"/>
      </w:pPr>
      <w:r>
        <w:rPr>
          <w:rFonts w:ascii="Times New Roman" w:hAnsi="Times New Roman"/>
          <w:b/>
          <w:color w:val="333333"/>
          <w:sz w:val="36"/>
        </w:rPr>
        <w:t>International Sport Business Plan</w:t>
      </w:r>
    </w:p>
    <w:p>
      <w:pPr>
        <w:jc w:val="center"/>
      </w:pPr>
      <w:r>
        <w:rPr>
          <w:color w:val="E86C00"/>
          <w:sz w:val="24"/>
        </w:rPr>
        <w:t>━━━━━━━━━━━━━━━━━━━━━━━━━━━━━━━━━━━━━━━━</w:t>
      </w:r>
    </w:p>
    <w:p>
      <w:pPr>
        <w:spacing w:after="600" w:before="0"/>
        <w:jc w:val="center"/>
      </w:pPr>
      <w:r>
        <w:rPr>
          <w:rFonts w:ascii="Times New Roman" w:hAnsi="Times New Roman"/>
          <w:b w:val="0"/>
          <w:color w:val="666666"/>
          <w:sz w:val="28"/>
        </w:rPr>
        <w:t>Expanding Youth Basketball Development in India</w:t>
      </w:r>
    </w:p>
    <w:p>
      <w:pPr>
        <w:spacing w:after="80" w:before="0"/>
        <w:jc w:val="center"/>
      </w:pPr>
      <w:r>
        <w:rPr>
          <w:rFonts w:ascii="Times New Roman" w:hAnsi="Times New Roman"/>
          <w:b w:val="0"/>
          <w:color w:val="333333"/>
          <w:sz w:val="24"/>
        </w:rPr>
        <w:t>Prepared for: International Sport Business</w:t>
      </w:r>
    </w:p>
    <w:p>
      <w:pPr>
        <w:spacing w:after="80" w:before="0"/>
        <w:jc w:val="center"/>
      </w:pPr>
      <w:r>
        <w:rPr>
          <w:rFonts w:ascii="Times New Roman" w:hAnsi="Times New Roman"/>
          <w:b w:val="0"/>
          <w:color w:val="333333"/>
          <w:sz w:val="24"/>
        </w:rPr>
        <w:t>June 2026</w:t>
      </w:r>
    </w:p>
    <w:p>
      <w:r>
        <w:br w:type="page"/>
      </w:r>
    </w:p>
    <w:p>
      <w:pPr>
        <w:spacing w:after="240" w:before="0"/>
        <w:jc w:val="left"/>
      </w:pPr>
      <w:r>
        <w:rPr>
          <w:rFonts w:ascii="Times New Roman" w:hAnsi="Times New Roman"/>
          <w:b/>
          <w:color w:val="E86C00"/>
          <w:sz w:val="32"/>
        </w:rPr>
        <w:t>Table of Contents</w:t>
      </w:r>
    </w:p>
    <w:p>
      <w:pPr>
        <w:tabs>
          <w:tab w:pos="8640" w:val="right" w:leader="dot"/>
        </w:tabs>
        <w:spacing w:after="80"/>
      </w:pPr>
      <w:r>
        <w:rPr>
          <w:rFonts w:ascii="Times New Roman" w:hAnsi="Times New Roman"/>
          <w:color w:val="333333"/>
          <w:sz w:val="24"/>
        </w:rPr>
        <w:t>Market Research Summary</w:t>
      </w:r>
      <w:r>
        <w:rPr>
          <w:rFonts w:ascii="Times New Roman" w:hAnsi="Times New Roman"/>
          <w:color w:val="666666"/>
          <w:sz w:val="24"/>
        </w:rPr>
        <w:tab/>
        <w:t>1</w:t>
      </w:r>
    </w:p>
    <w:p>
      <w:pPr>
        <w:tabs>
          <w:tab w:pos="8640" w:val="right" w:leader="dot"/>
        </w:tabs>
        <w:spacing w:after="80"/>
      </w:pPr>
      <w:r>
        <w:rPr>
          <w:rFonts w:ascii="Times New Roman" w:hAnsi="Times New Roman"/>
          <w:color w:val="333333"/>
          <w:sz w:val="24"/>
        </w:rPr>
        <w:t>The Concept</w:t>
      </w:r>
      <w:r>
        <w:rPr>
          <w:rFonts w:ascii="Times New Roman" w:hAnsi="Times New Roman"/>
          <w:color w:val="666666"/>
          <w:sz w:val="24"/>
        </w:rPr>
        <w:tab/>
        <w:t>2</w:t>
      </w:r>
    </w:p>
    <w:p>
      <w:pPr>
        <w:tabs>
          <w:tab w:pos="8640" w:val="right" w:leader="dot"/>
        </w:tabs>
        <w:spacing w:after="80"/>
      </w:pPr>
      <w:r>
        <w:rPr>
          <w:rFonts w:ascii="Times New Roman" w:hAnsi="Times New Roman"/>
          <w:color w:val="333333"/>
          <w:sz w:val="24"/>
        </w:rPr>
        <w:t>Mission Statement</w:t>
      </w:r>
      <w:r>
        <w:rPr>
          <w:rFonts w:ascii="Times New Roman" w:hAnsi="Times New Roman"/>
          <w:color w:val="666666"/>
          <w:sz w:val="24"/>
        </w:rPr>
        <w:tab/>
        <w:t>3</w:t>
      </w:r>
    </w:p>
    <w:p>
      <w:pPr>
        <w:tabs>
          <w:tab w:pos="8640" w:val="right" w:leader="dot"/>
        </w:tabs>
        <w:spacing w:after="80"/>
      </w:pPr>
      <w:r>
        <w:rPr>
          <w:rFonts w:ascii="Times New Roman" w:hAnsi="Times New Roman"/>
          <w:color w:val="333333"/>
          <w:sz w:val="24"/>
        </w:rPr>
        <w:t>Competitive Position</w:t>
      </w:r>
      <w:r>
        <w:rPr>
          <w:rFonts w:ascii="Times New Roman" w:hAnsi="Times New Roman"/>
          <w:color w:val="666666"/>
          <w:sz w:val="24"/>
        </w:rPr>
        <w:tab/>
        <w:t>3</w:t>
      </w:r>
    </w:p>
    <w:p>
      <w:pPr>
        <w:tabs>
          <w:tab w:pos="8640" w:val="right" w:leader="dot"/>
        </w:tabs>
        <w:spacing w:after="80"/>
      </w:pPr>
      <w:r>
        <w:rPr>
          <w:rFonts w:ascii="Times New Roman" w:hAnsi="Times New Roman"/>
          <w:color w:val="333333"/>
          <w:sz w:val="24"/>
        </w:rPr>
        <w:t>Cultural Considerations</w:t>
      </w:r>
      <w:r>
        <w:rPr>
          <w:rFonts w:ascii="Times New Roman" w:hAnsi="Times New Roman"/>
          <w:color w:val="666666"/>
          <w:sz w:val="24"/>
        </w:rPr>
        <w:tab/>
        <w:t>5</w:t>
      </w:r>
    </w:p>
    <w:p>
      <w:pPr>
        <w:tabs>
          <w:tab w:pos="8640" w:val="right" w:leader="dot"/>
        </w:tabs>
        <w:spacing w:after="80"/>
      </w:pPr>
      <w:r>
        <w:rPr>
          <w:rFonts w:ascii="Times New Roman" w:hAnsi="Times New Roman"/>
          <w:color w:val="333333"/>
          <w:sz w:val="24"/>
        </w:rPr>
        <w:t>Fundraising/Financing</w:t>
      </w:r>
      <w:r>
        <w:rPr>
          <w:rFonts w:ascii="Times New Roman" w:hAnsi="Times New Roman"/>
          <w:color w:val="666666"/>
          <w:sz w:val="24"/>
        </w:rPr>
        <w:tab/>
        <w:t>6</w:t>
      </w:r>
    </w:p>
    <w:p>
      <w:pPr>
        <w:tabs>
          <w:tab w:pos="8640" w:val="right" w:leader="dot"/>
        </w:tabs>
        <w:spacing w:after="80"/>
      </w:pPr>
      <w:r>
        <w:rPr>
          <w:rFonts w:ascii="Times New Roman" w:hAnsi="Times New Roman"/>
          <w:color w:val="333333"/>
          <w:sz w:val="24"/>
        </w:rPr>
        <w:t>Promotional Strategies</w:t>
      </w:r>
      <w:r>
        <w:rPr>
          <w:rFonts w:ascii="Times New Roman" w:hAnsi="Times New Roman"/>
          <w:color w:val="666666"/>
          <w:sz w:val="24"/>
        </w:rPr>
        <w:tab/>
        <w:t>7</w:t>
      </w:r>
    </w:p>
    <w:p>
      <w:pPr>
        <w:tabs>
          <w:tab w:pos="8640" w:val="right" w:leader="dot"/>
        </w:tabs>
        <w:spacing w:after="80"/>
      </w:pPr>
      <w:r>
        <w:rPr>
          <w:rFonts w:ascii="Times New Roman" w:hAnsi="Times New Roman"/>
          <w:color w:val="333333"/>
          <w:sz w:val="24"/>
        </w:rPr>
        <w:t>Anticipated Budget</w:t>
      </w:r>
      <w:r>
        <w:rPr>
          <w:rFonts w:ascii="Times New Roman" w:hAnsi="Times New Roman"/>
          <w:color w:val="666666"/>
          <w:sz w:val="24"/>
        </w:rPr>
        <w:tab/>
        <w:t>8</w:t>
      </w:r>
    </w:p>
    <w:p>
      <w:pPr>
        <w:tabs>
          <w:tab w:pos="8640" w:val="right" w:leader="dot"/>
        </w:tabs>
        <w:spacing w:after="80"/>
      </w:pPr>
      <w:r>
        <w:rPr>
          <w:rFonts w:ascii="Times New Roman" w:hAnsi="Times New Roman"/>
          <w:color w:val="333333"/>
          <w:sz w:val="24"/>
        </w:rPr>
        <w:t>Strategic Partnerships</w:t>
      </w:r>
      <w:r>
        <w:rPr>
          <w:rFonts w:ascii="Times New Roman" w:hAnsi="Times New Roman"/>
          <w:color w:val="666666"/>
          <w:sz w:val="24"/>
        </w:rPr>
        <w:tab/>
        <w:t>9</w:t>
      </w:r>
    </w:p>
    <w:p>
      <w:pPr>
        <w:tabs>
          <w:tab w:pos="8640" w:val="right" w:leader="dot"/>
        </w:tabs>
        <w:spacing w:after="80"/>
      </w:pPr>
      <w:r>
        <w:rPr>
          <w:rFonts w:ascii="Times New Roman" w:hAnsi="Times New Roman"/>
          <w:color w:val="333333"/>
          <w:sz w:val="24"/>
        </w:rPr>
        <w:t>References</w:t>
      </w:r>
      <w:r>
        <w:rPr>
          <w:rFonts w:ascii="Times New Roman" w:hAnsi="Times New Roman"/>
          <w:color w:val="666666"/>
          <w:sz w:val="24"/>
        </w:rPr>
        <w:tab/>
        <w:t>10</w:t>
      </w:r>
    </w:p>
    <w:p>
      <w:r>
        <w:br w:type="page"/>
      </w:r>
    </w:p>
    <w:p>
      <w:pPr>
        <w:spacing w:after="160" w:before="360"/>
        <w:jc w:val="left"/>
      </w:pPr>
      <w:r>
        <w:rPr>
          <w:rFonts w:ascii="Times New Roman" w:hAnsi="Times New Roman"/>
          <w:b/>
          <w:color w:val="E86C00"/>
          <w:sz w:val="32"/>
        </w:rPr>
        <w:t>Market Research Summary</w:t>
      </w:r>
    </w:p>
    <w:p>
      <w:pPr>
        <w:spacing w:after="120" w:before="240"/>
        <w:jc w:val="left"/>
      </w:pPr>
      <w:r>
        <w:rPr>
          <w:rFonts w:ascii="Times New Roman" w:hAnsi="Times New Roman"/>
          <w:b/>
          <w:color w:val="333333"/>
          <w:sz w:val="26"/>
        </w:rPr>
        <w:t>Key Demographics and Market Size</w:t>
      </w:r>
    </w:p>
    <w:p>
      <w:pPr>
        <w:spacing w:after="120" w:before="0"/>
        <w:ind w:firstLine="720"/>
        <w:jc w:val="left"/>
      </w:pPr>
      <w:r>
        <w:rPr>
          <w:rFonts w:ascii="Times New Roman" w:hAnsi="Times New Roman"/>
          <w:b w:val="0"/>
          <w:color w:val="333333"/>
          <w:sz w:val="24"/>
        </w:rPr>
        <w:t>India represents one of the most compelling emerging markets for basketball development in the world. With a population exceeding 1.44 billion people, India is the world's most populous nation, and its demographic profile is exceptionally youth-oriented: approximately 65% of the population is under 35 years of age, and the median age stands at 28.4 years (United Nations, 2024). This positions India as a market with an enormous base of potential young athletes. The Indian sports industry is valued at approximately $2.7 billion and is projected to reach $10 billion by 2030, driven by rising disposable incomes, urbanization, and increased government investment in sports infrastructure (KPMG, 2023). Basketball specifically has seen rapid growth, with the NBA estimating over 300 million basketball fans in India as of 2024, making it the league's second-largest market outside the United States.</w:t>
      </w:r>
    </w:p>
    <w:p>
      <w:pPr>
        <w:spacing w:after="120" w:before="240"/>
        <w:jc w:val="left"/>
      </w:pPr>
      <w:r>
        <w:rPr>
          <w:rFonts w:ascii="Times New Roman" w:hAnsi="Times New Roman"/>
          <w:b/>
          <w:color w:val="333333"/>
          <w:sz w:val="26"/>
        </w:rPr>
        <w:t>Consumer Behavior Trends</w:t>
      </w:r>
    </w:p>
    <w:p>
      <w:pPr>
        <w:spacing w:after="120" w:before="0"/>
        <w:ind w:firstLine="720"/>
        <w:jc w:val="left"/>
      </w:pPr>
      <w:r>
        <w:rPr>
          <w:rFonts w:ascii="Times New Roman" w:hAnsi="Times New Roman"/>
          <w:b w:val="0"/>
          <w:color w:val="333333"/>
          <w:sz w:val="24"/>
        </w:rPr>
        <w:t>Indian consumers, particularly in the 15-30 age bracket, are increasingly health-conscious and drawn to fitness-oriented lifestyles. The rapid proliferation of affordable smartphones and low-cost mobile data (averaging $0.17 per GB, among the cheapest globally) has created a digitally connected generation that consumes sports content voraciously through platforms like YouTube, Instagram, and streaming services (Deloitte, 2024). Parents in India's growing middle class, now estimated at over 400 million people, are investing more in extracurricular activities for their children, viewing sports as a pathway to holistic development and potential scholarship opportunities. The rise of the Indian Premier League (IPL) has demonstrated that Indian consumers are willing to embrace and passionately support well-marketed sporting ventures, setting a precedent for other sports to follow.</w:t>
      </w:r>
    </w:p>
    <w:p>
      <w:pPr>
        <w:spacing w:after="120" w:before="240"/>
        <w:jc w:val="left"/>
      </w:pPr>
      <w:r>
        <w:rPr>
          <w:rFonts w:ascii="Times New Roman" w:hAnsi="Times New Roman"/>
          <w:b/>
          <w:color w:val="333333"/>
          <w:sz w:val="26"/>
        </w:rPr>
        <w:t>Opportunities and Challenges</w:t>
      </w:r>
    </w:p>
    <w:p>
      <w:pPr>
        <w:spacing w:after="120" w:before="0"/>
        <w:ind w:firstLine="720"/>
        <w:jc w:val="left"/>
      </w:pPr>
      <w:r>
        <w:rPr>
          <w:rFonts w:ascii="Times New Roman" w:hAnsi="Times New Roman"/>
          <w:b w:val="0"/>
          <w:color w:val="333333"/>
          <w:sz w:val="24"/>
        </w:rPr>
        <w:t>The opportunities for entering India's basketball market are substantial. The Indian government's Khelo India initiative has allocated over $350 million toward sports development, including basketball infrastructure. The NBA's establishment of the NBA Academy India in 2017 and the launch of the Basketball Africa League model provide proof of concept for structured basketball development programs. India's rapid urbanization, with 35% of the population now living in cities, creates concentrated demand centers. However, challenges exist: cricket's cultural dominance means basketball must compete for attention and participation; infrastructure gaps persist, with limited access to quality indoor courts; and price sensitivity remains a factor, as training programs must be accessible across income levels. Additionally, navigating India's diverse regulatory landscape across 28 states and 8 union territories requires localized strategies.</w:t>
      </w:r>
    </w:p>
    <w:p>
      <w:r>
        <w:br w:type="page"/>
      </w:r>
    </w:p>
    <w:p>
      <w:pPr>
        <w:spacing w:after="160" w:before="360"/>
        <w:jc w:val="left"/>
      </w:pPr>
      <w:r>
        <w:rPr>
          <w:rFonts w:ascii="Times New Roman" w:hAnsi="Times New Roman"/>
          <w:b/>
          <w:color w:val="E86C00"/>
          <w:sz w:val="32"/>
        </w:rPr>
        <w:t>The Concept</w:t>
      </w:r>
    </w:p>
    <w:p>
      <w:pPr>
        <w:spacing w:after="120" w:before="0"/>
        <w:ind w:firstLine="720"/>
        <w:jc w:val="left"/>
      </w:pPr>
      <w:r>
        <w:rPr>
          <w:rFonts w:ascii="Times New Roman" w:hAnsi="Times New Roman"/>
          <w:b w:val="0"/>
          <w:color w:val="333333"/>
          <w:sz w:val="24"/>
        </w:rPr>
        <w:t>HoopRise Basketball Academy is a hybrid basketball training and development enterprise that combines world-class physical training facilities with an integrated digital platform to deliver comprehensive basketball education to Indian youth. The academy will establish premium training centers in three of India's largest metropolitan areas—Mumbai, Delhi NCR, and Bangalore—while simultaneously launching a mobile application that extends training access to aspiring basketball players across the entire nation.</w:t>
      </w:r>
    </w:p>
    <w:p>
      <w:pPr>
        <w:spacing w:after="120" w:before="0"/>
        <w:ind w:firstLine="720"/>
        <w:jc w:val="left"/>
      </w:pPr>
      <w:r>
        <w:rPr>
          <w:rFonts w:ascii="Times New Roman" w:hAnsi="Times New Roman"/>
          <w:b w:val="0"/>
          <w:color w:val="333333"/>
          <w:sz w:val="24"/>
        </w:rPr>
        <w:t>The physical academies will feature regulation-size indoor courts, strength and conditioning facilities, sports science labs with motion capture technology, and classrooms for tactical instruction. Each location will be staffed by certified coaches with international playing or coaching experience, supplemented by local assistant coaches who understand regional dynamics. Training programs will be structured into tiered levels—Beginner, Intermediate, Advanced, and Elite—accommodating players from ages 8 to 22.</w:t>
      </w:r>
    </w:p>
    <w:p>
      <w:pPr>
        <w:spacing w:after="120" w:before="0"/>
        <w:ind w:firstLine="720"/>
        <w:jc w:val="left"/>
      </w:pPr>
      <w:r>
        <w:rPr>
          <w:rFonts w:ascii="Times New Roman" w:hAnsi="Times New Roman"/>
          <w:b w:val="0"/>
          <w:color w:val="333333"/>
          <w:sz w:val="24"/>
        </w:rPr>
        <w:t>The HoopRise digital platform will serve as both a training companion and a standalone product. It will feature AI-driven skill assessment tools, video-based drill libraries with demonstrations in multiple Indian languages, performance tracking dashboards, and virtual coaching sessions. This hybrid model addresses a critical gap in the Indian market: while interest in basketball is surging, structured and accessible training programs remain scarce, particularly outside major cities. HoopRise bridges this divide by making high-quality basketball development available to any young Indian with a smartphone, while offering an immersive in-person experience for those in proximity to academy locations.</w:t>
      </w:r>
    </w:p>
    <w:p>
      <w:r>
        <w:br w:type="page"/>
      </w:r>
    </w:p>
    <w:p>
      <w:pPr>
        <w:spacing w:after="160" w:before="360"/>
        <w:jc w:val="left"/>
      </w:pPr>
      <w:r>
        <w:rPr>
          <w:rFonts w:ascii="Times New Roman" w:hAnsi="Times New Roman"/>
          <w:b/>
          <w:color w:val="E86C00"/>
          <w:sz w:val="32"/>
        </w:rPr>
        <w:t>Mission Statement</w:t>
      </w:r>
    </w:p>
    <w:p>
      <w:pPr>
        <w:spacing w:after="120" w:before="0"/>
        <w:ind w:firstLine="720"/>
        <w:jc w:val="left"/>
      </w:pPr>
      <w:r>
        <w:rPr>
          <w:rFonts w:ascii="Times New Roman" w:hAnsi="Times New Roman"/>
          <w:b w:val="0"/>
          <w:color w:val="333333"/>
          <w:sz w:val="24"/>
        </w:rPr>
        <w:t>HoopRise Basketball Academy exists to democratize basketball excellence across India by providing world-class training infrastructure, expert coaching, and innovative digital tools that develop the next generation of Indian basketball talent. Our mission is to nurture athletic skill, physical fitness, teamwork, and personal character in every young player who enters our program, regardless of socioeconomic background or geographic location. We are committed to making basketball a mainstream pathway for youth development in India by combining global best practices with deep cultural understanding, creating an ecosystem where Indian basketball talent can be identified, cultivated, and elevated to compete on the world stage.</w:t>
      </w:r>
    </w:p>
    <w:p>
      <w:pPr>
        <w:spacing w:after="120" w:before="0"/>
        <w:ind w:firstLine="720"/>
        <w:jc w:val="left"/>
      </w:pPr>
      <w:r>
        <w:rPr>
          <w:rFonts w:ascii="Times New Roman" w:hAnsi="Times New Roman"/>
          <w:b w:val="0"/>
          <w:color w:val="333333"/>
          <w:sz w:val="24"/>
        </w:rPr>
        <w:t>Our core objectives are threefold: (1) to establish India's most recognized and respected basketball training brand within five years; (2) to develop a pipeline of players capable of competing in international leagues, collegiate programs, and national teams; and (3) to reach one million aspiring basketball players through our digital platform within three years of launch. We will achieve these objectives through relentless investment in coaching quality, technology-enabled training methodologies, and strategic partnerships that amplify our reach and credibility.</w:t>
      </w:r>
    </w:p>
    <w:p>
      <w:pPr>
        <w:spacing w:after="160" w:before="360"/>
        <w:jc w:val="left"/>
      </w:pPr>
      <w:r>
        <w:rPr>
          <w:rFonts w:ascii="Times New Roman" w:hAnsi="Times New Roman"/>
          <w:b/>
          <w:color w:val="E86C00"/>
          <w:sz w:val="32"/>
        </w:rPr>
        <w:t>Competitive Position</w:t>
      </w:r>
    </w:p>
    <w:p>
      <w:pPr>
        <w:spacing w:after="120" w:before="240"/>
        <w:jc w:val="left"/>
      </w:pPr>
      <w:r>
        <w:rPr>
          <w:rFonts w:ascii="Times New Roman" w:hAnsi="Times New Roman"/>
          <w:b/>
          <w:color w:val="333333"/>
          <w:sz w:val="26"/>
        </w:rPr>
        <w:t>Target Market Profile</w:t>
      </w:r>
    </w:p>
    <w:p>
      <w:pPr>
        <w:spacing w:after="120" w:before="0"/>
        <w:ind w:firstLine="720"/>
        <w:jc w:val="left"/>
      </w:pPr>
      <w:r>
        <w:rPr>
          <w:rFonts w:ascii="Times New Roman" w:hAnsi="Times New Roman"/>
          <w:b w:val="0"/>
          <w:color w:val="333333"/>
          <w:sz w:val="24"/>
        </w:rPr>
        <w:t>HoopRise's primary target demographic consists of youth aged 8 to 22 from middle-class and upper-middle-class families in urban and semi-urban India. This segment is characterized by household incomes of $10,000 to $50,000 annually, parents who prioritize education and extracurricular development, and young people who are digitally native and influenced by global sports culture. Secondary targets include collegiate athletes seeking advanced training, corporate clients interested in team-building basketball programs, and recreational adult players in the 23-35 age range who participate in weekend leagues and fitness activities.</w:t>
      </w:r>
    </w:p>
    <w:p>
      <w:pPr>
        <w:spacing w:after="120" w:before="0"/>
        <w:ind w:firstLine="720"/>
        <w:jc w:val="left"/>
      </w:pPr>
      <w:r>
        <w:rPr>
          <w:rFonts w:ascii="Times New Roman" w:hAnsi="Times New Roman"/>
          <w:b w:val="0"/>
          <w:color w:val="333333"/>
          <w:sz w:val="24"/>
        </w:rPr>
        <w:t>The target demographic encompasses roughly 120 million youth across India's top 20 cities, with our initial focus on the combined metropolitan populations of Mumbai (21 million), Delhi NCR (32 million), and Bangalore (13 million). These cities were selected based on their high concentration of middle-class families, existing basketball interest, availability of commercial real estate suitable for academy facilities, and strong digital infrastructure. The lifestyle profile of our target consumer includes active engagement with social media, consumption of international sports content (particularly the NBA), participation in fitness trends, and openness to adopting new sporting activities as alternatives or complements to cricket.</w:t>
      </w:r>
    </w:p>
    <w:p>
      <w:pPr>
        <w:spacing w:after="120" w:before="240"/>
        <w:jc w:val="left"/>
      </w:pPr>
      <w:r>
        <w:rPr>
          <w:rFonts w:ascii="Times New Roman" w:hAnsi="Times New Roman"/>
          <w:b/>
          <w:color w:val="333333"/>
          <w:sz w:val="26"/>
        </w:rPr>
        <w:t>Key Competitors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86C00" w:val="clear"/>
          </w:tcPr>
          <w:p>
            <w:pPr>
              <w:jc w:val="center"/>
            </w:pPr>
            <w:r/>
            <w:r>
              <w:rPr>
                <w:rFonts w:ascii="Times New Roman" w:hAnsi="Times New Roman"/>
                <w:b/>
                <w:color w:val="FFFFFF"/>
                <w:sz w:val="20"/>
              </w:rPr>
              <w:t>Competitor</w:t>
            </w:r>
          </w:p>
        </w:tc>
        <w:tc>
          <w:tcPr>
            <w:tcW w:type="dxa" w:w="2340"/>
            <w:shd w:fill="E86C00" w:val="clear"/>
          </w:tcPr>
          <w:p>
            <w:pPr>
              <w:jc w:val="center"/>
            </w:pPr>
            <w:r/>
            <w:r>
              <w:rPr>
                <w:rFonts w:ascii="Times New Roman" w:hAnsi="Times New Roman"/>
                <w:b/>
                <w:color w:val="FFFFFF"/>
                <w:sz w:val="20"/>
              </w:rPr>
              <w:t>Strengths</w:t>
            </w:r>
          </w:p>
        </w:tc>
        <w:tc>
          <w:tcPr>
            <w:tcW w:type="dxa" w:w="2340"/>
            <w:shd w:fill="E86C00" w:val="clear"/>
          </w:tcPr>
          <w:p>
            <w:pPr>
              <w:jc w:val="center"/>
            </w:pPr>
            <w:r/>
            <w:r>
              <w:rPr>
                <w:rFonts w:ascii="Times New Roman" w:hAnsi="Times New Roman"/>
                <w:b/>
                <w:color w:val="FFFFFF"/>
                <w:sz w:val="20"/>
              </w:rPr>
              <w:t>Weaknesses</w:t>
            </w:r>
          </w:p>
        </w:tc>
        <w:tc>
          <w:tcPr>
            <w:tcW w:type="dxa" w:w="2340"/>
            <w:shd w:fill="E86C00" w:val="clear"/>
          </w:tcPr>
          <w:p>
            <w:pPr>
              <w:jc w:val="center"/>
            </w:pPr>
            <w:r/>
            <w:r>
              <w:rPr>
                <w:rFonts w:ascii="Times New Roman" w:hAnsi="Times New Roman"/>
                <w:b/>
                <w:color w:val="FFFFFF"/>
                <w:sz w:val="20"/>
              </w:rPr>
              <w:t>Market Position</w:t>
            </w:r>
          </w:p>
        </w:tc>
      </w:tr>
      <w:tr>
        <w:tc>
          <w:tcPr>
            <w:tcW w:type="dxa" w:w="2340"/>
          </w:tcPr>
          <w:p>
            <w:r/>
            <w:r>
              <w:rPr>
                <w:rFonts w:ascii="Times New Roman" w:hAnsi="Times New Roman"/>
                <w:color w:val="333333"/>
                <w:sz w:val="18"/>
              </w:rPr>
              <w:t>NBA Academy India</w:t>
            </w:r>
          </w:p>
        </w:tc>
        <w:tc>
          <w:tcPr>
            <w:tcW w:type="dxa" w:w="2340"/>
          </w:tcPr>
          <w:p>
            <w:r/>
            <w:r>
              <w:rPr>
                <w:rFonts w:ascii="Times New Roman" w:hAnsi="Times New Roman"/>
                <w:color w:val="333333"/>
                <w:sz w:val="18"/>
              </w:rPr>
              <w:t>Global brand recognition; elite-level coaching; NBA pipeline</w:t>
            </w:r>
          </w:p>
        </w:tc>
        <w:tc>
          <w:tcPr>
            <w:tcW w:type="dxa" w:w="2340"/>
          </w:tcPr>
          <w:p>
            <w:r/>
            <w:r>
              <w:rPr>
                <w:rFonts w:ascii="Times New Roman" w:hAnsi="Times New Roman"/>
                <w:color w:val="333333"/>
                <w:sz w:val="18"/>
              </w:rPr>
              <w:t>Extremely selective (only top 24 players); single location; no mass-market access</w:t>
            </w:r>
          </w:p>
        </w:tc>
        <w:tc>
          <w:tcPr>
            <w:tcW w:type="dxa" w:w="2340"/>
          </w:tcPr>
          <w:p>
            <w:r/>
            <w:r>
              <w:rPr>
                <w:rFonts w:ascii="Times New Roman" w:hAnsi="Times New Roman"/>
                <w:color w:val="333333"/>
                <w:sz w:val="18"/>
              </w:rPr>
              <w:t>Niche/Elite</w:t>
            </w:r>
          </w:p>
        </w:tc>
      </w:tr>
      <w:tr>
        <w:tc>
          <w:tcPr>
            <w:tcW w:type="dxa" w:w="2340"/>
            <w:shd w:fill="FFF3E6" w:val="clear"/>
          </w:tcPr>
          <w:p>
            <w:r/>
            <w:r>
              <w:rPr>
                <w:rFonts w:ascii="Times New Roman" w:hAnsi="Times New Roman"/>
                <w:color w:val="333333"/>
                <w:sz w:val="18"/>
              </w:rPr>
              <w:t>Stepanova Basketball</w:t>
              <w:br/>
              <w:t>Academy</w:t>
            </w:r>
          </w:p>
        </w:tc>
        <w:tc>
          <w:tcPr>
            <w:tcW w:type="dxa" w:w="2340"/>
            <w:shd w:fill="FFF3E6" w:val="clear"/>
          </w:tcPr>
          <w:p>
            <w:r/>
            <w:r>
              <w:rPr>
                <w:rFonts w:ascii="Times New Roman" w:hAnsi="Times New Roman"/>
                <w:color w:val="333333"/>
                <w:sz w:val="18"/>
              </w:rPr>
              <w:t>Established presence; affordable pricing; grassroots focus</w:t>
            </w:r>
          </w:p>
        </w:tc>
        <w:tc>
          <w:tcPr>
            <w:tcW w:type="dxa" w:w="2340"/>
            <w:shd w:fill="FFF3E6" w:val="clear"/>
          </w:tcPr>
          <w:p>
            <w:r/>
            <w:r>
              <w:rPr>
                <w:rFonts w:ascii="Times New Roman" w:hAnsi="Times New Roman"/>
                <w:color w:val="333333"/>
                <w:sz w:val="18"/>
              </w:rPr>
              <w:t>Limited facilities; no digital platform; inconsistent coaching quality</w:t>
            </w:r>
          </w:p>
        </w:tc>
        <w:tc>
          <w:tcPr>
            <w:tcW w:type="dxa" w:w="2340"/>
            <w:shd w:fill="FFF3E6" w:val="clear"/>
          </w:tcPr>
          <w:p>
            <w:r/>
            <w:r>
              <w:rPr>
                <w:rFonts w:ascii="Times New Roman" w:hAnsi="Times New Roman"/>
                <w:color w:val="333333"/>
                <w:sz w:val="18"/>
              </w:rPr>
              <w:t>Local/Grassroots</w:t>
            </w:r>
          </w:p>
        </w:tc>
      </w:tr>
      <w:tr>
        <w:tc>
          <w:tcPr>
            <w:tcW w:type="dxa" w:w="2340"/>
          </w:tcPr>
          <w:p>
            <w:r/>
            <w:r>
              <w:rPr>
                <w:rFonts w:ascii="Times New Roman" w:hAnsi="Times New Roman"/>
                <w:color w:val="333333"/>
                <w:sz w:val="18"/>
              </w:rPr>
              <w:t>Local Municipal</w:t>
              <w:br/>
              <w:t>Programs</w:t>
            </w:r>
          </w:p>
        </w:tc>
        <w:tc>
          <w:tcPr>
            <w:tcW w:type="dxa" w:w="2340"/>
          </w:tcPr>
          <w:p>
            <w:r/>
            <w:r>
              <w:rPr>
                <w:rFonts w:ascii="Times New Roman" w:hAnsi="Times New Roman"/>
                <w:color w:val="333333"/>
                <w:sz w:val="18"/>
              </w:rPr>
              <w:t>Free or very low cost; government support; wide geographic spread</w:t>
            </w:r>
          </w:p>
        </w:tc>
        <w:tc>
          <w:tcPr>
            <w:tcW w:type="dxa" w:w="2340"/>
          </w:tcPr>
          <w:p>
            <w:r/>
            <w:r>
              <w:rPr>
                <w:rFonts w:ascii="Times New Roman" w:hAnsi="Times New Roman"/>
                <w:color w:val="333333"/>
                <w:sz w:val="18"/>
              </w:rPr>
              <w:t>Poor infrastructure; untrained coaches; no structured curriculum</w:t>
            </w:r>
          </w:p>
        </w:tc>
        <w:tc>
          <w:tcPr>
            <w:tcW w:type="dxa" w:w="2340"/>
          </w:tcPr>
          <w:p>
            <w:r/>
            <w:r>
              <w:rPr>
                <w:rFonts w:ascii="Times New Roman" w:hAnsi="Times New Roman"/>
                <w:color w:val="333333"/>
                <w:sz w:val="18"/>
              </w:rPr>
              <w:t>Mass/Basic</w:t>
            </w:r>
          </w:p>
        </w:tc>
      </w:tr>
      <w:tr>
        <w:tc>
          <w:tcPr>
            <w:tcW w:type="dxa" w:w="2340"/>
            <w:shd w:fill="FFF3E6" w:val="clear"/>
          </w:tcPr>
          <w:p>
            <w:r/>
            <w:r>
              <w:rPr>
                <w:rFonts w:ascii="Times New Roman" w:hAnsi="Times New Roman"/>
                <w:color w:val="333333"/>
                <w:sz w:val="18"/>
              </w:rPr>
              <w:t>International Online</w:t>
              <w:br/>
              <w:t>Platforms (HomeCourt)</w:t>
            </w:r>
          </w:p>
        </w:tc>
        <w:tc>
          <w:tcPr>
            <w:tcW w:type="dxa" w:w="2340"/>
            <w:shd w:fill="FFF3E6" w:val="clear"/>
          </w:tcPr>
          <w:p>
            <w:r/>
            <w:r>
              <w:rPr>
                <w:rFonts w:ascii="Times New Roman" w:hAnsi="Times New Roman"/>
                <w:color w:val="333333"/>
                <w:sz w:val="18"/>
              </w:rPr>
              <w:t>Advanced technology; AI-driven analysis; global user base</w:t>
            </w:r>
          </w:p>
        </w:tc>
        <w:tc>
          <w:tcPr>
            <w:tcW w:type="dxa" w:w="2340"/>
            <w:shd w:fill="FFF3E6" w:val="clear"/>
          </w:tcPr>
          <w:p>
            <w:r/>
            <w:r>
              <w:rPr>
                <w:rFonts w:ascii="Times New Roman" w:hAnsi="Times New Roman"/>
                <w:color w:val="333333"/>
                <w:sz w:val="18"/>
              </w:rPr>
              <w:t>No local presence; English-only; not tailored to Indian context</w:t>
            </w:r>
          </w:p>
        </w:tc>
        <w:tc>
          <w:tcPr>
            <w:tcW w:type="dxa" w:w="2340"/>
            <w:shd w:fill="FFF3E6" w:val="clear"/>
          </w:tcPr>
          <w:p>
            <w:r/>
            <w:r>
              <w:rPr>
                <w:rFonts w:ascii="Times New Roman" w:hAnsi="Times New Roman"/>
                <w:color w:val="333333"/>
                <w:sz w:val="18"/>
              </w:rPr>
              <w:t>Digital/Global</w:t>
            </w:r>
          </w:p>
        </w:tc>
      </w:tr>
    </w:tbl>
    <w:p>
      <w:pPr>
        <w:spacing w:after="120" w:before="0"/>
        <w:jc w:val="left"/>
      </w:pPr>
      <w:r>
        <w:rPr>
          <w:rFonts w:ascii="Times New Roman" w:hAnsi="Times New Roman"/>
          <w:b w:val="0"/>
          <w:color w:val="333333"/>
          <w:sz w:val="12"/>
        </w:rPr>
      </w:r>
    </w:p>
    <w:p>
      <w:pPr>
        <w:spacing w:after="120" w:before="240"/>
        <w:jc w:val="left"/>
      </w:pPr>
      <w:r>
        <w:rPr>
          <w:rFonts w:ascii="Times New Roman" w:hAnsi="Times New Roman"/>
          <w:b/>
          <w:color w:val="333333"/>
          <w:sz w:val="26"/>
        </w:rPr>
        <w:t>Competitive Differentiation</w:t>
      </w:r>
    </w:p>
    <w:p>
      <w:pPr>
        <w:spacing w:after="120" w:before="0"/>
        <w:ind w:firstLine="720"/>
        <w:jc w:val="left"/>
      </w:pPr>
      <w:r>
        <w:rPr>
          <w:rFonts w:ascii="Times New Roman" w:hAnsi="Times New Roman"/>
          <w:b w:val="0"/>
          <w:color w:val="333333"/>
          <w:sz w:val="24"/>
        </w:rPr>
        <w:t>HoopRise differentiates itself through its unique hybrid model that no current competitor in the Indian market offers. While the NBA Academy India serves only an elite few, and local programs lack quality and structure, HoopRise occupies the strategic middle ground—premium yet accessible. Our key differentiators include:</w:t>
      </w:r>
    </w:p>
    <w:p>
      <w:pPr>
        <w:pStyle w:val="ListBullet"/>
        <w:spacing w:after="60" w:before="20"/>
        <w:ind w:left="720"/>
      </w:pPr>
      <w:r>
        <w:rPr>
          <w:rFonts w:ascii="Times New Roman" w:hAnsi="Times New Roman"/>
          <w:color w:val="333333"/>
          <w:sz w:val="24"/>
        </w:rPr>
        <w:t>Hybrid Physical-Digital Model: In-person training complemented by a comprehensive mobile app, ensuring continuity and accessibility beyond academy walls.</w:t>
      </w:r>
    </w:p>
    <w:p>
      <w:pPr>
        <w:pStyle w:val="ListBullet"/>
        <w:spacing w:after="60" w:before="20"/>
        <w:ind w:left="720"/>
      </w:pPr>
      <w:r>
        <w:rPr>
          <w:rFonts w:ascii="Times New Roman" w:hAnsi="Times New Roman"/>
          <w:color w:val="333333"/>
          <w:sz w:val="24"/>
        </w:rPr>
        <w:t>Data-Driven Development: AI-powered performance tracking that provides personalized training plans based on each player's strengths, weaknesses, and progress trajectory.</w:t>
      </w:r>
    </w:p>
    <w:p>
      <w:pPr>
        <w:pStyle w:val="ListBullet"/>
        <w:spacing w:after="60" w:before="20"/>
        <w:ind w:left="720"/>
      </w:pPr>
      <w:r>
        <w:rPr>
          <w:rFonts w:ascii="Times New Roman" w:hAnsi="Times New Roman"/>
          <w:color w:val="333333"/>
          <w:sz w:val="24"/>
        </w:rPr>
        <w:t>Tiered Pricing Structure: Scholarship programs and subsidized digital access ensure that economic barriers do not prevent talented players from accessing quality training.</w:t>
      </w:r>
    </w:p>
    <w:p>
      <w:pPr>
        <w:pStyle w:val="ListBullet"/>
        <w:spacing w:after="60" w:before="20"/>
        <w:ind w:left="720"/>
      </w:pPr>
      <w:r>
        <w:rPr>
          <w:rFonts w:ascii="Times New Roman" w:hAnsi="Times New Roman"/>
          <w:color w:val="333333"/>
          <w:sz w:val="24"/>
        </w:rPr>
        <w:t>Multilingual Platform: Training content available in Hindi, English, Tamil, Kannada, and Marathi, reflecting the linguistic diversity of our target cities.</w:t>
      </w:r>
    </w:p>
    <w:p>
      <w:pPr>
        <w:pStyle w:val="ListBullet"/>
        <w:spacing w:after="60" w:before="20"/>
        <w:ind w:left="720"/>
      </w:pPr>
      <w:r>
        <w:rPr>
          <w:rFonts w:ascii="Times New Roman" w:hAnsi="Times New Roman"/>
          <w:color w:val="333333"/>
          <w:sz w:val="24"/>
        </w:rPr>
        <w:t>Pathway to Professional Play: Structured relationships with international collegiate programs and professional leagues that offer players a visible pathway to competitive basketball careers.</w:t>
      </w:r>
    </w:p>
    <w:p>
      <w:r>
        <w:br w:type="page"/>
      </w:r>
    </w:p>
    <w:p>
      <w:pPr>
        <w:spacing w:after="160" w:before="360"/>
        <w:jc w:val="left"/>
      </w:pPr>
      <w:r>
        <w:rPr>
          <w:rFonts w:ascii="Times New Roman" w:hAnsi="Times New Roman"/>
          <w:b/>
          <w:color w:val="E86C00"/>
          <w:sz w:val="32"/>
        </w:rPr>
        <w:t>Cultural Considerations</w:t>
      </w:r>
    </w:p>
    <w:p>
      <w:pPr>
        <w:spacing w:after="120" w:before="240"/>
        <w:jc w:val="left"/>
      </w:pPr>
      <w:r>
        <w:rPr>
          <w:rFonts w:ascii="Times New Roman" w:hAnsi="Times New Roman"/>
          <w:b/>
          <w:color w:val="333333"/>
          <w:sz w:val="26"/>
        </w:rPr>
        <w:t>Family-Centric Decision Making</w:t>
      </w:r>
    </w:p>
    <w:p>
      <w:pPr>
        <w:spacing w:after="120" w:before="0"/>
        <w:ind w:firstLine="720"/>
        <w:jc w:val="left"/>
      </w:pPr>
      <w:r>
        <w:rPr>
          <w:rFonts w:ascii="Times New Roman" w:hAnsi="Times New Roman"/>
          <w:b w:val="0"/>
          <w:color w:val="333333"/>
          <w:sz w:val="24"/>
        </w:rPr>
        <w:t>In Indian culture, decisions regarding children's extracurricular activities are predominantly made by parents, and often influenced by extended family. HoopRise's marketing and enrollment strategies will directly address parental concerns by emphasizing the academic and character-building benefits of basketball participation. All promotional materials will include messaging about discipline, time management, and teamwork—qualities that resonate with Indian parents. Open-house events, parent orientation sessions, and quarterly progress reports will build trust and maintain family engagement. The enrollment process will be designed to involve parents as partners, not merely as bill-payers.</w:t>
      </w:r>
    </w:p>
    <w:p>
      <w:pPr>
        <w:spacing w:after="120" w:before="240"/>
        <w:jc w:val="left"/>
      </w:pPr>
      <w:r>
        <w:rPr>
          <w:rFonts w:ascii="Times New Roman" w:hAnsi="Times New Roman"/>
          <w:b/>
          <w:color w:val="333333"/>
          <w:sz w:val="26"/>
        </w:rPr>
        <w:t>Education-First Culture</w:t>
      </w:r>
    </w:p>
    <w:p>
      <w:pPr>
        <w:spacing w:after="120" w:before="0"/>
        <w:ind w:firstLine="720"/>
        <w:jc w:val="left"/>
      </w:pPr>
      <w:r>
        <w:rPr>
          <w:rFonts w:ascii="Times New Roman" w:hAnsi="Times New Roman"/>
          <w:b w:val="0"/>
          <w:color w:val="333333"/>
          <w:sz w:val="24"/>
        </w:rPr>
        <w:t>India's deep cultural emphasis on academic achievement means that any sports program must position itself as complementary to education, not in competition with it. HoopRise will schedule training sessions around school hours and examination periods, offering flexible scheduling during board exam seasons (March-April and October-November). The academy will highlight success stories of basketball players who earned scholarships to international universities, directly linking athletic development to educational opportunity. A homework and study space within each academy facility will reinforce this message tangibly.</w:t>
      </w:r>
    </w:p>
    <w:p>
      <w:pPr>
        <w:spacing w:after="120" w:before="240"/>
        <w:jc w:val="left"/>
      </w:pPr>
      <w:r>
        <w:rPr>
          <w:rFonts w:ascii="Times New Roman" w:hAnsi="Times New Roman"/>
          <w:b/>
          <w:color w:val="333333"/>
          <w:sz w:val="26"/>
        </w:rPr>
        <w:t>Language and Regional Diversity</w:t>
      </w:r>
    </w:p>
    <w:p>
      <w:pPr>
        <w:spacing w:after="120" w:before="0"/>
        <w:ind w:firstLine="720"/>
        <w:jc w:val="left"/>
      </w:pPr>
      <w:r>
        <w:rPr>
          <w:rFonts w:ascii="Times New Roman" w:hAnsi="Times New Roman"/>
          <w:b w:val="0"/>
          <w:color w:val="333333"/>
          <w:sz w:val="24"/>
        </w:rPr>
        <w:t>India's linguistic landscape is extraordinarily diverse, with 22 officially recognized languages and hundreds of dialects. Coaching at each academy will be conducted bilingually—in English and the dominant regional language (Hindi in Delhi, Marathi in Mumbai, and Kannada in Bangalore). The digital platform will offer content in five languages at launch, with additional languages added based on user demand. Marketing campaigns will be localized not just linguistically but contextually, using region-specific sports analogies and cultural references to build resonance.</w:t>
      </w:r>
    </w:p>
    <w:p>
      <w:pPr>
        <w:spacing w:after="120" w:before="240"/>
        <w:jc w:val="left"/>
      </w:pPr>
      <w:r>
        <w:rPr>
          <w:rFonts w:ascii="Times New Roman" w:hAnsi="Times New Roman"/>
          <w:b/>
          <w:color w:val="333333"/>
          <w:sz w:val="26"/>
        </w:rPr>
        <w:t>Religious and Festival Sensitivity</w:t>
      </w:r>
    </w:p>
    <w:p>
      <w:pPr>
        <w:spacing w:after="120" w:before="0"/>
        <w:ind w:firstLine="720"/>
        <w:jc w:val="left"/>
      </w:pPr>
      <w:r>
        <w:rPr>
          <w:rFonts w:ascii="Times New Roman" w:hAnsi="Times New Roman"/>
          <w:b w:val="0"/>
          <w:color w:val="333333"/>
          <w:sz w:val="24"/>
        </w:rPr>
        <w:t>India's multifaith society observes numerous religious festivals throughout the year, including Diwali, Eid, Christmas, Pongal, Holi, and Navratri. HoopRise will develop an annual calendar that respects these observances by adjusting schedules, hosting themed basketball events during festival seasons, and incorporating inclusive celebrations that bring together players from diverse backgrounds. This approach not only demonstrates cultural respect but also positions the academy as a unifying space where diversity is celebrated through sport.</w:t>
      </w:r>
    </w:p>
    <w:p>
      <w:pPr>
        <w:spacing w:after="120" w:before="240"/>
        <w:jc w:val="left"/>
      </w:pPr>
      <w:r>
        <w:rPr>
          <w:rFonts w:ascii="Times New Roman" w:hAnsi="Times New Roman"/>
          <w:b/>
          <w:color w:val="333333"/>
          <w:sz w:val="26"/>
        </w:rPr>
        <w:t>Gender Considerations</w:t>
      </w:r>
    </w:p>
    <w:p>
      <w:pPr>
        <w:spacing w:after="120" w:before="0"/>
        <w:ind w:firstLine="720"/>
        <w:jc w:val="left"/>
      </w:pPr>
      <w:r>
        <w:rPr>
          <w:rFonts w:ascii="Times New Roman" w:hAnsi="Times New Roman"/>
          <w:b w:val="0"/>
          <w:color w:val="333333"/>
          <w:sz w:val="24"/>
        </w:rPr>
        <w:t>While urban India is progressively embracing women's participation in sports, cultural sensitivities remain, particularly regarding co-educational sports settings for adolescents. HoopRise will offer dedicated training sessions for girls and young women, staffed by female coaches, to encourage participation from families who may be hesitant about mixed-gender training environments. Promotional campaigns will prominently feature female basketball role models and highlight the empowerment benefits of athletic participation for young women, aligning with India's growing movement toward gender equity in sports.</w:t>
      </w:r>
    </w:p>
    <w:p>
      <w:r>
        <w:br w:type="page"/>
      </w:r>
    </w:p>
    <w:p>
      <w:pPr>
        <w:spacing w:after="160" w:before="360"/>
        <w:jc w:val="left"/>
      </w:pPr>
      <w:r>
        <w:rPr>
          <w:rFonts w:ascii="Times New Roman" w:hAnsi="Times New Roman"/>
          <w:b/>
          <w:color w:val="E86C00"/>
          <w:sz w:val="32"/>
        </w:rPr>
        <w:t>Fundraising/Financing</w:t>
      </w:r>
    </w:p>
    <w:p>
      <w:pPr>
        <w:spacing w:after="120" w:before="0"/>
        <w:ind w:firstLine="720"/>
        <w:jc w:val="left"/>
      </w:pPr>
      <w:r>
        <w:rPr>
          <w:rFonts w:ascii="Times New Roman" w:hAnsi="Times New Roman"/>
          <w:b w:val="0"/>
          <w:color w:val="333333"/>
          <w:sz w:val="24"/>
        </w:rPr>
        <w:t>HoopRise will pursue a diversified funding strategy to secure the estimated $900,000 required for initial launch and first-year operations. This multi-pronged approach reduces dependency on any single funding source and builds a resilient financial foundation.</w:t>
      </w:r>
    </w:p>
    <w:p>
      <w:pPr>
        <w:spacing w:after="120" w:before="240"/>
        <w:jc w:val="left"/>
      </w:pPr>
      <w:r>
        <w:rPr>
          <w:rFonts w:ascii="Times New Roman" w:hAnsi="Times New Roman"/>
          <w:b/>
          <w:color w:val="333333"/>
          <w:sz w:val="26"/>
        </w:rPr>
        <w:t>Angel Investors and Venture Capital</w:t>
      </w:r>
    </w:p>
    <w:p>
      <w:pPr>
        <w:spacing w:after="120" w:before="0"/>
        <w:ind w:firstLine="720"/>
        <w:jc w:val="left"/>
      </w:pPr>
      <w:r>
        <w:rPr>
          <w:rFonts w:ascii="Times New Roman" w:hAnsi="Times New Roman"/>
          <w:b w:val="0"/>
          <w:color w:val="333333"/>
          <w:sz w:val="24"/>
        </w:rPr>
        <w:t>India's sports-tech investment landscape has grown significantly, with firms such as Dream Sports, Blume Ventures, and Sequoia India actively seeking sports-related ventures. HoopRise will target a seed funding round of $400,000 from angel investors with demonstrated interest in sports, education, or youth development. The pitch will emphasize the scalable hybrid model, India's demographic advantage, and the growing global interest in Indian basketball as key value propositions.</w:t>
      </w:r>
    </w:p>
    <w:p>
      <w:pPr>
        <w:spacing w:after="120" w:before="240"/>
        <w:jc w:val="left"/>
      </w:pPr>
      <w:r>
        <w:rPr>
          <w:rFonts w:ascii="Times New Roman" w:hAnsi="Times New Roman"/>
          <w:b/>
          <w:color w:val="333333"/>
          <w:sz w:val="26"/>
        </w:rPr>
        <w:t>Government Grants and Initiatives</w:t>
      </w:r>
    </w:p>
    <w:p>
      <w:pPr>
        <w:spacing w:after="120" w:before="0"/>
        <w:ind w:firstLine="720"/>
        <w:jc w:val="left"/>
      </w:pPr>
      <w:r>
        <w:rPr>
          <w:rFonts w:ascii="Times New Roman" w:hAnsi="Times New Roman"/>
          <w:b w:val="0"/>
          <w:color w:val="333333"/>
          <w:sz w:val="24"/>
        </w:rPr>
        <w:t>The Indian government's Khelo India program and the Sports Authority of India (SAI) offer grants and subsidies to organizations that develop sports infrastructure and grassroots participation. HoopRise will apply for recognition as an accredited training center under these programs, potentially securing $100,000-$150,000 in grants and access to government sports facilities at subsidized rates. State-level sports departments in Maharashtra, Delhi, and Karnataka also offer complementary funding opportunities.</w:t>
      </w:r>
    </w:p>
    <w:p>
      <w:pPr>
        <w:spacing w:after="120" w:before="240"/>
        <w:jc w:val="left"/>
      </w:pPr>
      <w:r>
        <w:rPr>
          <w:rFonts w:ascii="Times New Roman" w:hAnsi="Times New Roman"/>
          <w:b/>
          <w:color w:val="333333"/>
          <w:sz w:val="26"/>
        </w:rPr>
        <w:t>Corporate Sponsorships</w:t>
      </w:r>
    </w:p>
    <w:p>
      <w:pPr>
        <w:spacing w:after="120" w:before="0"/>
        <w:ind w:firstLine="720"/>
        <w:jc w:val="left"/>
      </w:pPr>
      <w:r>
        <w:rPr>
          <w:rFonts w:ascii="Times New Roman" w:hAnsi="Times New Roman"/>
          <w:b w:val="0"/>
          <w:color w:val="333333"/>
          <w:sz w:val="24"/>
        </w:rPr>
        <w:t>India's Corporate Social Responsibility (CSR) mandate requires companies with net profits above a threshold to spend 2% on social initiatives. Sports development and youth empowerment qualify as CSR activities, opening avenues for sponsorship from major Indian corporations such as Tata Group, Reliance Industries, and Infosys. HoopRise will develop tiered sponsorship packages ranging from $25,000 to $200,000, offering brand visibility at academy facilities, on the digital platform, and at events.</w:t>
      </w:r>
    </w:p>
    <w:p>
      <w:pPr>
        <w:spacing w:after="120" w:before="240"/>
        <w:jc w:val="left"/>
      </w:pPr>
      <w:r>
        <w:rPr>
          <w:rFonts w:ascii="Times New Roman" w:hAnsi="Times New Roman"/>
          <w:b/>
          <w:color w:val="333333"/>
          <w:sz w:val="26"/>
        </w:rPr>
        <w:t>Crowdfunding</w:t>
      </w:r>
    </w:p>
    <w:p>
      <w:pPr>
        <w:spacing w:after="120" w:before="0"/>
        <w:ind w:firstLine="720"/>
        <w:jc w:val="left"/>
      </w:pPr>
      <w:r>
        <w:rPr>
          <w:rFonts w:ascii="Times New Roman" w:hAnsi="Times New Roman"/>
          <w:b w:val="0"/>
          <w:color w:val="333333"/>
          <w:sz w:val="24"/>
        </w:rPr>
        <w:t>A targeted crowdfunding campaign on platforms like Ketto (India's leading crowdfunding platform) and Kickstarter will aim to raise $50,000-$75,000 while simultaneously building brand awareness and community engagement. The campaign will highlight the social impact narrative of democratizing basketball access for Indian youth, offering rewards such as discounted academy memberships, branded merchandise, and exclusive content access.</w:t>
      </w:r>
    </w:p>
    <w:p>
      <w:r>
        <w:br w:type="page"/>
      </w:r>
    </w:p>
    <w:p>
      <w:pPr>
        <w:spacing w:after="160" w:before="360"/>
        <w:jc w:val="left"/>
      </w:pPr>
      <w:r>
        <w:rPr>
          <w:rFonts w:ascii="Times New Roman" w:hAnsi="Times New Roman"/>
          <w:b/>
          <w:color w:val="E86C00"/>
          <w:sz w:val="32"/>
        </w:rPr>
        <w:t>Promotional Strategies</w:t>
      </w:r>
    </w:p>
    <w:p>
      <w:pPr>
        <w:spacing w:after="120" w:before="240"/>
        <w:jc w:val="left"/>
      </w:pPr>
      <w:r>
        <w:rPr>
          <w:rFonts w:ascii="Times New Roman" w:hAnsi="Times New Roman"/>
          <w:b/>
          <w:color w:val="333333"/>
          <w:sz w:val="26"/>
        </w:rPr>
        <w:t>Digital Marketing Campaigns</w:t>
      </w:r>
    </w:p>
    <w:p>
      <w:pPr>
        <w:spacing w:after="120" w:before="0"/>
        <w:ind w:firstLine="720"/>
        <w:jc w:val="left"/>
      </w:pPr>
      <w:r>
        <w:rPr>
          <w:rFonts w:ascii="Times New Roman" w:hAnsi="Times New Roman"/>
          <w:b w:val="0"/>
          <w:color w:val="333333"/>
          <w:sz w:val="24"/>
        </w:rPr>
        <w:t>Given India's massive digital population of over 800 million internet users, digital marketing will serve as the primary promotional channel. HoopRise will execute targeted campaigns across Instagram, YouTube, and Facebook, leveraging video content that showcases training methodologies, player transformations, and behind-the-scenes academy life. YouTube pre-roll advertisements during NBA content will directly reach the target audience. Search engine optimization (SEO) and Google Ads campaigns targeting keywords such as "basketball training India," "basketball academy near me," and "learn basketball" will capture intent-driven traffic. A content marketing strategy will produce weekly blog posts and video tutorials that establish HoopRise as a thought leader in Indian basketball development.</w:t>
      </w:r>
    </w:p>
    <w:p>
      <w:pPr>
        <w:spacing w:after="120" w:before="240"/>
        <w:jc w:val="left"/>
      </w:pPr>
      <w:r>
        <w:rPr>
          <w:rFonts w:ascii="Times New Roman" w:hAnsi="Times New Roman"/>
          <w:b/>
          <w:color w:val="333333"/>
          <w:sz w:val="26"/>
        </w:rPr>
        <w:t>Influencer and Ambassador Partnerships</w:t>
      </w:r>
    </w:p>
    <w:p>
      <w:pPr>
        <w:spacing w:after="120" w:before="0"/>
        <w:ind w:firstLine="720"/>
        <w:jc w:val="left"/>
      </w:pPr>
      <w:r>
        <w:rPr>
          <w:rFonts w:ascii="Times New Roman" w:hAnsi="Times New Roman"/>
          <w:b w:val="0"/>
          <w:color w:val="333333"/>
          <w:sz w:val="24"/>
        </w:rPr>
        <w:t>HoopRise will partner with Indian basketball personalities, fitness influencers, and youth-oriented content creators to amplify brand awareness. Key targets include Satnam Singh (first Indian drafted by an NBA team), Prachi Tehlan (former Indian national team captain), and popular fitness YouTubers with audiences that overlap with the target demographic. Micro-influencers in each target city will be engaged to drive localized awareness and enrollment. Ambassador partnerships will include content creation agreements, appearance fees for academy events, and social media collaboration campaigns.</w:t>
      </w:r>
    </w:p>
    <w:p>
      <w:pPr>
        <w:spacing w:after="120" w:before="240"/>
        <w:jc w:val="left"/>
      </w:pPr>
      <w:r>
        <w:rPr>
          <w:rFonts w:ascii="Times New Roman" w:hAnsi="Times New Roman"/>
          <w:b/>
          <w:color w:val="333333"/>
          <w:sz w:val="26"/>
        </w:rPr>
        <w:t>School and University Outreach</w:t>
      </w:r>
    </w:p>
    <w:p>
      <w:pPr>
        <w:spacing w:after="120" w:before="0"/>
        <w:ind w:firstLine="720"/>
        <w:jc w:val="left"/>
      </w:pPr>
      <w:r>
        <w:rPr>
          <w:rFonts w:ascii="Times New Roman" w:hAnsi="Times New Roman"/>
          <w:b w:val="0"/>
          <w:color w:val="333333"/>
          <w:sz w:val="24"/>
        </w:rPr>
        <w:t>Direct partnerships with schools and universities in target cities will be a critical enrollment driver. HoopRise will offer free introductory basketball clinics at partner schools, donate equipment to schools that establish basketball programs, and sponsor inter-school basketball tournaments. University partnerships will focus on establishing HoopRise as the preferred training partner for collegiate basketball teams, offering subsidized group training packages and access to the digital platform for team performance analysis.</w:t>
      </w:r>
    </w:p>
    <w:p>
      <w:pPr>
        <w:spacing w:after="120" w:before="240"/>
        <w:jc w:val="left"/>
      </w:pPr>
      <w:r>
        <w:rPr>
          <w:rFonts w:ascii="Times New Roman" w:hAnsi="Times New Roman"/>
          <w:b/>
          <w:color w:val="333333"/>
          <w:sz w:val="26"/>
        </w:rPr>
        <w:t>Event Sponsorships and Community Engagement</w:t>
      </w:r>
    </w:p>
    <w:p>
      <w:pPr>
        <w:spacing w:after="120" w:before="0"/>
        <w:ind w:firstLine="720"/>
        <w:jc w:val="left"/>
      </w:pPr>
      <w:r>
        <w:rPr>
          <w:rFonts w:ascii="Times New Roman" w:hAnsi="Times New Roman"/>
          <w:b w:val="0"/>
          <w:color w:val="333333"/>
          <w:sz w:val="24"/>
        </w:rPr>
        <w:t>HoopRise will sponsor and organize community basketball events, including three-on-three street basketball tournaments, youth basketball camps during school holidays, and basketball viewing parties during major NBA events (NBA Finals, All-Star Weekend). These events will serve as experiential marketing touchpoints, allowing potential customers to interact with the brand, experience coaching quality firsthand, and engage with the HoopRise community. Annual events such as the "HoopRise Rising Stars Challenge" will generate media coverage and social media engagement, positioning the brand as central to India's basketball culture.</w:t>
      </w:r>
    </w:p>
    <w:p>
      <w:r>
        <w:br w:type="page"/>
      </w:r>
    </w:p>
    <w:p>
      <w:pPr>
        <w:spacing w:after="160" w:before="360"/>
        <w:jc w:val="left"/>
      </w:pPr>
      <w:r>
        <w:rPr>
          <w:rFonts w:ascii="Times New Roman" w:hAnsi="Times New Roman"/>
          <w:b/>
          <w:color w:val="E86C00"/>
          <w:sz w:val="32"/>
        </w:rPr>
        <w:t>Anticipated Budget</w:t>
      </w:r>
    </w:p>
    <w:p>
      <w:pPr>
        <w:spacing w:after="120" w:before="0"/>
        <w:ind w:firstLine="720"/>
        <w:jc w:val="left"/>
      </w:pPr>
      <w:r>
        <w:rPr>
          <w:rFonts w:ascii="Times New Roman" w:hAnsi="Times New Roman"/>
          <w:b w:val="0"/>
          <w:color w:val="333333"/>
          <w:sz w:val="24"/>
        </w:rPr>
        <w:t>The following budget outlines projected expenses and revenue for HoopRise Basketball Academy over a three-year period. Year 1 focuses on establishment and launch, Year 2 on growth and market penetration, and Year 3 on scaling and profitability.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86C00" w:val="clear"/>
          </w:tcPr>
          <w:p>
            <w:pPr>
              <w:jc w:val="center"/>
            </w:pPr>
            <w:r/>
            <w:r>
              <w:rPr>
                <w:rFonts w:ascii="Times New Roman" w:hAnsi="Times New Roman"/>
                <w:b/>
                <w:color w:val="FFFFFF"/>
                <w:sz w:val="20"/>
              </w:rPr>
              <w:t>Category</w:t>
            </w:r>
          </w:p>
        </w:tc>
        <w:tc>
          <w:tcPr>
            <w:tcW w:type="dxa" w:w="2340"/>
            <w:shd w:fill="E86C00" w:val="clear"/>
          </w:tcPr>
          <w:p>
            <w:pPr>
              <w:jc w:val="center"/>
            </w:pPr>
            <w:r/>
            <w:r>
              <w:rPr>
                <w:rFonts w:ascii="Times New Roman" w:hAnsi="Times New Roman"/>
                <w:b/>
                <w:color w:val="FFFFFF"/>
                <w:sz w:val="20"/>
              </w:rPr>
              <w:t>Year 1 (USD)</w:t>
            </w:r>
          </w:p>
        </w:tc>
        <w:tc>
          <w:tcPr>
            <w:tcW w:type="dxa" w:w="2340"/>
            <w:shd w:fill="E86C00" w:val="clear"/>
          </w:tcPr>
          <w:p>
            <w:pPr>
              <w:jc w:val="center"/>
            </w:pPr>
            <w:r/>
            <w:r>
              <w:rPr>
                <w:rFonts w:ascii="Times New Roman" w:hAnsi="Times New Roman"/>
                <w:b/>
                <w:color w:val="FFFFFF"/>
                <w:sz w:val="20"/>
              </w:rPr>
              <w:t>Year 2 (USD)</w:t>
            </w:r>
          </w:p>
        </w:tc>
        <w:tc>
          <w:tcPr>
            <w:tcW w:type="dxa" w:w="2340"/>
            <w:shd w:fill="E86C00" w:val="clear"/>
          </w:tcPr>
          <w:p>
            <w:pPr>
              <w:jc w:val="center"/>
            </w:pPr>
            <w:r/>
            <w:r>
              <w:rPr>
                <w:rFonts w:ascii="Times New Roman" w:hAnsi="Times New Roman"/>
                <w:b/>
                <w:color w:val="FFFFFF"/>
                <w:sz w:val="20"/>
              </w:rPr>
              <w:t>Year 3 (USD)</w:t>
            </w:r>
          </w:p>
        </w:tc>
      </w:tr>
      <w:tr>
        <w:tc>
          <w:tcPr>
            <w:tcW w:type="dxa" w:w="2340"/>
          </w:tcPr>
          <w:p>
            <w:r/>
            <w:r>
              <w:rPr>
                <w:rFonts w:ascii="Times New Roman" w:hAnsi="Times New Roman"/>
                <w:color w:val="333333"/>
                <w:sz w:val="20"/>
              </w:rPr>
              <w:t>Facility Lease &amp; Renovation</w:t>
            </w:r>
          </w:p>
        </w:tc>
        <w:tc>
          <w:tcPr>
            <w:tcW w:type="dxa" w:w="2340"/>
          </w:tcPr>
          <w:p>
            <w:pPr>
              <w:jc w:val="right"/>
            </w:pPr>
            <w:r/>
            <w:r>
              <w:rPr>
                <w:rFonts w:ascii="Times New Roman" w:hAnsi="Times New Roman"/>
                <w:color w:val="333333"/>
                <w:sz w:val="20"/>
              </w:rPr>
              <w:t>$180,000</w:t>
            </w:r>
          </w:p>
        </w:tc>
        <w:tc>
          <w:tcPr>
            <w:tcW w:type="dxa" w:w="2340"/>
          </w:tcPr>
          <w:p>
            <w:pPr>
              <w:jc w:val="right"/>
            </w:pPr>
            <w:r/>
            <w:r>
              <w:rPr>
                <w:rFonts w:ascii="Times New Roman" w:hAnsi="Times New Roman"/>
                <w:color w:val="333333"/>
                <w:sz w:val="20"/>
              </w:rPr>
              <w:t>$140,000</w:t>
            </w:r>
          </w:p>
        </w:tc>
        <w:tc>
          <w:tcPr>
            <w:tcW w:type="dxa" w:w="2340"/>
          </w:tcPr>
          <w:p>
            <w:pPr>
              <w:jc w:val="right"/>
            </w:pPr>
            <w:r/>
            <w:r>
              <w:rPr>
                <w:rFonts w:ascii="Times New Roman" w:hAnsi="Times New Roman"/>
                <w:color w:val="333333"/>
                <w:sz w:val="20"/>
              </w:rPr>
              <w:t>$120,000</w:t>
            </w:r>
          </w:p>
        </w:tc>
      </w:tr>
      <w:tr>
        <w:tc>
          <w:tcPr>
            <w:tcW w:type="dxa" w:w="2340"/>
            <w:shd w:fill="FFF3E6" w:val="clear"/>
          </w:tcPr>
          <w:p>
            <w:r/>
            <w:r>
              <w:rPr>
                <w:rFonts w:ascii="Times New Roman" w:hAnsi="Times New Roman"/>
                <w:color w:val="333333"/>
                <w:sz w:val="20"/>
              </w:rPr>
              <w:t>Equipment &amp; Technology</w:t>
            </w:r>
          </w:p>
        </w:tc>
        <w:tc>
          <w:tcPr>
            <w:tcW w:type="dxa" w:w="2340"/>
            <w:shd w:fill="FFF3E6" w:val="clear"/>
          </w:tcPr>
          <w:p>
            <w:pPr>
              <w:jc w:val="right"/>
            </w:pPr>
            <w:r/>
            <w:r>
              <w:rPr>
                <w:rFonts w:ascii="Times New Roman" w:hAnsi="Times New Roman"/>
                <w:color w:val="333333"/>
                <w:sz w:val="20"/>
              </w:rPr>
              <w:t>$95,000</w:t>
            </w:r>
          </w:p>
        </w:tc>
        <w:tc>
          <w:tcPr>
            <w:tcW w:type="dxa" w:w="2340"/>
            <w:shd w:fill="FFF3E6" w:val="clear"/>
          </w:tcPr>
          <w:p>
            <w:pPr>
              <w:jc w:val="right"/>
            </w:pPr>
            <w:r/>
            <w:r>
              <w:rPr>
                <w:rFonts w:ascii="Times New Roman" w:hAnsi="Times New Roman"/>
                <w:color w:val="333333"/>
                <w:sz w:val="20"/>
              </w:rPr>
              <w:t>$60,000</w:t>
            </w:r>
          </w:p>
        </w:tc>
        <w:tc>
          <w:tcPr>
            <w:tcW w:type="dxa" w:w="2340"/>
            <w:shd w:fill="FFF3E6" w:val="clear"/>
          </w:tcPr>
          <w:p>
            <w:pPr>
              <w:jc w:val="right"/>
            </w:pPr>
            <w:r/>
            <w:r>
              <w:rPr>
                <w:rFonts w:ascii="Times New Roman" w:hAnsi="Times New Roman"/>
                <w:color w:val="333333"/>
                <w:sz w:val="20"/>
              </w:rPr>
              <w:t>$45,000</w:t>
            </w:r>
          </w:p>
        </w:tc>
      </w:tr>
      <w:tr>
        <w:tc>
          <w:tcPr>
            <w:tcW w:type="dxa" w:w="2340"/>
          </w:tcPr>
          <w:p>
            <w:r/>
            <w:r>
              <w:rPr>
                <w:rFonts w:ascii="Times New Roman" w:hAnsi="Times New Roman"/>
                <w:color w:val="333333"/>
                <w:sz w:val="20"/>
              </w:rPr>
              <w:t>Staff Salaries &amp; Training</w:t>
            </w:r>
          </w:p>
        </w:tc>
        <w:tc>
          <w:tcPr>
            <w:tcW w:type="dxa" w:w="2340"/>
          </w:tcPr>
          <w:p>
            <w:pPr>
              <w:jc w:val="right"/>
            </w:pPr>
            <w:r/>
            <w:r>
              <w:rPr>
                <w:rFonts w:ascii="Times New Roman" w:hAnsi="Times New Roman"/>
                <w:color w:val="333333"/>
                <w:sz w:val="20"/>
              </w:rPr>
              <w:t>$220,000</w:t>
            </w:r>
          </w:p>
        </w:tc>
        <w:tc>
          <w:tcPr>
            <w:tcW w:type="dxa" w:w="2340"/>
          </w:tcPr>
          <w:p>
            <w:pPr>
              <w:jc w:val="right"/>
            </w:pPr>
            <w:r/>
            <w:r>
              <w:rPr>
                <w:rFonts w:ascii="Times New Roman" w:hAnsi="Times New Roman"/>
                <w:color w:val="333333"/>
                <w:sz w:val="20"/>
              </w:rPr>
              <w:t>$310,000</w:t>
            </w:r>
          </w:p>
        </w:tc>
        <w:tc>
          <w:tcPr>
            <w:tcW w:type="dxa" w:w="2340"/>
          </w:tcPr>
          <w:p>
            <w:pPr>
              <w:jc w:val="right"/>
            </w:pPr>
            <w:r/>
            <w:r>
              <w:rPr>
                <w:rFonts w:ascii="Times New Roman" w:hAnsi="Times New Roman"/>
                <w:color w:val="333333"/>
                <w:sz w:val="20"/>
              </w:rPr>
              <w:t>$420,000</w:t>
            </w:r>
          </w:p>
        </w:tc>
      </w:tr>
      <w:tr>
        <w:tc>
          <w:tcPr>
            <w:tcW w:type="dxa" w:w="2340"/>
            <w:shd w:fill="FFF3E6" w:val="clear"/>
          </w:tcPr>
          <w:p>
            <w:r/>
            <w:r>
              <w:rPr>
                <w:rFonts w:ascii="Times New Roman" w:hAnsi="Times New Roman"/>
                <w:color w:val="333333"/>
                <w:sz w:val="20"/>
              </w:rPr>
              <w:t>Digital Platform Development</w:t>
            </w:r>
          </w:p>
        </w:tc>
        <w:tc>
          <w:tcPr>
            <w:tcW w:type="dxa" w:w="2340"/>
            <w:shd w:fill="FFF3E6" w:val="clear"/>
          </w:tcPr>
          <w:p>
            <w:pPr>
              <w:jc w:val="right"/>
            </w:pPr>
            <w:r/>
            <w:r>
              <w:rPr>
                <w:rFonts w:ascii="Times New Roman" w:hAnsi="Times New Roman"/>
                <w:color w:val="333333"/>
                <w:sz w:val="20"/>
              </w:rPr>
              <w:t>$150,000</w:t>
            </w:r>
          </w:p>
        </w:tc>
        <w:tc>
          <w:tcPr>
            <w:tcW w:type="dxa" w:w="2340"/>
            <w:shd w:fill="FFF3E6" w:val="clear"/>
          </w:tcPr>
          <w:p>
            <w:pPr>
              <w:jc w:val="right"/>
            </w:pPr>
            <w:r/>
            <w:r>
              <w:rPr>
                <w:rFonts w:ascii="Times New Roman" w:hAnsi="Times New Roman"/>
                <w:color w:val="333333"/>
                <w:sz w:val="20"/>
              </w:rPr>
              <w:t>$80,000</w:t>
            </w:r>
          </w:p>
        </w:tc>
        <w:tc>
          <w:tcPr>
            <w:tcW w:type="dxa" w:w="2340"/>
            <w:shd w:fill="FFF3E6" w:val="clear"/>
          </w:tcPr>
          <w:p>
            <w:pPr>
              <w:jc w:val="right"/>
            </w:pPr>
            <w:r/>
            <w:r>
              <w:rPr>
                <w:rFonts w:ascii="Times New Roman" w:hAnsi="Times New Roman"/>
                <w:color w:val="333333"/>
                <w:sz w:val="20"/>
              </w:rPr>
              <w:t>$60,000</w:t>
            </w:r>
          </w:p>
        </w:tc>
      </w:tr>
      <w:tr>
        <w:tc>
          <w:tcPr>
            <w:tcW w:type="dxa" w:w="2340"/>
          </w:tcPr>
          <w:p>
            <w:r/>
            <w:r>
              <w:rPr>
                <w:rFonts w:ascii="Times New Roman" w:hAnsi="Times New Roman"/>
                <w:color w:val="333333"/>
                <w:sz w:val="20"/>
              </w:rPr>
              <w:t>Marketing &amp; Promotion</w:t>
            </w:r>
          </w:p>
        </w:tc>
        <w:tc>
          <w:tcPr>
            <w:tcW w:type="dxa" w:w="2340"/>
          </w:tcPr>
          <w:p>
            <w:pPr>
              <w:jc w:val="right"/>
            </w:pPr>
            <w:r/>
            <w:r>
              <w:rPr>
                <w:rFonts w:ascii="Times New Roman" w:hAnsi="Times New Roman"/>
                <w:color w:val="333333"/>
                <w:sz w:val="20"/>
              </w:rPr>
              <w:t>$120,000</w:t>
            </w:r>
          </w:p>
        </w:tc>
        <w:tc>
          <w:tcPr>
            <w:tcW w:type="dxa" w:w="2340"/>
          </w:tcPr>
          <w:p>
            <w:pPr>
              <w:jc w:val="right"/>
            </w:pPr>
            <w:r/>
            <w:r>
              <w:rPr>
                <w:rFonts w:ascii="Times New Roman" w:hAnsi="Times New Roman"/>
                <w:color w:val="333333"/>
                <w:sz w:val="20"/>
              </w:rPr>
              <w:t>$160,000</w:t>
            </w:r>
          </w:p>
        </w:tc>
        <w:tc>
          <w:tcPr>
            <w:tcW w:type="dxa" w:w="2340"/>
          </w:tcPr>
          <w:p>
            <w:pPr>
              <w:jc w:val="right"/>
            </w:pPr>
            <w:r/>
            <w:r>
              <w:rPr>
                <w:rFonts w:ascii="Times New Roman" w:hAnsi="Times New Roman"/>
                <w:color w:val="333333"/>
                <w:sz w:val="20"/>
              </w:rPr>
              <w:t>$200,000</w:t>
            </w:r>
          </w:p>
        </w:tc>
      </w:tr>
      <w:tr>
        <w:tc>
          <w:tcPr>
            <w:tcW w:type="dxa" w:w="2340"/>
            <w:shd w:fill="FFF3E6" w:val="clear"/>
          </w:tcPr>
          <w:p>
            <w:r/>
            <w:r>
              <w:rPr>
                <w:rFonts w:ascii="Times New Roman" w:hAnsi="Times New Roman"/>
                <w:color w:val="333333"/>
                <w:sz w:val="20"/>
              </w:rPr>
              <w:t>Operations &amp; Administration</w:t>
            </w:r>
          </w:p>
        </w:tc>
        <w:tc>
          <w:tcPr>
            <w:tcW w:type="dxa" w:w="2340"/>
            <w:shd w:fill="FFF3E6" w:val="clear"/>
          </w:tcPr>
          <w:p>
            <w:pPr>
              <w:jc w:val="right"/>
            </w:pPr>
            <w:r/>
            <w:r>
              <w:rPr>
                <w:rFonts w:ascii="Times New Roman" w:hAnsi="Times New Roman"/>
                <w:color w:val="333333"/>
                <w:sz w:val="20"/>
              </w:rPr>
              <w:t>$85,000</w:t>
            </w:r>
          </w:p>
        </w:tc>
        <w:tc>
          <w:tcPr>
            <w:tcW w:type="dxa" w:w="2340"/>
            <w:shd w:fill="FFF3E6" w:val="clear"/>
          </w:tcPr>
          <w:p>
            <w:pPr>
              <w:jc w:val="right"/>
            </w:pPr>
            <w:r/>
            <w:r>
              <w:rPr>
                <w:rFonts w:ascii="Times New Roman" w:hAnsi="Times New Roman"/>
                <w:color w:val="333333"/>
                <w:sz w:val="20"/>
              </w:rPr>
              <w:t>$110,000</w:t>
            </w:r>
          </w:p>
        </w:tc>
        <w:tc>
          <w:tcPr>
            <w:tcW w:type="dxa" w:w="2340"/>
            <w:shd w:fill="FFF3E6" w:val="clear"/>
          </w:tcPr>
          <w:p>
            <w:pPr>
              <w:jc w:val="right"/>
            </w:pPr>
            <w:r/>
            <w:r>
              <w:rPr>
                <w:rFonts w:ascii="Times New Roman" w:hAnsi="Times New Roman"/>
                <w:color w:val="333333"/>
                <w:sz w:val="20"/>
              </w:rPr>
              <w:t>$140,000</w:t>
            </w:r>
          </w:p>
        </w:tc>
      </w:tr>
      <w:tr>
        <w:tc>
          <w:tcPr>
            <w:tcW w:type="dxa" w:w="2340"/>
          </w:tcPr>
          <w:p>
            <w:r/>
            <w:r>
              <w:rPr>
                <w:rFonts w:ascii="Times New Roman" w:hAnsi="Times New Roman"/>
                <w:color w:val="333333"/>
                <w:sz w:val="20"/>
              </w:rPr>
              <w:t>Contingency Fund</w:t>
            </w:r>
          </w:p>
        </w:tc>
        <w:tc>
          <w:tcPr>
            <w:tcW w:type="dxa" w:w="2340"/>
          </w:tcPr>
          <w:p>
            <w:pPr>
              <w:jc w:val="right"/>
            </w:pPr>
            <w:r/>
            <w:r>
              <w:rPr>
                <w:rFonts w:ascii="Times New Roman" w:hAnsi="Times New Roman"/>
                <w:color w:val="333333"/>
                <w:sz w:val="20"/>
              </w:rPr>
              <w:t>$50,000</w:t>
            </w:r>
          </w:p>
        </w:tc>
        <w:tc>
          <w:tcPr>
            <w:tcW w:type="dxa" w:w="2340"/>
          </w:tcPr>
          <w:p>
            <w:pPr>
              <w:jc w:val="right"/>
            </w:pPr>
            <w:r/>
            <w:r>
              <w:rPr>
                <w:rFonts w:ascii="Times New Roman" w:hAnsi="Times New Roman"/>
                <w:color w:val="333333"/>
                <w:sz w:val="20"/>
              </w:rPr>
              <w:t>$45,000</w:t>
            </w:r>
          </w:p>
        </w:tc>
        <w:tc>
          <w:tcPr>
            <w:tcW w:type="dxa" w:w="2340"/>
          </w:tcPr>
          <w:p>
            <w:pPr>
              <w:jc w:val="right"/>
            </w:pPr>
            <w:r/>
            <w:r>
              <w:rPr>
                <w:rFonts w:ascii="Times New Roman" w:hAnsi="Times New Roman"/>
                <w:color w:val="333333"/>
                <w:sz w:val="20"/>
              </w:rPr>
              <w:t>$40,000</w:t>
            </w:r>
          </w:p>
        </w:tc>
      </w:tr>
      <w:tr>
        <w:tc>
          <w:tcPr>
            <w:tcW w:type="dxa" w:w="2340"/>
            <w:shd w:fill="333333" w:val="clear"/>
          </w:tcPr>
          <w:p>
            <w:r/>
            <w:r>
              <w:rPr>
                <w:rFonts w:ascii="Times New Roman" w:hAnsi="Times New Roman"/>
                <w:b/>
                <w:color w:val="FFFFFF"/>
                <w:sz w:val="20"/>
              </w:rPr>
              <w:t>Total Expenses</w:t>
            </w:r>
          </w:p>
        </w:tc>
        <w:tc>
          <w:tcPr>
            <w:tcW w:type="dxa" w:w="2340"/>
            <w:shd w:fill="333333" w:val="clear"/>
          </w:tcPr>
          <w:p>
            <w:r/>
            <w:r>
              <w:rPr>
                <w:rFonts w:ascii="Times New Roman" w:hAnsi="Times New Roman"/>
                <w:b/>
                <w:color w:val="FFFFFF"/>
                <w:sz w:val="20"/>
              </w:rPr>
              <w:t>$900,000</w:t>
            </w:r>
          </w:p>
        </w:tc>
        <w:tc>
          <w:tcPr>
            <w:tcW w:type="dxa" w:w="2340"/>
            <w:shd w:fill="333333" w:val="clear"/>
          </w:tcPr>
          <w:p>
            <w:r/>
            <w:r>
              <w:rPr>
                <w:rFonts w:ascii="Times New Roman" w:hAnsi="Times New Roman"/>
                <w:b/>
                <w:color w:val="FFFFFF"/>
                <w:sz w:val="20"/>
              </w:rPr>
              <w:t>$905,000</w:t>
            </w:r>
          </w:p>
        </w:tc>
        <w:tc>
          <w:tcPr>
            <w:tcW w:type="dxa" w:w="2340"/>
            <w:shd w:fill="333333" w:val="clear"/>
          </w:tcPr>
          <w:p>
            <w:r/>
            <w:r>
              <w:rPr>
                <w:rFonts w:ascii="Times New Roman" w:hAnsi="Times New Roman"/>
                <w:b/>
                <w:color w:val="FFFFFF"/>
                <w:sz w:val="20"/>
              </w:rPr>
              <w:t>$1,025,000</w:t>
            </w:r>
          </w:p>
        </w:tc>
      </w:tr>
    </w:tbl>
    <w:p>
      <w:pPr>
        <w:spacing w:after="160" w:before="0"/>
        <w:jc w:val="left"/>
      </w:pPr>
      <w:r>
        <w:rPr>
          <w:rFonts w:ascii="Times New Roman" w:hAnsi="Times New Roman"/>
          <w:b w:val="0"/>
          <w:color w:val="333333"/>
          <w:sz w:val="16"/>
        </w:rPr>
      </w:r>
    </w:p>
    <w:p>
      <w:pPr>
        <w:spacing w:after="120" w:before="240"/>
        <w:jc w:val="left"/>
      </w:pPr>
      <w:r>
        <w:rPr>
          <w:rFonts w:ascii="Times New Roman" w:hAnsi="Times New Roman"/>
          <w:b/>
          <w:color w:val="333333"/>
          <w:sz w:val="26"/>
        </w:rPr>
        <w:t>Projected Revenue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2E86AB" w:val="clear"/>
          </w:tcPr>
          <w:p>
            <w:pPr>
              <w:jc w:val="center"/>
            </w:pPr>
            <w:r/>
            <w:r>
              <w:rPr>
                <w:rFonts w:ascii="Times New Roman" w:hAnsi="Times New Roman"/>
                <w:b/>
                <w:color w:val="FFFFFF"/>
                <w:sz w:val="20"/>
              </w:rPr>
              <w:t>Revenue Stream</w:t>
            </w:r>
          </w:p>
        </w:tc>
        <w:tc>
          <w:tcPr>
            <w:tcW w:type="dxa" w:w="2340"/>
            <w:shd w:fill="2E86AB" w:val="clear"/>
          </w:tcPr>
          <w:p>
            <w:pPr>
              <w:jc w:val="center"/>
            </w:pPr>
            <w:r/>
            <w:r>
              <w:rPr>
                <w:rFonts w:ascii="Times New Roman" w:hAnsi="Times New Roman"/>
                <w:b/>
                <w:color w:val="FFFFFF"/>
                <w:sz w:val="20"/>
              </w:rPr>
              <w:t>Year 1 (USD)</w:t>
            </w:r>
          </w:p>
        </w:tc>
        <w:tc>
          <w:tcPr>
            <w:tcW w:type="dxa" w:w="2340"/>
            <w:shd w:fill="2E86AB" w:val="clear"/>
          </w:tcPr>
          <w:p>
            <w:pPr>
              <w:jc w:val="center"/>
            </w:pPr>
            <w:r/>
            <w:r>
              <w:rPr>
                <w:rFonts w:ascii="Times New Roman" w:hAnsi="Times New Roman"/>
                <w:b/>
                <w:color w:val="FFFFFF"/>
                <w:sz w:val="20"/>
              </w:rPr>
              <w:t>Year 2 (USD)</w:t>
            </w:r>
          </w:p>
        </w:tc>
        <w:tc>
          <w:tcPr>
            <w:tcW w:type="dxa" w:w="2340"/>
            <w:shd w:fill="2E86AB" w:val="clear"/>
          </w:tcPr>
          <w:p>
            <w:pPr>
              <w:jc w:val="center"/>
            </w:pPr>
            <w:r/>
            <w:r>
              <w:rPr>
                <w:rFonts w:ascii="Times New Roman" w:hAnsi="Times New Roman"/>
                <w:b/>
                <w:color w:val="FFFFFF"/>
                <w:sz w:val="20"/>
              </w:rPr>
              <w:t>Year 3 (USD)</w:t>
            </w:r>
          </w:p>
        </w:tc>
      </w:tr>
      <w:tr>
        <w:tc>
          <w:tcPr>
            <w:tcW w:type="dxa" w:w="2340"/>
          </w:tcPr>
          <w:p>
            <w:r/>
            <w:r>
              <w:rPr>
                <w:rFonts w:ascii="Times New Roman" w:hAnsi="Times New Roman"/>
                <w:color w:val="333333"/>
                <w:sz w:val="20"/>
              </w:rPr>
              <w:t>Academy Memberships</w:t>
            </w:r>
          </w:p>
        </w:tc>
        <w:tc>
          <w:tcPr>
            <w:tcW w:type="dxa" w:w="2340"/>
          </w:tcPr>
          <w:p>
            <w:pPr>
              <w:jc w:val="right"/>
            </w:pPr>
            <w:r/>
            <w:r>
              <w:rPr>
                <w:rFonts w:ascii="Times New Roman" w:hAnsi="Times New Roman"/>
                <w:color w:val="333333"/>
                <w:sz w:val="20"/>
              </w:rPr>
              <w:t>$180,000</w:t>
            </w:r>
          </w:p>
        </w:tc>
        <w:tc>
          <w:tcPr>
            <w:tcW w:type="dxa" w:w="2340"/>
          </w:tcPr>
          <w:p>
            <w:pPr>
              <w:jc w:val="right"/>
            </w:pPr>
            <w:r/>
            <w:r>
              <w:rPr>
                <w:rFonts w:ascii="Times New Roman" w:hAnsi="Times New Roman"/>
                <w:color w:val="333333"/>
                <w:sz w:val="20"/>
              </w:rPr>
              <w:t>$420,000</w:t>
            </w:r>
          </w:p>
        </w:tc>
        <w:tc>
          <w:tcPr>
            <w:tcW w:type="dxa" w:w="2340"/>
          </w:tcPr>
          <w:p>
            <w:pPr>
              <w:jc w:val="right"/>
            </w:pPr>
            <w:r/>
            <w:r>
              <w:rPr>
                <w:rFonts w:ascii="Times New Roman" w:hAnsi="Times New Roman"/>
                <w:color w:val="333333"/>
                <w:sz w:val="20"/>
              </w:rPr>
              <w:t>$720,000</w:t>
            </w:r>
          </w:p>
        </w:tc>
      </w:tr>
      <w:tr>
        <w:tc>
          <w:tcPr>
            <w:tcW w:type="dxa" w:w="2340"/>
            <w:shd w:fill="E6F4FA" w:val="clear"/>
          </w:tcPr>
          <w:p>
            <w:r/>
            <w:r>
              <w:rPr>
                <w:rFonts w:ascii="Times New Roman" w:hAnsi="Times New Roman"/>
                <w:color w:val="333333"/>
                <w:sz w:val="20"/>
              </w:rPr>
              <w:t>Digital Platform Subscriptions</w:t>
            </w:r>
          </w:p>
        </w:tc>
        <w:tc>
          <w:tcPr>
            <w:tcW w:type="dxa" w:w="2340"/>
            <w:shd w:fill="E6F4FA" w:val="clear"/>
          </w:tcPr>
          <w:p>
            <w:pPr>
              <w:jc w:val="right"/>
            </w:pPr>
            <w:r/>
            <w:r>
              <w:rPr>
                <w:rFonts w:ascii="Times New Roman" w:hAnsi="Times New Roman"/>
                <w:color w:val="333333"/>
                <w:sz w:val="20"/>
              </w:rPr>
              <w:t>$40,000</w:t>
            </w:r>
          </w:p>
        </w:tc>
        <w:tc>
          <w:tcPr>
            <w:tcW w:type="dxa" w:w="2340"/>
            <w:shd w:fill="E6F4FA" w:val="clear"/>
          </w:tcPr>
          <w:p>
            <w:pPr>
              <w:jc w:val="right"/>
            </w:pPr>
            <w:r/>
            <w:r>
              <w:rPr>
                <w:rFonts w:ascii="Times New Roman" w:hAnsi="Times New Roman"/>
                <w:color w:val="333333"/>
                <w:sz w:val="20"/>
              </w:rPr>
              <w:t>$150,000</w:t>
            </w:r>
          </w:p>
        </w:tc>
        <w:tc>
          <w:tcPr>
            <w:tcW w:type="dxa" w:w="2340"/>
            <w:shd w:fill="E6F4FA" w:val="clear"/>
          </w:tcPr>
          <w:p>
            <w:pPr>
              <w:jc w:val="right"/>
            </w:pPr>
            <w:r/>
            <w:r>
              <w:rPr>
                <w:rFonts w:ascii="Times New Roman" w:hAnsi="Times New Roman"/>
                <w:color w:val="333333"/>
                <w:sz w:val="20"/>
              </w:rPr>
              <w:t>$380,000</w:t>
            </w:r>
          </w:p>
        </w:tc>
      </w:tr>
      <w:tr>
        <w:tc>
          <w:tcPr>
            <w:tcW w:type="dxa" w:w="2340"/>
          </w:tcPr>
          <w:p>
            <w:r/>
            <w:r>
              <w:rPr>
                <w:rFonts w:ascii="Times New Roman" w:hAnsi="Times New Roman"/>
                <w:color w:val="333333"/>
                <w:sz w:val="20"/>
              </w:rPr>
              <w:t>Corporate Programs &amp; Events</w:t>
            </w:r>
          </w:p>
        </w:tc>
        <w:tc>
          <w:tcPr>
            <w:tcW w:type="dxa" w:w="2340"/>
          </w:tcPr>
          <w:p>
            <w:pPr>
              <w:jc w:val="right"/>
            </w:pPr>
            <w:r/>
            <w:r>
              <w:rPr>
                <w:rFonts w:ascii="Times New Roman" w:hAnsi="Times New Roman"/>
                <w:color w:val="333333"/>
                <w:sz w:val="20"/>
              </w:rPr>
              <w:t>$60,000</w:t>
            </w:r>
          </w:p>
        </w:tc>
        <w:tc>
          <w:tcPr>
            <w:tcW w:type="dxa" w:w="2340"/>
          </w:tcPr>
          <w:p>
            <w:pPr>
              <w:jc w:val="right"/>
            </w:pPr>
            <w:r/>
            <w:r>
              <w:rPr>
                <w:rFonts w:ascii="Times New Roman" w:hAnsi="Times New Roman"/>
                <w:color w:val="333333"/>
                <w:sz w:val="20"/>
              </w:rPr>
              <w:t>$130,000</w:t>
            </w:r>
          </w:p>
        </w:tc>
        <w:tc>
          <w:tcPr>
            <w:tcW w:type="dxa" w:w="2340"/>
          </w:tcPr>
          <w:p>
            <w:pPr>
              <w:jc w:val="right"/>
            </w:pPr>
            <w:r/>
            <w:r>
              <w:rPr>
                <w:rFonts w:ascii="Times New Roman" w:hAnsi="Times New Roman"/>
                <w:color w:val="333333"/>
                <w:sz w:val="20"/>
              </w:rPr>
              <w:t>$230,000</w:t>
            </w:r>
          </w:p>
        </w:tc>
      </w:tr>
      <w:tr>
        <w:tc>
          <w:tcPr>
            <w:tcW w:type="dxa" w:w="2340"/>
            <w:shd w:fill="E6F4FA" w:val="clear"/>
          </w:tcPr>
          <w:p>
            <w:r/>
            <w:r>
              <w:rPr>
                <w:rFonts w:ascii="Times New Roman" w:hAnsi="Times New Roman"/>
                <w:color w:val="333333"/>
                <w:sz w:val="20"/>
              </w:rPr>
              <w:t>Sponsorship &amp; Partnerships</w:t>
            </w:r>
          </w:p>
        </w:tc>
        <w:tc>
          <w:tcPr>
            <w:tcW w:type="dxa" w:w="2340"/>
            <w:shd w:fill="E6F4FA" w:val="clear"/>
          </w:tcPr>
          <w:p>
            <w:pPr>
              <w:jc w:val="right"/>
            </w:pPr>
            <w:r/>
            <w:r>
              <w:rPr>
                <w:rFonts w:ascii="Times New Roman" w:hAnsi="Times New Roman"/>
                <w:color w:val="333333"/>
                <w:sz w:val="20"/>
              </w:rPr>
              <w:t>$40,000</w:t>
            </w:r>
          </w:p>
        </w:tc>
        <w:tc>
          <w:tcPr>
            <w:tcW w:type="dxa" w:w="2340"/>
            <w:shd w:fill="E6F4FA" w:val="clear"/>
          </w:tcPr>
          <w:p>
            <w:pPr>
              <w:jc w:val="right"/>
            </w:pPr>
            <w:r/>
            <w:r>
              <w:rPr>
                <w:rFonts w:ascii="Times New Roman" w:hAnsi="Times New Roman"/>
                <w:color w:val="333333"/>
                <w:sz w:val="20"/>
              </w:rPr>
              <w:t>$80,000</w:t>
            </w:r>
          </w:p>
        </w:tc>
        <w:tc>
          <w:tcPr>
            <w:tcW w:type="dxa" w:w="2340"/>
            <w:shd w:fill="E6F4FA" w:val="clear"/>
          </w:tcPr>
          <w:p>
            <w:pPr>
              <w:jc w:val="right"/>
            </w:pPr>
            <w:r/>
            <w:r>
              <w:rPr>
                <w:rFonts w:ascii="Times New Roman" w:hAnsi="Times New Roman"/>
                <w:color w:val="333333"/>
                <w:sz w:val="20"/>
              </w:rPr>
              <w:t>$120,000</w:t>
            </w:r>
          </w:p>
        </w:tc>
      </w:tr>
    </w:tbl>
    <w:p>
      <w:pPr>
        <w:spacing w:after="80" w:before="0"/>
        <w:jc w:val="left"/>
      </w:pPr>
      <w:r>
        <w:rPr>
          <w:rFonts w:ascii="Times New Roman" w:hAnsi="Times New Roman"/>
          <w:b w:val="0"/>
          <w:color w:val="333333"/>
          <w:sz w:val="12"/>
        </w:rPr>
      </w:r>
    </w:p>
    <w:p>
      <w:pPr>
        <w:spacing w:after="120" w:before="0"/>
        <w:ind w:firstLine="720"/>
        <w:jc w:val="left"/>
      </w:pPr>
      <w:r>
        <w:rPr>
          <w:rFonts w:ascii="Times New Roman" w:hAnsi="Times New Roman"/>
          <w:b w:val="0"/>
          <w:color w:val="333333"/>
          <w:sz w:val="24"/>
        </w:rPr>
        <w:t>Total projected revenue grows from $320,000 in Year 1 to $780,000 in Year 2 and $1,450,000 in Year 3, achieving profitability by the second half of Year 2. The break-even point is projected at approximately 18 months post-launch, driven primarily by scaling academy memberships and rapid adoption of the digital platform.</w:t>
      </w:r>
    </w:p>
    <w:p>
      <w:pPr>
        <w:spacing w:after="40" w:before="0"/>
        <w:jc w:val="left"/>
      </w:pPr>
      <w:r>
        <w:rPr>
          <w:rFonts w:ascii="Times New Roman" w:hAnsi="Times New Roman"/>
          <w:b w:val="0"/>
          <w:color w:val="333333"/>
          <w:sz w:val="8"/>
        </w:rPr>
      </w:r>
    </w:p>
    <w:p>
      <w:pPr>
        <w:jc w:val="center"/>
      </w:pPr>
      <w:r>
        <w:drawing>
          <wp:inline xmlns:a="http://schemas.openxmlformats.org/drawingml/2006/main" xmlns:pic="http://schemas.openxmlformats.org/drawingml/2006/picture">
            <wp:extent cx="5669280" cy="2137154"/>
            <wp:docPr id="1" name="Picture 1"/>
            <wp:cNvGraphicFramePr>
              <a:graphicFrameLocks noChangeAspect="1"/>
            </wp:cNvGraphicFramePr>
            <a:graphic>
              <a:graphicData uri="http://schemas.openxmlformats.org/drawingml/2006/picture">
                <pic:pic>
                  <pic:nvPicPr>
                    <pic:cNvPr id="0" name="budget_chart.png"/>
                    <pic:cNvPicPr/>
                  </pic:nvPicPr>
                  <pic:blipFill>
                    <a:blip r:embed="rId9"/>
                    <a:stretch>
                      <a:fillRect/>
                    </a:stretch>
                  </pic:blipFill>
                  <pic:spPr>
                    <a:xfrm>
                      <a:off x="0" y="0"/>
                      <a:ext cx="5669280" cy="2137154"/>
                    </a:xfrm>
                    <a:prstGeom prst="rect"/>
                  </pic:spPr>
                </pic:pic>
              </a:graphicData>
            </a:graphic>
          </wp:inline>
        </w:drawing>
      </w:r>
    </w:p>
    <w:p>
      <w:r>
        <w:br w:type="page"/>
      </w:r>
    </w:p>
    <w:p>
      <w:pPr>
        <w:spacing w:after="160" w:before="360"/>
        <w:jc w:val="left"/>
      </w:pPr>
      <w:r>
        <w:rPr>
          <w:rFonts w:ascii="Times New Roman" w:hAnsi="Times New Roman"/>
          <w:b/>
          <w:color w:val="E86C00"/>
          <w:sz w:val="32"/>
        </w:rPr>
        <w:t>Strategic Partnerships</w:t>
      </w:r>
    </w:p>
    <w:p>
      <w:pPr>
        <w:spacing w:after="120" w:before="0"/>
        <w:ind w:firstLine="720"/>
        <w:jc w:val="left"/>
      </w:pPr>
      <w:r>
        <w:rPr>
          <w:rFonts w:ascii="Times New Roman" w:hAnsi="Times New Roman"/>
          <w:b w:val="0"/>
          <w:color w:val="333333"/>
          <w:sz w:val="24"/>
        </w:rPr>
        <w:t>Strategic partnerships are essential to HoopRise's market entry strategy, providing credibility, resources, and access that would be difficult and costly to build independently. The following partnerships have been identified as high-priority targets, each aligned with specific business objectives.</w:t>
      </w:r>
    </w:p>
    <w:p>
      <w:pPr>
        <w:spacing w:after="120" w:before="240"/>
        <w:jc w:val="left"/>
      </w:pPr>
      <w:r>
        <w:rPr>
          <w:rFonts w:ascii="Times New Roman" w:hAnsi="Times New Roman"/>
          <w:b/>
          <w:color w:val="333333"/>
          <w:sz w:val="26"/>
        </w:rPr>
        <w:t>NBA India</w:t>
      </w:r>
    </w:p>
    <w:p>
      <w:pPr>
        <w:spacing w:after="120" w:before="0"/>
        <w:ind w:firstLine="720"/>
        <w:jc w:val="left"/>
      </w:pPr>
      <w:r>
        <w:rPr>
          <w:rFonts w:ascii="Times New Roman" w:hAnsi="Times New Roman"/>
          <w:b w:val="0"/>
          <w:color w:val="333333"/>
          <w:sz w:val="24"/>
        </w:rPr>
        <w:t>A partnership with NBA India is the cornerstone of HoopRise's credibility strategy. The NBA has invested heavily in growing basketball in India through initiatives like NBA Academy India, Jr. NBA programs, and broadcast partnerships. HoopRise will seek designation as an official NBA-affiliated training center, gaining access to NBA coaching methodologies, curriculum frameworks, and brand association. This partnership would also create pathways for HoopRise players to participate in NBA India events and potentially be scouted for the NBA Academy, adding significant value to the training proposition.</w:t>
      </w:r>
    </w:p>
    <w:p>
      <w:pPr>
        <w:spacing w:after="120" w:before="240"/>
        <w:jc w:val="left"/>
      </w:pPr>
      <w:r>
        <w:rPr>
          <w:rFonts w:ascii="Times New Roman" w:hAnsi="Times New Roman"/>
          <w:b/>
          <w:color w:val="333333"/>
          <w:sz w:val="26"/>
        </w:rPr>
        <w:t>Nike India / Adidas India</w:t>
      </w:r>
    </w:p>
    <w:p>
      <w:pPr>
        <w:spacing w:after="120" w:before="0"/>
        <w:ind w:firstLine="720"/>
        <w:jc w:val="left"/>
      </w:pPr>
      <w:r>
        <w:rPr>
          <w:rFonts w:ascii="Times New Roman" w:hAnsi="Times New Roman"/>
          <w:b w:val="0"/>
          <w:color w:val="333333"/>
          <w:sz w:val="24"/>
        </w:rPr>
        <w:t>An equipment and apparel partnership with a major sportswear brand will provide HoopRise with high-quality training gear, branded academy uniforms, and co-marketing opportunities. Nike, which has a strong basketball heritage and growing presence in India, is the preferred partner. The partnership would include equipment supply at preferential rates, co-branded marketing campaigns, and potential funding for scholarship programs. In return, the sportswear partner gains a dedicated channel for youth basketball engagement and product placement in a growing market segment.</w:t>
      </w:r>
    </w:p>
    <w:p>
      <w:pPr>
        <w:spacing w:after="120" w:before="240"/>
        <w:jc w:val="left"/>
      </w:pPr>
      <w:r>
        <w:rPr>
          <w:rFonts w:ascii="Times New Roman" w:hAnsi="Times New Roman"/>
          <w:b/>
          <w:color w:val="333333"/>
          <w:sz w:val="26"/>
        </w:rPr>
        <w:t>Basketball Federation of India (BFI)</w:t>
      </w:r>
    </w:p>
    <w:p>
      <w:pPr>
        <w:spacing w:after="120" w:before="0"/>
        <w:ind w:firstLine="720"/>
        <w:jc w:val="left"/>
      </w:pPr>
      <w:r>
        <w:rPr>
          <w:rFonts w:ascii="Times New Roman" w:hAnsi="Times New Roman"/>
          <w:b w:val="0"/>
          <w:color w:val="333333"/>
          <w:sz w:val="24"/>
        </w:rPr>
        <w:t>Alignment with the BFI provides institutional legitimacy and access to the national basketball ecosystem. HoopRise will seek recognition as an accredited training center, enabling academy players to be eligible for state and national team selection pathways. This partnership also opens doors to participation in BFI-organized tournaments, coaching certification programs, and access to government sports facilities. The BFI benefits from HoopRise's contribution to grassroots development and talent identification, strengthening the overall basketball pipeline in India.</w:t>
      </w:r>
    </w:p>
    <w:p>
      <w:pPr>
        <w:spacing w:after="120" w:before="240"/>
        <w:jc w:val="left"/>
      </w:pPr>
      <w:r>
        <w:rPr>
          <w:rFonts w:ascii="Times New Roman" w:hAnsi="Times New Roman"/>
          <w:b/>
          <w:color w:val="333333"/>
          <w:sz w:val="26"/>
        </w:rPr>
        <w:t>Indian School and University Networks</w:t>
      </w:r>
    </w:p>
    <w:p>
      <w:pPr>
        <w:spacing w:after="120" w:before="0"/>
        <w:ind w:firstLine="720"/>
        <w:jc w:val="left"/>
      </w:pPr>
      <w:r>
        <w:rPr>
          <w:rFonts w:ascii="Times New Roman" w:hAnsi="Times New Roman"/>
          <w:b w:val="0"/>
          <w:color w:val="333333"/>
          <w:sz w:val="24"/>
        </w:rPr>
        <w:t>Formal partnerships with school networks such as Delhi Public School (DPS), Amity International, and Ryan International will embed HoopRise within the education ecosystem. These partnerships will include after-school basketball programs conducted at school facilities, preferential enrollment rates for students of partner schools, and inter-school tournament sponsorship. University partnerships with institutions like Christ University (Bangalore), Shiv Nadar University (Delhi), and NMIMS (Mumbai) will focus on collegiate basketball development, internship opportunities, and sports management collaborations.</w:t>
      </w:r>
    </w:p>
    <w:p>
      <w:pPr>
        <w:spacing w:after="120" w:before="240"/>
        <w:jc w:val="left"/>
      </w:pPr>
      <w:r>
        <w:rPr>
          <w:rFonts w:ascii="Times New Roman" w:hAnsi="Times New Roman"/>
          <w:b/>
          <w:color w:val="333333"/>
          <w:sz w:val="26"/>
        </w:rPr>
        <w:t>Technology Partners</w:t>
      </w:r>
    </w:p>
    <w:p>
      <w:pPr>
        <w:spacing w:after="120" w:before="0"/>
        <w:ind w:firstLine="720"/>
        <w:jc w:val="left"/>
      </w:pPr>
      <w:r>
        <w:rPr>
          <w:rFonts w:ascii="Times New Roman" w:hAnsi="Times New Roman"/>
          <w:b w:val="0"/>
          <w:color w:val="333333"/>
          <w:sz w:val="24"/>
        </w:rPr>
        <w:t>Partnerships with Indian technology companies will support the development and scaling of the HoopRise digital platform. Collaborations with firms such as Infosys or Wipro for platform development, Amazon Web Services (AWS) India for cloud infrastructure (including startup credits programs), and sports technology companies like ShotTracker or Noah Basketball for performance analytics integration will ensure a world-class digital experience. These partnerships reduce development costs while providing access to cutting-edge technology that enhances the training experience.</w:t>
      </w:r>
    </w:p>
    <w:p>
      <w:r>
        <w:br w:type="page"/>
      </w:r>
    </w:p>
    <w:p>
      <w:pPr>
        <w:spacing w:after="160" w:before="360"/>
        <w:jc w:val="left"/>
      </w:pPr>
      <w:r>
        <w:rPr>
          <w:rFonts w:ascii="Times New Roman" w:hAnsi="Times New Roman"/>
          <w:b/>
          <w:color w:val="E86C00"/>
          <w:sz w:val="32"/>
        </w:rPr>
        <w:t>References</w:t>
      </w:r>
    </w:p>
    <w:p>
      <w:pPr>
        <w:spacing w:after="160"/>
        <w:ind w:left="720" w:hanging="720"/>
      </w:pPr>
      <w:r>
        <w:rPr>
          <w:rFonts w:ascii="Times New Roman" w:hAnsi="Times New Roman"/>
          <w:color w:val="333333"/>
          <w:sz w:val="24"/>
        </w:rPr>
        <w:t>Deloitte. (2024). India's digital sports consumption: Trends and opportunities in a mobile-first market. Deloitte Touche Tohmatsu India LLP.</w:t>
      </w:r>
    </w:p>
    <w:p>
      <w:pPr>
        <w:spacing w:after="160"/>
        <w:ind w:left="720" w:hanging="720"/>
      </w:pPr>
      <w:r>
        <w:rPr>
          <w:rFonts w:ascii="Times New Roman" w:hAnsi="Times New Roman"/>
          <w:color w:val="333333"/>
          <w:sz w:val="24"/>
        </w:rPr>
        <w:t>KPMG. (2023). The business of sports: A comprehensive analysis of India's evolving sports industry landscape. KPMG India.</w:t>
      </w:r>
    </w:p>
    <w:p>
      <w:pPr>
        <w:spacing w:after="160"/>
        <w:ind w:left="720" w:hanging="720"/>
      </w:pPr>
      <w:r>
        <w:rPr>
          <w:rFonts w:ascii="Times New Roman" w:hAnsi="Times New Roman"/>
          <w:color w:val="333333"/>
          <w:sz w:val="24"/>
        </w:rPr>
        <w:t>National Basketball Association. (2024). NBA global outreach report: Expanding basketball culture in emerging markets. NBA Communications.</w:t>
      </w:r>
    </w:p>
    <w:p>
      <w:pPr>
        <w:spacing w:after="160"/>
        <w:ind w:left="720" w:hanging="720"/>
      </w:pPr>
      <w:r>
        <w:rPr>
          <w:rFonts w:ascii="Times New Roman" w:hAnsi="Times New Roman"/>
          <w:color w:val="333333"/>
          <w:sz w:val="24"/>
        </w:rPr>
        <w:t>Sports Authority of India. (2023). Khelo India annual report 2022-2023: Building a sporting nation through grassroots development. Ministry of Youth Affairs and Sports, Government of India.</w:t>
      </w:r>
    </w:p>
    <w:p>
      <w:pPr>
        <w:spacing w:after="160"/>
        <w:ind w:left="720" w:hanging="720"/>
      </w:pPr>
      <w:r>
        <w:rPr>
          <w:rFonts w:ascii="Times New Roman" w:hAnsi="Times New Roman"/>
          <w:color w:val="333333"/>
          <w:sz w:val="24"/>
        </w:rPr>
        <w:t>United Nations Department of Economic and Social Affairs. (2024). World population prospects 2024: India demographic profile summary. United Nations Publications.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3333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