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091" w:type="dxa"/>
        <w:jc w:val="center"/>
        <w:tblInd w:w="0" w:type="dxa"/>
        <w:tblCellMar>
          <w:top w:w="0" w:type="dxa"/>
          <w:left w:w="108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941"/>
        <w:gridCol w:w="3452"/>
        <w:gridCol w:w="5476"/>
        <w:gridCol w:w="222"/>
      </w:tblGrid>
      <w:tr>
        <w:trPr>
          <w:trHeight w:val="960" w:hRule="atLeast"/>
        </w:trPr>
        <w:tc>
          <w:tcPr>
            <w:tcW w:w="6393" w:type="dxa"/>
            <w:gridSpan w:val="2"/>
            <w:tcBorders>
              <w:bottom w:val="single" w:sz="8" w:space="0" w:color="767171"/>
            </w:tcBorders>
            <w:shd w:fill="auto" w:val="clear"/>
          </w:tcPr>
          <w:p>
            <w:pPr>
              <w:pStyle w:val="1"/>
              <w:spacing w:lineRule="auto" w:line="240" w:before="180" w:after="180"/>
              <w:rPr>
                <w:rFonts w:ascii="微軟正黑體" w:hAnsi="微軟正黑體" w:eastAsia="微軟正黑體"/>
                <w:color w:val="44546A" w:themeColor="text2"/>
                <w:sz w:val="56"/>
              </w:rPr>
            </w:pPr>
            <w:bookmarkStart w:id="0" w:name="_Memory_Related_News"/>
            <w:bookmarkEnd w:id="0"/>
            <w:r>
              <w:rPr>
                <w:rFonts w:eastAsia="微軟正黑體" w:ascii="微軟正黑體" w:hAnsi="微軟正黑體"/>
                <w:color w:val="44546A" w:themeColor="text2"/>
                <w:sz w:val="56"/>
              </w:rPr>
              <w:t>Memory Related News</w:t>
            </w:r>
          </w:p>
          <w:p>
            <w:pPr>
              <w:pStyle w:val="Normal"/>
              <w:spacing w:lineRule="exact" w:line="360"/>
              <w:rPr>
                <w:rFonts w:ascii="微軟正黑體" w:hAnsi="微軟正黑體" w:eastAsia="微軟正黑體"/>
                <w:bCs/>
              </w:rPr>
            </w:pPr>
            <w:r>
              <w:rPr>
                <w:rFonts w:eastAsia="微軟正黑體" w:ascii="微軟正黑體" w:hAnsi="微軟正黑體"/>
                <w:bCs/>
              </w:rPr>
            </w:r>
          </w:p>
        </w:tc>
        <w:tc>
          <w:tcPr>
            <w:tcW w:w="5698" w:type="dxa"/>
            <w:gridSpan w:val="2"/>
            <w:tcBorders>
              <w:bottom w:val="single" w:sz="8" w:space="0" w:color="767171"/>
            </w:tcBorders>
            <w:shd w:fill="auto" w:val="clear"/>
          </w:tcPr>
          <w:p>
            <w:pPr>
              <w:pStyle w:val="Normal"/>
              <w:jc w:val="right"/>
              <w:rPr>
                <w:rFonts w:ascii="微軟正黑體" w:hAnsi="微軟正黑體" w:eastAsia="微軟正黑體"/>
              </w:rPr>
            </w:pPr>
            <w:r>
              <w:rPr/>
              <w:drawing>
                <wp:inline distT="0" distB="0" distL="0" distR="0">
                  <wp:extent cx="2428875" cy="847725"/>
                  <wp:effectExtent l="0" t="0" r="0" b="0"/>
                  <wp:docPr id="1" name="圖片 11" descr="cid:image002.jpg@01D3B147.C57AF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1" descr="cid:image002.jpg@01D3B147.C57AF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0" w:hRule="atLeast"/>
        </w:trPr>
        <w:tc>
          <w:tcPr>
            <w:tcW w:w="11869" w:type="dxa"/>
            <w:gridSpan w:val="3"/>
            <w:tcBorders/>
            <w:shd w:color="auto" w:fill="767171" w:val="clear"/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ascii="微軟正黑體" w:hAnsi="微軟正黑體" w:eastAsia="微軟正黑體"/>
                <w:bCs/>
                <w:color w:val="FFFFFF"/>
              </w:rPr>
            </w:pPr>
            <w:r>
              <w:rPr>
                <w:rFonts w:ascii="微軟正黑體" w:hAnsi="微軟正黑體" w:eastAsia="微軟正黑體"/>
                <w:bCs/>
                <w:color w:val="FFFFFF"/>
                <w:lang w:eastAsia="zh-TW"/>
              </w:rPr>
              <w:t>南亞科</w:t>
            </w:r>
            <w:r>
              <w:rPr>
                <w:rFonts w:ascii="微軟正黑體" w:hAnsi="微軟正黑體" w:eastAsia="微軟正黑體"/>
                <w:bCs/>
                <w:color w:val="FFFFFF"/>
              </w:rPr>
              <w:t>相關新聞</w:t>
            </w:r>
          </w:p>
        </w:tc>
        <w:tc>
          <w:tcPr>
            <w:tcW w:w="222" w:type="dxa"/>
            <w:tcBorders/>
            <w:shd w:color="auto" w:fill="767171" w:val="clear"/>
          </w:tcPr>
          <w:p>
            <w:pPr>
              <w:pStyle w:val="Normal"/>
              <w:spacing w:lineRule="exact" w:line="320"/>
              <w:jc w:val="center"/>
              <w:rPr>
                <w:rFonts w:ascii="微軟正黑體" w:hAnsi="微軟正黑體" w:eastAsia="微軟正黑體"/>
                <w:bCs/>
                <w:color w:val="FFFFFF"/>
              </w:rPr>
            </w:pPr>
            <w:r>
              <w:rPr>
                <w:rFonts w:eastAsia="微軟正黑體" w:ascii="微軟正黑體" w:hAnsi="微軟正黑體"/>
                <w:bCs/>
                <w:color w:val="FFFFFF"/>
              </w:rPr>
            </w:r>
          </w:p>
        </w:tc>
      </w:tr>
      <w:tr>
        <w:trPr>
          <w:trHeight w:val="299" w:hRule="atLeast"/>
        </w:trPr>
        <w:tc>
          <w:tcPr>
            <w:tcW w:w="2941" w:type="dxa"/>
            <w:tcBorders>
              <w:bottom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  <w:tc>
          <w:tcPr>
            <w:tcW w:w="8928" w:type="dxa"/>
            <w:gridSpan w:val="2"/>
            <w:tcBorders>
              <w:bottom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jc w:val="both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  <w:tc>
          <w:tcPr>
            <w:tcW w:w="222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</w:tbl>
    <w:p>
      <w:pPr>
        <w:pStyle w:val="Normal"/>
        <w:rPr>
          <w:rFonts w:eastAsia="DengXian"/>
        </w:rPr>
      </w:pPr>
      <w:r>
        <w:rPr>
          <w:rFonts w:eastAsia="DengXian"/>
        </w:rPr>
      </w:r>
    </w:p>
    <w:p>
      <w:pPr>
        <w:pStyle w:val="Normal"/>
        <w:rPr>
          <w:rFonts w:eastAsia="DengXian"/>
        </w:rPr>
      </w:pPr>
      <w:r>
        <w:rPr>
          <w:rFonts w:eastAsia="DengXian"/>
        </w:rPr>
      </w:r>
    </w:p>
    <w:p>
      <w:pPr>
        <w:pStyle w:val="Normal"/>
        <w:rPr>
          <w:rFonts w:eastAsia="DengXian"/>
        </w:rPr>
      </w:pPr>
      <w:r>
        <w:rPr/>
        <mc:AlternateContent>
          <mc:Choice Requires="wps">
            <w:drawing>
              <wp:inline distT="0" distB="0" distL="0" distR="0">
                <wp:extent cx="10859135" cy="635"/>
                <wp:effectExtent l="0" t="0" r="19050" b="1905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6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854.95pt,-0.05pt" stroked="t" style="position:absolute;mso-position-vertical:top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60" w:before="0" w:after="240"/>
        <w:jc w:val="center"/>
        <w:rPr/>
      </w:pPr>
      <w:r>
        <w:rPr>
          <w:rFonts w:eastAsia="微軟正黑體" w:ascii="微軟正黑體" w:hAnsi="微軟正黑體"/>
          <w:b/>
          <w:lang w:eastAsia="zh-TW"/>
        </w:rPr>
        <w:t>NEWS</w:t>
      </w:r>
    </w:p>
    <w:tbl>
      <w:tblPr>
        <w:tblStyle w:val="aa"/>
        <w:tblW w:w="82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vAlign w:val="center"/>
          </w:tcPr>
          <w:p>
            <w:pPr>
              <w:pStyle w:val="3"/>
              <w:rPr>
                <w:rFonts w:ascii="微軟正黑體" w:hAnsi="微軟正黑體"/>
                <w:lang w:eastAsia="zh-TW"/>
              </w:rPr>
            </w:pPr>
            <w:r>
              <w:rPr>
                <w:rFonts w:ascii="微軟正黑體" w:hAnsi="微軟正黑體"/>
                <w:lang w:eastAsia="zh-TW"/>
              </w:rPr>
            </w:r>
            <w:bookmarkStart w:id="1" w:name="_勝高CEO橋本真幸：記憶體價跌是市場調整_半導體2021前需求不墜"/>
            <w:bookmarkStart w:id="2" w:name="_SK海力士傳明年上半量產2層堆疊1,600萬畫素CIS"/>
            <w:bookmarkStart w:id="3" w:name="_三星宣布攜手Google_讓RCS服務無縫運行"/>
            <w:bookmarkStart w:id="4" w:name="_Cypress結盟SK海力士設合資企業_共同發展下世代NAND產品"/>
            <w:bookmarkStart w:id="5" w:name="_GlobalFoundries退出7奈米競賽_預告晶片創新將跳脫傳統模"/>
            <w:bookmarkStart w:id="6" w:name="_勝高CEO橋本真幸：記憶體價跌是市場調整_半導體2021前需求不墜"/>
            <w:bookmarkStart w:id="7" w:name="_SK海力士傳明年上半量產2層堆疊1,600萬畫素CIS"/>
            <w:bookmarkStart w:id="8" w:name="_三星宣布攜手Google_讓RCS服務無縫運行"/>
            <w:bookmarkStart w:id="9" w:name="_Cypress結盟SK海力士設合資企業_共同發展下世代NAND產品"/>
            <w:bookmarkStart w:id="10" w:name="_GlobalFoundries退出7奈米競賽_預告晶片創新將跳脫傳統模"/>
            <w:bookmarkEnd w:id="6"/>
            <w:bookmarkEnd w:id="7"/>
            <w:bookmarkEnd w:id="8"/>
            <w:bookmarkEnd w:id="9"/>
            <w:bookmarkEnd w:id="10"/>
          </w:p>
          <w:p>
            <w:pPr>
              <w:pStyle w:val="Normal"/>
              <w:spacing w:lineRule="exact" w:line="320"/>
              <w:jc w:val="both"/>
              <w:rPr/>
            </w:pPr>
            <w:hyperlink w:anchor="_Memory_Related_News">
              <w:r>
                <w:rPr>
                  <w:rStyle w:val="Style11"/>
                  <w:rFonts w:eastAsia="微軟正黑體" w:ascii="微軟正黑體" w:hAnsi="微軟正黑體"/>
                  <w:lang w:eastAsia="zh-TW"/>
                </w:rPr>
                <w:t>&lt;</w:t>
              </w:r>
              <w:r>
                <w:rPr>
                  <w:rStyle w:val="Style11"/>
                  <w:rFonts w:ascii="微軟正黑體" w:hAnsi="微軟正黑體" w:eastAsia="微軟正黑體"/>
                  <w:lang w:eastAsia="zh-TW"/>
                </w:rPr>
                <w:t>回到電子報</w:t>
              </w:r>
              <w:r>
                <w:rPr>
                  <w:rStyle w:val="Style11"/>
                  <w:rFonts w:eastAsia="微軟正黑體" w:ascii="微軟正黑體" w:hAnsi="微軟正黑體"/>
                  <w:lang w:eastAsia="zh-TW"/>
                </w:rPr>
                <w:t>&gt;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libri Light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微軟正黑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913"/>
    <w:pPr>
      <w:widowControl/>
      <w:bidi w:val="0"/>
      <w:spacing w:before="0" w:after="0"/>
      <w:jc w:val="left"/>
    </w:pPr>
    <w:rPr>
      <w:rFonts w:ascii="Calibri" w:hAnsi="Calibri" w:eastAsia="新細明體" w:cs="新細明體" w:asciiTheme="minorHAnsi" w:eastAsiaTheme="minorEastAsia" w:hAnsiTheme="minorHAnsi"/>
      <w:color w:val="auto"/>
      <w:kern w:val="0"/>
      <w:sz w:val="24"/>
      <w:szCs w:val="24"/>
      <w:lang w:eastAsia="zh-CN" w:val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60abc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bd2505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7123b2"/>
    <w:pPr>
      <w:keepNext w:val="true"/>
      <w:outlineLvl w:val="2"/>
    </w:pPr>
    <w:rPr>
      <w:rFonts w:ascii="Calibri Light" w:hAnsi="Calibri Light" w:eastAsia="微軟正黑體" w:cs="" w:asciiTheme="majorHAnsi" w:cstheme="majorBidi" w:hAnsiTheme="majorHAnsi"/>
      <w:b/>
      <w:bCs/>
      <w:sz w:val="32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網際網路連結"/>
    <w:basedOn w:val="DefaultParagraphFont"/>
    <w:uiPriority w:val="99"/>
    <w:unhideWhenUsed/>
    <w:rsid w:val="00b1291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f69df"/>
    <w:rPr>
      <w:color w:val="954F72" w:themeColor="followedHyperlink"/>
      <w:u w:val="single"/>
    </w:rPr>
  </w:style>
  <w:style w:type="character" w:styleId="Style12" w:customStyle="1">
    <w:name w:val="頁首 字元"/>
    <w:basedOn w:val="DefaultParagraphFont"/>
    <w:link w:val="a6"/>
    <w:uiPriority w:val="99"/>
    <w:qFormat/>
    <w:rsid w:val="004b4814"/>
    <w:rPr>
      <w:rFonts w:ascii="Calibri" w:hAnsi="Calibri" w:eastAsia="新細明體" w:cs="新細明體"/>
      <w:kern w:val="0"/>
      <w:sz w:val="20"/>
      <w:szCs w:val="20"/>
      <w:lang w:eastAsia="zh-CN"/>
    </w:rPr>
  </w:style>
  <w:style w:type="character" w:styleId="Style13" w:customStyle="1">
    <w:name w:val="頁尾 字元"/>
    <w:basedOn w:val="DefaultParagraphFont"/>
    <w:link w:val="a8"/>
    <w:uiPriority w:val="99"/>
    <w:qFormat/>
    <w:rsid w:val="004b4814"/>
    <w:rPr>
      <w:rFonts w:ascii="Calibri" w:hAnsi="Calibri" w:eastAsia="新細明體" w:cs="新細明體"/>
      <w:kern w:val="0"/>
      <w:sz w:val="20"/>
      <w:szCs w:val="20"/>
      <w:lang w:eastAsia="zh-CN"/>
    </w:rPr>
  </w:style>
  <w:style w:type="character" w:styleId="11" w:customStyle="1">
    <w:name w:val="標題 1 字元"/>
    <w:basedOn w:val="DefaultParagraphFont"/>
    <w:link w:val="1"/>
    <w:uiPriority w:val="9"/>
    <w:qFormat/>
    <w:rsid w:val="00e60abc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  <w:lang w:eastAsia="zh-CN"/>
    </w:rPr>
  </w:style>
  <w:style w:type="character" w:styleId="21" w:customStyle="1">
    <w:name w:val="標題 2 字元"/>
    <w:basedOn w:val="DefaultParagraphFont"/>
    <w:link w:val="2"/>
    <w:uiPriority w:val="9"/>
    <w:qFormat/>
    <w:rsid w:val="00bd2505"/>
    <w:rPr>
      <w:rFonts w:ascii="Calibri Light" w:hAnsi="Calibri Light" w:eastAsia="新細明體" w:cs="" w:asciiTheme="majorHAnsi" w:cstheme="majorBidi" w:eastAsiaTheme="majorEastAsia" w:hAnsiTheme="majorHAnsi"/>
      <w:b/>
      <w:bCs/>
      <w:kern w:val="0"/>
      <w:sz w:val="48"/>
      <w:szCs w:val="48"/>
      <w:lang w:eastAsia="zh-CN"/>
    </w:rPr>
  </w:style>
  <w:style w:type="character" w:styleId="31" w:customStyle="1">
    <w:name w:val="標題 3 字元"/>
    <w:basedOn w:val="DefaultParagraphFont"/>
    <w:link w:val="3"/>
    <w:uiPriority w:val="9"/>
    <w:qFormat/>
    <w:rsid w:val="007123b2"/>
    <w:rPr>
      <w:rFonts w:ascii="Calibri Light" w:hAnsi="Calibri Light" w:eastAsia="微軟正黑體" w:cs="" w:asciiTheme="majorHAnsi" w:cstheme="majorBidi" w:hAnsiTheme="majorHAnsi"/>
      <w:b/>
      <w:bCs/>
      <w:kern w:val="0"/>
      <w:sz w:val="32"/>
      <w:szCs w:val="36"/>
      <w:lang w:eastAsia="zh-CN"/>
    </w:rPr>
  </w:style>
  <w:style w:type="character" w:styleId="Xformsinput" w:customStyle="1">
    <w:name w:val="xforms_input"/>
    <w:basedOn w:val="DefaultParagraphFont"/>
    <w:qFormat/>
    <w:rsid w:val="0034230f"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12913"/>
    <w:pPr>
      <w:ind w:left="480" w:hanging="0"/>
    </w:pPr>
    <w:rPr/>
  </w:style>
  <w:style w:type="paragraph" w:styleId="Style19">
    <w:name w:val="頁首與頁尾"/>
    <w:basedOn w:val="Normal"/>
    <w:qFormat/>
    <w:pPr/>
    <w:rPr/>
  </w:style>
  <w:style w:type="paragraph" w:styleId="Style20">
    <w:name w:val="Header"/>
    <w:basedOn w:val="Normal"/>
    <w:link w:val="a7"/>
    <w:uiPriority w:val="99"/>
    <w:unhideWhenUsed/>
    <w:rsid w:val="004b481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1">
    <w:name w:val="Footer"/>
    <w:basedOn w:val="Normal"/>
    <w:link w:val="a9"/>
    <w:uiPriority w:val="99"/>
    <w:unhideWhenUsed/>
    <w:rsid w:val="004b481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60a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144A0DBB16F2440B8D667F0D58088F3" ma:contentTypeVersion="0" ma:contentTypeDescription="建立新的文件。" ma:contentTypeScope="" ma:versionID="9c7c6c2d00be297e681c83e3678039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ca1165369cbf929f3384faf68dff5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CE59-EBA7-4F10-A79C-E894670F2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8FF750-6D29-4B94-BD42-56BCF65C0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447E1-158F-4D13-8C5E-28EC193142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541D0B-F3B9-4FD8-8C66-30ED8CF0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LibreOffice/6.3.5.2$Windows_X86_64 LibreOffice_project/dd0751754f11728f69b42ee2af66670068624673</Application>
  <Pages>1</Pages>
  <Words>18</Words>
  <Characters>35</Characters>
  <CharactersWithSpaces>37</CharactersWithSpaces>
  <Paragraphs>6</Paragraphs>
  <Company>NTC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2019-10-28T08:37:00Z</dcterms:created>
  <dc:creator>Ze Hui Wu (吳則慧-訓練發展部)</dc:creator>
  <dc:description/>
  <dc:language>zh-TW</dc:language>
  <cp:lastModifiedBy/>
  <dcterms:modified xsi:type="dcterms:W3CDTF">2020-05-19T15:23:54Z</dcterms:modified>
  <cp:revision>6</cp:revision>
  <dc:subject/>
  <dc:title>Memory Related News 0308 若記憶體價格續飆，買家恐變心、助長陸廠崛起/ IC Insights：2018年DRAM供應商須謹慎控制DRAM平均售價上揚幅度/CFIUS信件曝光：收購高通將威脅美國安全？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NTC</vt:lpwstr>
  </property>
  <property fmtid="{D5CDD505-2E9C-101B-9397-08002B2CF9AE}" pid="4" name="ContentTypeId">
    <vt:lpwstr>0x0101006144A0DBB16F2440B8D667F0D58088F3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