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BCCD9" w14:textId="678625BF" w:rsidR="00F95D71" w:rsidRDefault="00684185">
      <w:r>
        <w:t>Luke Watson</w:t>
      </w:r>
    </w:p>
    <w:p w14:paraId="112A5D6E" w14:textId="133293A9" w:rsidR="00684185" w:rsidRDefault="00684185">
      <w:r>
        <w:t>Exercise 2</w:t>
      </w:r>
    </w:p>
    <w:p w14:paraId="33F66BFC" w14:textId="48454A38" w:rsidR="00684185" w:rsidRDefault="00833B90">
      <w:r>
        <w:t>958</w:t>
      </w:r>
    </w:p>
    <w:p w14:paraId="345EE461" w14:textId="64132EC8" w:rsidR="00833B90" w:rsidRDefault="00833B90">
      <w:pPr>
        <w:rPr>
          <w:i/>
          <w:iCs/>
        </w:rPr>
      </w:pPr>
      <w:r>
        <w:rPr>
          <w:i/>
          <w:iCs/>
        </w:rPr>
        <w:t>Part 1</w:t>
      </w:r>
    </w:p>
    <w:p w14:paraId="668297E8" w14:textId="0F6BEE1A" w:rsidR="00833B90" w:rsidRDefault="00833B90">
      <w:r>
        <w:tab/>
      </w:r>
      <w:r w:rsidR="002C18EF">
        <w:t xml:space="preserve">To investigate how </w:t>
      </w:r>
      <w:r w:rsidR="00FD562F">
        <w:t>murder</w:t>
      </w:r>
      <w:r w:rsidR="00817924">
        <w:t xml:space="preserve"> </w:t>
      </w:r>
      <w:r w:rsidR="00FD562F">
        <w:t>arrests was</w:t>
      </w:r>
      <w:r w:rsidR="00817924">
        <w:t xml:space="preserve"> related </w:t>
      </w:r>
      <w:r w:rsidR="00FD562F">
        <w:t>to assault</w:t>
      </w:r>
      <w:r w:rsidR="005F6CE6">
        <w:t xml:space="preserve"> arrests </w:t>
      </w:r>
      <w:r w:rsidR="00817924">
        <w:t>in 1973, I ran a simple linear regression using a state’s reported assault arrest</w:t>
      </w:r>
      <w:r w:rsidR="0092536C">
        <w:t xml:space="preserve"> rate</w:t>
      </w:r>
      <w:r w:rsidR="00817924">
        <w:t xml:space="preserve"> compared to their </w:t>
      </w:r>
      <w:r w:rsidR="0092536C">
        <w:t xml:space="preserve">murder arrest rate. </w:t>
      </w:r>
      <w:r w:rsidR="005F6CE6">
        <w:t xml:space="preserve">The model was highly significant </w:t>
      </w:r>
      <w:r w:rsidR="008C250F">
        <w:t>(</w:t>
      </w:r>
      <w:r w:rsidR="008C250F">
        <w:rPr>
          <w:i/>
          <w:iCs/>
        </w:rPr>
        <w:t>F</w:t>
      </w:r>
      <w:r w:rsidR="008C250F">
        <w:t xml:space="preserve">(1, </w:t>
      </w:r>
      <w:r w:rsidR="00AC199C">
        <w:t>48</w:t>
      </w:r>
      <w:r w:rsidR="008C250F">
        <w:t xml:space="preserve">) = </w:t>
      </w:r>
      <w:r w:rsidR="00AC199C">
        <w:t>86.45</w:t>
      </w:r>
      <w:r w:rsidR="008C250F">
        <w:t xml:space="preserve">, </w:t>
      </w:r>
      <w:r w:rsidR="008C250F">
        <w:rPr>
          <w:i/>
          <w:iCs/>
        </w:rPr>
        <w:t>p</w:t>
      </w:r>
      <w:r w:rsidR="008C250F">
        <w:t xml:space="preserve"> &lt; .001</w:t>
      </w:r>
      <w:r w:rsidR="00AC199C">
        <w:t xml:space="preserve">, </w:t>
      </w:r>
      <w:r w:rsidR="00FF1326" w:rsidRPr="001E5CF1">
        <w:rPr>
          <w:i/>
          <w:iCs/>
        </w:rPr>
        <w:t>Multiple</w:t>
      </w:r>
      <w:r w:rsidR="00FF1326">
        <w:t xml:space="preserve"> R</w:t>
      </w:r>
      <w:r w:rsidR="00FF1326">
        <w:rPr>
          <w:vertAlign w:val="superscript"/>
        </w:rPr>
        <w:t>2</w:t>
      </w:r>
      <w:r w:rsidR="00FF1326">
        <w:t xml:space="preserve"> = .64, </w:t>
      </w:r>
      <w:r w:rsidR="001E5CF1">
        <w:rPr>
          <w:i/>
          <w:iCs/>
        </w:rPr>
        <w:t>A</w:t>
      </w:r>
      <w:r w:rsidR="001E5CF1" w:rsidRPr="001E5CF1">
        <w:rPr>
          <w:i/>
          <w:iCs/>
        </w:rPr>
        <w:t>dj.</w:t>
      </w:r>
      <w:r w:rsidR="001E5CF1">
        <w:t xml:space="preserve"> </w:t>
      </w:r>
      <w:r w:rsidR="001E5CF1">
        <w:t>R</w:t>
      </w:r>
      <w:r w:rsidR="001E5CF1">
        <w:rPr>
          <w:vertAlign w:val="superscript"/>
        </w:rPr>
        <w:t>2</w:t>
      </w:r>
      <w:r w:rsidR="001E5CF1">
        <w:t xml:space="preserve"> = .64</w:t>
      </w:r>
      <w:r w:rsidR="008C250F">
        <w:t xml:space="preserve">). </w:t>
      </w:r>
      <w:r w:rsidR="002F398C">
        <w:t xml:space="preserve">Assault arrests seem to predict a more murder arrests </w:t>
      </w:r>
      <w:r w:rsidR="002F4869">
        <w:t xml:space="preserve">such that </w:t>
      </w:r>
      <w:r w:rsidR="000D2BDB">
        <w:t xml:space="preserve">with </w:t>
      </w:r>
      <w:r w:rsidR="00340584">
        <w:t xml:space="preserve">every </w:t>
      </w:r>
      <w:r w:rsidR="003F204A">
        <w:t xml:space="preserve">increase of </w:t>
      </w:r>
      <w:r w:rsidR="00340584">
        <w:t>1</w:t>
      </w:r>
      <w:r w:rsidR="000D2BDB">
        <w:t xml:space="preserve"> assault </w:t>
      </w:r>
      <w:r w:rsidR="00340584">
        <w:t xml:space="preserve">per 100,000 </w:t>
      </w:r>
      <w:r w:rsidR="00DF6646">
        <w:t>that state was p</w:t>
      </w:r>
      <w:r w:rsidR="000D2BDB">
        <w:t xml:space="preserve">redicted to have </w:t>
      </w:r>
      <w:r w:rsidR="00DF6646">
        <w:t xml:space="preserve">a </w:t>
      </w:r>
      <w:r w:rsidR="000C316F">
        <w:t>.04-point</w:t>
      </w:r>
      <w:r w:rsidR="00CC7802">
        <w:t xml:space="preserve"> increase in murder</w:t>
      </w:r>
      <w:r w:rsidR="000C316F">
        <w:t xml:space="preserve"> arrests</w:t>
      </w:r>
      <w:r w:rsidR="00CC7802">
        <w:t xml:space="preserve"> per 100,000 (</w:t>
      </w:r>
      <w:r w:rsidR="00CC7802">
        <w:rPr>
          <w:i/>
          <w:iCs/>
        </w:rPr>
        <w:t>B</w:t>
      </w:r>
      <w:r w:rsidR="00CC7802">
        <w:t xml:space="preserve"> = </w:t>
      </w:r>
      <w:r w:rsidR="00DA6167">
        <w:t>.042</w:t>
      </w:r>
      <w:r w:rsidR="003F204A">
        <w:t xml:space="preserve">, </w:t>
      </w:r>
      <w:r w:rsidR="003F204A">
        <w:rPr>
          <w:i/>
          <w:iCs/>
        </w:rPr>
        <w:t>SE</w:t>
      </w:r>
      <w:r w:rsidR="003F204A">
        <w:t xml:space="preserve"> = </w:t>
      </w:r>
      <w:r w:rsidR="00AC199C">
        <w:t>.005</w:t>
      </w:r>
      <w:r w:rsidR="003F204A">
        <w:t xml:space="preserve">, </w:t>
      </w:r>
      <w:r w:rsidR="003F204A">
        <w:rPr>
          <w:i/>
          <w:iCs/>
        </w:rPr>
        <w:t>p</w:t>
      </w:r>
      <w:r w:rsidR="003F204A">
        <w:t xml:space="preserve"> &lt; .001</w:t>
      </w:r>
      <w:r w:rsidR="00CC7802">
        <w:t>)</w:t>
      </w:r>
      <w:r w:rsidR="000D2BDB">
        <w:t xml:space="preserve">. </w:t>
      </w:r>
      <w:r w:rsidR="00CF24D6">
        <w:t xml:space="preserve">Model assumptions were checked using the performance package in R. </w:t>
      </w:r>
      <w:r w:rsidR="00B55A26">
        <w:t>Visual analysis of</w:t>
      </w:r>
      <w:r w:rsidR="003F0F6D">
        <w:t xml:space="preserve"> posterior predictive check</w:t>
      </w:r>
      <w:r w:rsidR="00320DB6">
        <w:t>,</w:t>
      </w:r>
      <w:r w:rsidR="00B55A26">
        <w:t xml:space="preserve"> </w:t>
      </w:r>
      <w:r w:rsidR="00F57857">
        <w:t xml:space="preserve">linearity, homogeneity of variance, </w:t>
      </w:r>
      <w:r w:rsidR="0067742A">
        <w:t xml:space="preserve">and </w:t>
      </w:r>
      <w:r w:rsidR="00320DB6">
        <w:t>influential data points</w:t>
      </w:r>
      <w:r w:rsidR="0067742A">
        <w:t xml:space="preserve"> revealed no substantial deviations from assumptions. </w:t>
      </w:r>
      <w:r w:rsidR="007B057E">
        <w:t xml:space="preserve">The normality of the errors appeared questionable, showing </w:t>
      </w:r>
      <w:r w:rsidR="0023398E">
        <w:t>deviations from normality particularly at th</w:t>
      </w:r>
      <w:r w:rsidR="00B75CE1">
        <w:t>e</w:t>
      </w:r>
      <w:r w:rsidR="0023398E">
        <w:t xml:space="preserve"> tails</w:t>
      </w:r>
      <w:r w:rsidR="00DA4610">
        <w:t xml:space="preserve"> (Supp. Figure 1). Is a linear model appropriate for analyzing this data? </w:t>
      </w:r>
      <w:r w:rsidR="00504CB4">
        <w:t xml:space="preserve">Given the descriptive statistics used for this analysis, arrests per 100,000, </w:t>
      </w:r>
      <w:r w:rsidR="00E366F2">
        <w:t xml:space="preserve">it seems questionable to predict fractions of an arrest. </w:t>
      </w:r>
      <w:r w:rsidR="00CE24DD">
        <w:t xml:space="preserve">A more appropriate analysis would account for the fact that there cannot be half </w:t>
      </w:r>
      <w:r w:rsidR="004E70C9">
        <w:t xml:space="preserve">of an arrest. </w:t>
      </w:r>
      <w:r w:rsidR="00C165A9">
        <w:t xml:space="preserve">Poisson regression would be better suited to </w:t>
      </w:r>
      <w:r w:rsidR="00482828">
        <w:t xml:space="preserve">answer the question of whether assaults predict murders </w:t>
      </w:r>
      <w:r w:rsidR="001D7942">
        <w:t>in the U.S.</w:t>
      </w:r>
      <w:r w:rsidR="00543BFB">
        <w:t xml:space="preserve"> </w:t>
      </w:r>
      <w:r w:rsidR="00543BFB">
        <w:t>based on the discrete count qualities of the arrest data</w:t>
      </w:r>
      <w:r w:rsidR="00543BFB">
        <w:t xml:space="preserve">. </w:t>
      </w:r>
    </w:p>
    <w:p w14:paraId="5FAD6830" w14:textId="334FA35F" w:rsidR="00B52813" w:rsidRDefault="00B52813">
      <w:r>
        <w:rPr>
          <w:i/>
          <w:iCs/>
        </w:rPr>
        <w:t>Part 2</w:t>
      </w:r>
    </w:p>
    <w:p w14:paraId="2786F03C" w14:textId="34C6B104" w:rsidR="00B52813" w:rsidRDefault="00B52813">
      <w:r>
        <w:tab/>
      </w:r>
      <w:r w:rsidR="009B0052">
        <w:t xml:space="preserve">Expanding on the model in part 1, I wanted to </w:t>
      </w:r>
      <w:r w:rsidR="008C6E9A">
        <w:t xml:space="preserve">see if another </w:t>
      </w:r>
      <w:r w:rsidR="00BB1E0E">
        <w:t xml:space="preserve">regression </w:t>
      </w:r>
      <w:r w:rsidR="00835CC3">
        <w:t>including</w:t>
      </w:r>
      <w:r w:rsidR="0039371A">
        <w:t xml:space="preserve"> all predictors</w:t>
      </w:r>
      <w:r w:rsidR="00BB1E0E">
        <w:t xml:space="preserve"> would provide better estimates of </w:t>
      </w:r>
      <w:r w:rsidR="00835CC3">
        <w:t xml:space="preserve">murder rate. So, I ran </w:t>
      </w:r>
      <w:r w:rsidR="0039371A">
        <w:t>a multiple regression us</w:t>
      </w:r>
      <w:r w:rsidR="003C5D56">
        <w:t>ing rape and assault arrests per 100,000</w:t>
      </w:r>
      <w:r w:rsidR="00980078">
        <w:t xml:space="preserve"> along with a states proportion of population in urban centers </w:t>
      </w:r>
      <w:r w:rsidR="00551001">
        <w:t>to predict murder arrests per 100,000. The overall model was again significant (</w:t>
      </w:r>
      <w:r w:rsidR="00551001">
        <w:rPr>
          <w:i/>
          <w:iCs/>
        </w:rPr>
        <w:t>F</w:t>
      </w:r>
      <w:r w:rsidR="00551001">
        <w:t>(</w:t>
      </w:r>
      <w:r w:rsidR="00B75CE1">
        <w:t>3</w:t>
      </w:r>
      <w:r w:rsidR="00551001">
        <w:t>, 4</w:t>
      </w:r>
      <w:r w:rsidR="00B75CE1">
        <w:t>6</w:t>
      </w:r>
      <w:r w:rsidR="00551001">
        <w:t xml:space="preserve">) = </w:t>
      </w:r>
      <w:r w:rsidR="003E5712">
        <w:t>31.42</w:t>
      </w:r>
      <w:r w:rsidR="00551001">
        <w:t xml:space="preserve">, </w:t>
      </w:r>
      <w:r w:rsidR="00551001">
        <w:rPr>
          <w:i/>
          <w:iCs/>
        </w:rPr>
        <w:t>p</w:t>
      </w:r>
      <w:r w:rsidR="00551001">
        <w:t xml:space="preserve"> &lt; .001, </w:t>
      </w:r>
      <w:r w:rsidR="00551001" w:rsidRPr="001E5CF1">
        <w:rPr>
          <w:i/>
          <w:iCs/>
        </w:rPr>
        <w:t>Multiple</w:t>
      </w:r>
      <w:r w:rsidR="00551001">
        <w:t xml:space="preserve"> R</w:t>
      </w:r>
      <w:r w:rsidR="00551001">
        <w:rPr>
          <w:vertAlign w:val="superscript"/>
        </w:rPr>
        <w:t>2</w:t>
      </w:r>
      <w:r w:rsidR="00551001">
        <w:t xml:space="preserve"> = .6</w:t>
      </w:r>
      <w:r w:rsidR="003E5712">
        <w:t>7</w:t>
      </w:r>
      <w:r w:rsidR="00551001">
        <w:t xml:space="preserve">, </w:t>
      </w:r>
      <w:r w:rsidR="00551001">
        <w:rPr>
          <w:i/>
          <w:iCs/>
        </w:rPr>
        <w:t>A</w:t>
      </w:r>
      <w:r w:rsidR="00551001" w:rsidRPr="001E5CF1">
        <w:rPr>
          <w:i/>
          <w:iCs/>
        </w:rPr>
        <w:t>dj.</w:t>
      </w:r>
      <w:r w:rsidR="00551001">
        <w:t xml:space="preserve"> R</w:t>
      </w:r>
      <w:r w:rsidR="00551001">
        <w:rPr>
          <w:vertAlign w:val="superscript"/>
        </w:rPr>
        <w:t>2</w:t>
      </w:r>
      <w:r w:rsidR="00551001">
        <w:t xml:space="preserve"> = .6</w:t>
      </w:r>
      <w:r w:rsidR="003E5712">
        <w:t>5</w:t>
      </w:r>
      <w:r w:rsidR="00551001">
        <w:t>)</w:t>
      </w:r>
      <w:r w:rsidR="00EE6053">
        <w:t xml:space="preserve">, and </w:t>
      </w:r>
      <w:r w:rsidR="00EE6053">
        <w:t xml:space="preserve">the </w:t>
      </w:r>
      <w:r w:rsidR="00EE6053">
        <w:t xml:space="preserve">increased </w:t>
      </w:r>
      <w:r w:rsidR="00EE6053">
        <w:t>adjusted R</w:t>
      </w:r>
      <w:r w:rsidR="00EE6053">
        <w:rPr>
          <w:vertAlign w:val="superscript"/>
        </w:rPr>
        <w:t>2</w:t>
      </w:r>
      <w:r w:rsidR="00EE6053">
        <w:t xml:space="preserve"> suggests this model was slightly better at</w:t>
      </w:r>
      <w:r w:rsidR="00EE6053">
        <w:t xml:space="preserve"> fitting the data</w:t>
      </w:r>
      <w:r w:rsidR="00871854">
        <w:t xml:space="preserve"> than the previous model</w:t>
      </w:r>
      <w:r w:rsidR="00551001">
        <w:t xml:space="preserve">. </w:t>
      </w:r>
      <w:r w:rsidR="00630FCB">
        <w:t xml:space="preserve">The individual predictor of assault was </w:t>
      </w:r>
      <w:r w:rsidR="00EC5D36">
        <w:t>the only significant predictor of murder arrests</w:t>
      </w:r>
      <w:r w:rsidR="00BF7041">
        <w:t xml:space="preserve"> </w:t>
      </w:r>
      <w:r w:rsidR="00314AAE">
        <w:t>(</w:t>
      </w:r>
      <w:r w:rsidR="00314AAE">
        <w:rPr>
          <w:i/>
          <w:iCs/>
        </w:rPr>
        <w:t>B</w:t>
      </w:r>
      <w:r w:rsidR="00314AAE">
        <w:t xml:space="preserve"> = .0</w:t>
      </w:r>
      <w:r w:rsidR="00BF7041">
        <w:t>4</w:t>
      </w:r>
      <w:r w:rsidR="00314AAE">
        <w:t xml:space="preserve">, </w:t>
      </w:r>
      <w:r w:rsidR="00314AAE">
        <w:rPr>
          <w:i/>
          <w:iCs/>
        </w:rPr>
        <w:t>SE</w:t>
      </w:r>
      <w:r w:rsidR="00314AAE">
        <w:t xml:space="preserve"> = .00</w:t>
      </w:r>
      <w:r w:rsidR="00BF7041">
        <w:t>6</w:t>
      </w:r>
      <w:r w:rsidR="00314AAE">
        <w:t xml:space="preserve">, </w:t>
      </w:r>
      <w:r w:rsidR="00314AAE">
        <w:rPr>
          <w:i/>
          <w:iCs/>
        </w:rPr>
        <w:t>p</w:t>
      </w:r>
      <w:r w:rsidR="00314AAE">
        <w:t xml:space="preserve"> &lt; .001</w:t>
      </w:r>
      <w:r w:rsidR="00314AAE">
        <w:t>)</w:t>
      </w:r>
      <w:r w:rsidR="000565BE">
        <w:t>, while rape (</w:t>
      </w:r>
      <w:r w:rsidR="000565BE">
        <w:rPr>
          <w:i/>
          <w:iCs/>
        </w:rPr>
        <w:t>B</w:t>
      </w:r>
      <w:r w:rsidR="000565BE">
        <w:t xml:space="preserve"> = .0</w:t>
      </w:r>
      <w:r w:rsidR="000565BE">
        <w:t>61</w:t>
      </w:r>
      <w:r w:rsidR="000565BE">
        <w:t xml:space="preserve">, </w:t>
      </w:r>
      <w:r w:rsidR="000565BE">
        <w:rPr>
          <w:i/>
          <w:iCs/>
        </w:rPr>
        <w:t>SE</w:t>
      </w:r>
      <w:r w:rsidR="000565BE">
        <w:t xml:space="preserve"> = .0</w:t>
      </w:r>
      <w:r w:rsidR="00975D5C">
        <w:t>56</w:t>
      </w:r>
      <w:r w:rsidR="000565BE">
        <w:t xml:space="preserve">, </w:t>
      </w:r>
      <w:r w:rsidR="000565BE">
        <w:rPr>
          <w:i/>
          <w:iCs/>
        </w:rPr>
        <w:t>p</w:t>
      </w:r>
      <w:r w:rsidR="000565BE">
        <w:t xml:space="preserve"> </w:t>
      </w:r>
      <w:r w:rsidR="00975D5C">
        <w:t>= .276</w:t>
      </w:r>
      <w:r w:rsidR="000565BE">
        <w:t>) and urban population (</w:t>
      </w:r>
      <w:r w:rsidR="000565BE">
        <w:rPr>
          <w:i/>
          <w:iCs/>
        </w:rPr>
        <w:t>B</w:t>
      </w:r>
      <w:r w:rsidR="000565BE">
        <w:t xml:space="preserve"> = </w:t>
      </w:r>
      <w:r w:rsidR="00975D5C">
        <w:t>-.</w:t>
      </w:r>
      <w:r w:rsidR="00837544">
        <w:t>055</w:t>
      </w:r>
      <w:r w:rsidR="000565BE">
        <w:t xml:space="preserve">, </w:t>
      </w:r>
      <w:r w:rsidR="000565BE">
        <w:rPr>
          <w:i/>
          <w:iCs/>
        </w:rPr>
        <w:t>SE</w:t>
      </w:r>
      <w:r w:rsidR="000565BE">
        <w:t xml:space="preserve"> = .</w:t>
      </w:r>
      <w:r w:rsidR="00837544">
        <w:t>028</w:t>
      </w:r>
      <w:r w:rsidR="000565BE">
        <w:t xml:space="preserve">, </w:t>
      </w:r>
      <w:r w:rsidR="000565BE">
        <w:rPr>
          <w:i/>
          <w:iCs/>
        </w:rPr>
        <w:t>p</w:t>
      </w:r>
      <w:r w:rsidR="000565BE">
        <w:t xml:space="preserve"> </w:t>
      </w:r>
      <w:r w:rsidR="00837544">
        <w:t>= .056</w:t>
      </w:r>
      <w:r w:rsidR="000565BE">
        <w:t xml:space="preserve">) were not significant according to the model. </w:t>
      </w:r>
      <w:r w:rsidR="00B6110E">
        <w:t xml:space="preserve">I checked the assumptions of this model with the same function from the performance package. </w:t>
      </w:r>
      <w:r w:rsidR="0003680F">
        <w:t>These checks indicated no serious violations of assumptions aside from normality of residuals</w:t>
      </w:r>
      <w:r w:rsidR="00BC388F">
        <w:t>, which appeared to deviate (in a similar way to the first model) at the tails</w:t>
      </w:r>
      <w:r w:rsidR="00E65D69">
        <w:t xml:space="preserve">. </w:t>
      </w:r>
      <w:r w:rsidR="00223D62">
        <w:t xml:space="preserve">Like the first model, </w:t>
      </w:r>
      <w:r w:rsidR="00EF164D">
        <w:t xml:space="preserve">I believe this relationship would be better captured by a Poisson regression. </w:t>
      </w:r>
    </w:p>
    <w:p w14:paraId="39B6AA73" w14:textId="1947861C" w:rsidR="00FD3EF4" w:rsidRDefault="00FD3EF4">
      <w:pPr>
        <w:rPr>
          <w:i/>
          <w:iCs/>
        </w:rPr>
      </w:pPr>
      <w:r>
        <w:rPr>
          <w:i/>
          <w:iCs/>
        </w:rPr>
        <w:t>Part 3</w:t>
      </w:r>
    </w:p>
    <w:p w14:paraId="2E38243C" w14:textId="0ED1577A" w:rsidR="007E565F" w:rsidRDefault="00FD3EF4">
      <w:r>
        <w:tab/>
      </w:r>
      <w:r w:rsidR="00D94B4D">
        <w:t xml:space="preserve">Expanding further on the multiple regression model done previously in part 2, I wanted to </w:t>
      </w:r>
      <w:r w:rsidR="006911D9">
        <w:t>investigate if there were any interactions occurring between each of the predictors. I conducted a full factorial multiple regression</w:t>
      </w:r>
      <w:r w:rsidR="00B47475">
        <w:t xml:space="preserve"> with assault arrests, rape arrests, and proportion of urban population predicting </w:t>
      </w:r>
      <w:r w:rsidR="00EB7A00">
        <w:t xml:space="preserve">murder arrests. </w:t>
      </w:r>
      <w:r w:rsidR="004C1AA2">
        <w:t>The overall model was again significant (</w:t>
      </w:r>
      <w:r w:rsidR="004C1AA2">
        <w:rPr>
          <w:i/>
          <w:iCs/>
        </w:rPr>
        <w:t>F</w:t>
      </w:r>
      <w:r w:rsidR="004C1AA2">
        <w:t>(</w:t>
      </w:r>
      <w:r w:rsidR="004C1AA2">
        <w:t>7</w:t>
      </w:r>
      <w:r w:rsidR="004C1AA2">
        <w:t>, 4</w:t>
      </w:r>
      <w:r w:rsidR="004C1AA2">
        <w:t>2</w:t>
      </w:r>
      <w:r w:rsidR="004C1AA2">
        <w:t>) =</w:t>
      </w:r>
      <w:r w:rsidR="004C1AA2">
        <w:t xml:space="preserve"> </w:t>
      </w:r>
      <w:r w:rsidR="00ED1D05">
        <w:t>14.95</w:t>
      </w:r>
      <w:r w:rsidR="004C1AA2">
        <w:t xml:space="preserve">, </w:t>
      </w:r>
      <w:r w:rsidR="004C1AA2">
        <w:rPr>
          <w:i/>
          <w:iCs/>
        </w:rPr>
        <w:t>p</w:t>
      </w:r>
      <w:r w:rsidR="004C1AA2">
        <w:t xml:space="preserve"> &lt; .001, </w:t>
      </w:r>
      <w:r w:rsidR="004C1AA2" w:rsidRPr="001E5CF1">
        <w:rPr>
          <w:i/>
          <w:iCs/>
        </w:rPr>
        <w:t>Multiple</w:t>
      </w:r>
      <w:r w:rsidR="004C1AA2">
        <w:t xml:space="preserve"> R</w:t>
      </w:r>
      <w:r w:rsidR="004C1AA2">
        <w:rPr>
          <w:vertAlign w:val="superscript"/>
        </w:rPr>
        <w:t>2</w:t>
      </w:r>
      <w:r w:rsidR="004C1AA2">
        <w:t xml:space="preserve"> = .</w:t>
      </w:r>
      <w:r w:rsidR="00ED1D05">
        <w:t>71</w:t>
      </w:r>
      <w:r w:rsidR="004C1AA2">
        <w:t xml:space="preserve">, </w:t>
      </w:r>
      <w:r w:rsidR="004C1AA2">
        <w:rPr>
          <w:i/>
          <w:iCs/>
        </w:rPr>
        <w:t>A</w:t>
      </w:r>
      <w:r w:rsidR="004C1AA2" w:rsidRPr="001E5CF1">
        <w:rPr>
          <w:i/>
          <w:iCs/>
        </w:rPr>
        <w:t>dj.</w:t>
      </w:r>
      <w:r w:rsidR="004C1AA2">
        <w:t xml:space="preserve"> R</w:t>
      </w:r>
      <w:r w:rsidR="004C1AA2">
        <w:rPr>
          <w:vertAlign w:val="superscript"/>
        </w:rPr>
        <w:t>2</w:t>
      </w:r>
      <w:r w:rsidR="004C1AA2">
        <w:t xml:space="preserve"> = .6</w:t>
      </w:r>
      <w:r w:rsidR="00ED1D05">
        <w:t>7)</w:t>
      </w:r>
      <w:r w:rsidR="0052511D">
        <w:t>, and the incr</w:t>
      </w:r>
      <w:r w:rsidR="00DE3BDC">
        <w:t xml:space="preserve">ease in both multiple and </w:t>
      </w:r>
      <w:r w:rsidR="00E63D5E">
        <w:t>adjusted R</w:t>
      </w:r>
      <w:r w:rsidR="00E63D5E">
        <w:rPr>
          <w:vertAlign w:val="superscript"/>
        </w:rPr>
        <w:t>2</w:t>
      </w:r>
      <w:r w:rsidR="00E63D5E">
        <w:t xml:space="preserve"> indicates that this model fit the data better than the previous two models</w:t>
      </w:r>
      <w:r w:rsidR="00FB05B6">
        <w:t xml:space="preserve"> (although a much more conservative increase in the adjusted R</w:t>
      </w:r>
      <w:r w:rsidR="00FB05B6">
        <w:rPr>
          <w:vertAlign w:val="superscript"/>
        </w:rPr>
        <w:t>2</w:t>
      </w:r>
      <w:r w:rsidR="00FB05B6">
        <w:t>)</w:t>
      </w:r>
      <w:r w:rsidR="00E63D5E">
        <w:t>.</w:t>
      </w:r>
      <w:r w:rsidR="00FB05B6">
        <w:t xml:space="preserve"> </w:t>
      </w:r>
      <w:r w:rsidR="00A25D7E">
        <w:t>No new predictors showed significance in this model compared to the previous</w:t>
      </w:r>
      <w:r w:rsidR="003955FF">
        <w:t xml:space="preserve"> models (</w:t>
      </w:r>
      <w:r w:rsidR="007E565F">
        <w:t>see Table 1 for summary).</w:t>
      </w:r>
      <w:r w:rsidR="005B599A">
        <w:t xml:space="preserve"> I checked assumptions using the </w:t>
      </w:r>
      <w:r w:rsidR="005B599A">
        <w:lastRenderedPageBreak/>
        <w:t xml:space="preserve">performance package in R and found that </w:t>
      </w:r>
      <w:r w:rsidR="0006300A">
        <w:t xml:space="preserve">all of the variables were </w:t>
      </w:r>
      <w:r w:rsidR="00344495">
        <w:t>severely</w:t>
      </w:r>
      <w:r w:rsidR="0006300A">
        <w:t xml:space="preserve"> collinear. </w:t>
      </w:r>
      <w:r w:rsidR="001150EC">
        <w:t xml:space="preserve">This will affect the interpretation of each of the parameter estimates below. </w:t>
      </w:r>
    </w:p>
    <w:p w14:paraId="1589FB43" w14:textId="005223D8" w:rsidR="00FF50BD" w:rsidRDefault="007E565F">
      <w:r>
        <w:rPr>
          <w:b/>
          <w:bCs/>
        </w:rPr>
        <w:t>Table 1</w:t>
      </w:r>
      <w:r>
        <w:t xml:space="preserve"> </w:t>
      </w:r>
      <w:r w:rsidR="00A25D7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315"/>
        <w:gridCol w:w="1579"/>
        <w:gridCol w:w="1172"/>
        <w:gridCol w:w="1350"/>
      </w:tblGrid>
      <w:tr w:rsidR="00FF50BD" w14:paraId="216DCEB7" w14:textId="77777777" w:rsidTr="003955FF">
        <w:trPr>
          <w:trHeight w:val="537"/>
        </w:trPr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60AC10" w14:textId="7A6BE3D0" w:rsidR="00FF50BD" w:rsidRDefault="00FF50BD" w:rsidP="003955FF">
            <w:r>
              <w:t>Estimate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B5ACF8" w14:textId="180FA4A4" w:rsidR="00FF50BD" w:rsidRDefault="00FF50BD" w:rsidP="003955FF">
            <w:pPr>
              <w:jc w:val="center"/>
            </w:pPr>
            <w:r>
              <w:t>B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B960B0" w14:textId="4E626408" w:rsidR="00FF50BD" w:rsidRDefault="00FF50BD" w:rsidP="003955FF">
            <w:pPr>
              <w:jc w:val="center"/>
            </w:pPr>
            <w:r>
              <w:t>SE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BF1B6D" w14:textId="2FA45E80" w:rsidR="00FF50BD" w:rsidRDefault="00FF50BD" w:rsidP="003955FF">
            <w:pPr>
              <w:jc w:val="center"/>
            </w:pPr>
            <w:r>
              <w:t>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8BF61E" w14:textId="07F484CC" w:rsidR="00FF50BD" w:rsidRDefault="00FA746B" w:rsidP="003955FF">
            <w:pPr>
              <w:jc w:val="center"/>
            </w:pPr>
            <w:r>
              <w:t>p</w:t>
            </w:r>
          </w:p>
        </w:tc>
      </w:tr>
      <w:tr w:rsidR="00FF50BD" w14:paraId="30D14EED" w14:textId="77777777" w:rsidTr="003955FF">
        <w:trPr>
          <w:trHeight w:val="537"/>
        </w:trPr>
        <w:tc>
          <w:tcPr>
            <w:tcW w:w="2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A01907" w14:textId="3E7B5DBB" w:rsidR="00FF50BD" w:rsidRDefault="00FA746B" w:rsidP="003955FF">
            <w:r>
              <w:t>Intercept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ECCD26" w14:textId="7760CBCF" w:rsidR="00FF50BD" w:rsidRDefault="00F0768D" w:rsidP="003955FF">
            <w:pPr>
              <w:tabs>
                <w:tab w:val="decimal" w:pos="160"/>
              </w:tabs>
              <w:jc w:val="center"/>
            </w:pPr>
            <w:r>
              <w:t>-9.493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872011" w14:textId="141C32F3" w:rsidR="00FF50BD" w:rsidRDefault="00AE4C32" w:rsidP="003955FF">
            <w:pPr>
              <w:tabs>
                <w:tab w:val="decimal" w:pos="650"/>
              </w:tabs>
              <w:jc w:val="center"/>
            </w:pPr>
            <w:r>
              <w:t>10.</w:t>
            </w:r>
            <w:r w:rsidR="003E0C8F">
              <w:t>95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E6105B" w14:textId="22B885D5" w:rsidR="00FF50BD" w:rsidRDefault="00B86778" w:rsidP="003955FF">
            <w:pPr>
              <w:tabs>
                <w:tab w:val="decimal" w:pos="380"/>
              </w:tabs>
              <w:jc w:val="center"/>
            </w:pPr>
            <w:r>
              <w:t>-.87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0E4748" w14:textId="11B9EF99" w:rsidR="00FF50BD" w:rsidRDefault="00F20DE8" w:rsidP="003955FF">
            <w:pPr>
              <w:jc w:val="center"/>
            </w:pPr>
            <w:r>
              <w:t>.391</w:t>
            </w:r>
          </w:p>
        </w:tc>
      </w:tr>
      <w:tr w:rsidR="00FA746B" w14:paraId="7A08F50C" w14:textId="77777777" w:rsidTr="003955FF">
        <w:trPr>
          <w:trHeight w:val="537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AAEDA" w14:textId="4E549333" w:rsidR="00FA746B" w:rsidRDefault="00FA746B" w:rsidP="003955FF">
            <w:pPr>
              <w:ind w:left="70"/>
            </w:pPr>
            <w:r>
              <w:t>Assault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2B4BE" w14:textId="6676D1F0" w:rsidR="00FA746B" w:rsidRDefault="00F0768D" w:rsidP="003955FF">
            <w:pPr>
              <w:tabs>
                <w:tab w:val="decimal" w:pos="160"/>
              </w:tabs>
              <w:jc w:val="center"/>
            </w:pPr>
            <w:r>
              <w:t>.156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CA4CE" w14:textId="38A9E7FE" w:rsidR="00FA746B" w:rsidRDefault="003E0C8F" w:rsidP="003955FF">
            <w:pPr>
              <w:tabs>
                <w:tab w:val="decimal" w:pos="740"/>
              </w:tabs>
              <w:jc w:val="center"/>
            </w:pPr>
            <w:r>
              <w:t>.054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B4D20" w14:textId="3A5B338B" w:rsidR="00FA746B" w:rsidRDefault="00B86778" w:rsidP="003955FF">
            <w:pPr>
              <w:tabs>
                <w:tab w:val="decimal" w:pos="380"/>
              </w:tabs>
              <w:jc w:val="center"/>
            </w:pPr>
            <w:r>
              <w:t>2.14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A99BE" w14:textId="372395E7" w:rsidR="00FA746B" w:rsidRDefault="00F20DE8" w:rsidP="003955FF">
            <w:pPr>
              <w:jc w:val="center"/>
            </w:pPr>
            <w:r>
              <w:t>.039</w:t>
            </w:r>
          </w:p>
        </w:tc>
      </w:tr>
      <w:tr w:rsidR="00FA746B" w14:paraId="55CEFC16" w14:textId="77777777" w:rsidTr="003955FF">
        <w:trPr>
          <w:trHeight w:val="537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429CA" w14:textId="3C0724F0" w:rsidR="00FA746B" w:rsidRDefault="00FA746B" w:rsidP="003955FF">
            <w:pPr>
              <w:ind w:left="70"/>
            </w:pPr>
            <w:r>
              <w:t>Rape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3DBD7" w14:textId="7A4F5E9C" w:rsidR="00FA746B" w:rsidRDefault="00F0768D" w:rsidP="003955FF">
            <w:pPr>
              <w:tabs>
                <w:tab w:val="decimal" w:pos="160"/>
              </w:tabs>
              <w:jc w:val="center"/>
            </w:pPr>
            <w:r>
              <w:t>.90</w:t>
            </w:r>
            <w:r w:rsidR="001C5DC7">
              <w:t>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57615" w14:textId="54A4EB23" w:rsidR="00FA746B" w:rsidRDefault="003E0C8F" w:rsidP="003955FF">
            <w:pPr>
              <w:tabs>
                <w:tab w:val="decimal" w:pos="740"/>
              </w:tabs>
              <w:jc w:val="center"/>
            </w:pPr>
            <w:r>
              <w:t>.806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FFF8F" w14:textId="7C148CEA" w:rsidR="00FA746B" w:rsidRDefault="00B86778" w:rsidP="003955FF">
            <w:pPr>
              <w:tabs>
                <w:tab w:val="decimal" w:pos="380"/>
              </w:tabs>
              <w:jc w:val="center"/>
            </w:pPr>
            <w:r>
              <w:t>1.12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BFB93" w14:textId="04BD0C00" w:rsidR="00FA746B" w:rsidRDefault="00F20DE8" w:rsidP="003955FF">
            <w:pPr>
              <w:jc w:val="center"/>
            </w:pPr>
            <w:r>
              <w:t>.268</w:t>
            </w:r>
          </w:p>
        </w:tc>
      </w:tr>
      <w:tr w:rsidR="00FA746B" w14:paraId="1510641E" w14:textId="77777777" w:rsidTr="003955FF">
        <w:trPr>
          <w:trHeight w:val="537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20D04" w14:textId="02697DDB" w:rsidR="00FA746B" w:rsidRDefault="00FA746B" w:rsidP="003955FF">
            <w:pPr>
              <w:ind w:left="70"/>
            </w:pPr>
            <w:r>
              <w:t>Urban Population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A3030" w14:textId="3BE44A10" w:rsidR="00FA746B" w:rsidRDefault="00FE437E" w:rsidP="003955FF">
            <w:pPr>
              <w:tabs>
                <w:tab w:val="decimal" w:pos="160"/>
              </w:tabs>
              <w:jc w:val="center"/>
            </w:pPr>
            <w:r>
              <w:t>.081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78432" w14:textId="483BDBD3" w:rsidR="00FA746B" w:rsidRDefault="003E0C8F" w:rsidP="003955FF">
            <w:pPr>
              <w:tabs>
                <w:tab w:val="decimal" w:pos="650"/>
              </w:tabs>
              <w:jc w:val="center"/>
            </w:pPr>
            <w:r>
              <w:t>.18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73514" w14:textId="2422DE02" w:rsidR="00FA746B" w:rsidRDefault="00B86778" w:rsidP="003955FF">
            <w:pPr>
              <w:tabs>
                <w:tab w:val="decimal" w:pos="380"/>
              </w:tabs>
              <w:jc w:val="center"/>
            </w:pPr>
            <w:r>
              <w:t>.45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BFB9B" w14:textId="48274F49" w:rsidR="00FA746B" w:rsidRDefault="00F20DE8" w:rsidP="003955FF">
            <w:pPr>
              <w:jc w:val="center"/>
            </w:pPr>
            <w:r>
              <w:t>.653</w:t>
            </w:r>
          </w:p>
        </w:tc>
      </w:tr>
      <w:tr w:rsidR="0010387F" w14:paraId="70375D4B" w14:textId="77777777" w:rsidTr="003955FF">
        <w:trPr>
          <w:trHeight w:val="537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7D781" w14:textId="0E2FF34F" w:rsidR="0010387F" w:rsidRDefault="0010387F" w:rsidP="003955FF">
            <w:pPr>
              <w:ind w:left="70"/>
            </w:pPr>
            <w:r>
              <w:t>Assault x Rape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35911" w14:textId="4EE0B5E3" w:rsidR="0010387F" w:rsidRDefault="00C31984" w:rsidP="003955FF">
            <w:pPr>
              <w:tabs>
                <w:tab w:val="decimal" w:pos="160"/>
              </w:tabs>
              <w:jc w:val="center"/>
            </w:pPr>
            <w:r>
              <w:t>-.004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C958E" w14:textId="4422E26E" w:rsidR="0010387F" w:rsidRDefault="003A2E2E" w:rsidP="003955FF">
            <w:pPr>
              <w:tabs>
                <w:tab w:val="decimal" w:pos="740"/>
              </w:tabs>
              <w:jc w:val="center"/>
            </w:pPr>
            <w:r>
              <w:t>.003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21ACA" w14:textId="053C7E37" w:rsidR="0010387F" w:rsidRDefault="00B86778" w:rsidP="003955FF">
            <w:pPr>
              <w:tabs>
                <w:tab w:val="decimal" w:pos="380"/>
              </w:tabs>
              <w:jc w:val="center"/>
            </w:pPr>
            <w:r>
              <w:t>-1.24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A85AF" w14:textId="53422FE3" w:rsidR="0010387F" w:rsidRDefault="00F20DE8" w:rsidP="003955FF">
            <w:pPr>
              <w:jc w:val="center"/>
            </w:pPr>
            <w:r>
              <w:t>.</w:t>
            </w:r>
            <w:r w:rsidR="003955FF">
              <w:t>223</w:t>
            </w:r>
          </w:p>
        </w:tc>
      </w:tr>
      <w:tr w:rsidR="0010387F" w14:paraId="49E1F566" w14:textId="77777777" w:rsidTr="003955FF">
        <w:trPr>
          <w:trHeight w:val="537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FE7F9" w14:textId="7D62B19A" w:rsidR="0010387F" w:rsidRDefault="0010387F" w:rsidP="003955FF">
            <w:pPr>
              <w:ind w:left="70"/>
            </w:pPr>
            <w:r>
              <w:t>Assault x Urban Population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33B5C" w14:textId="5686E7C3" w:rsidR="0010387F" w:rsidRDefault="00C31984" w:rsidP="003955FF">
            <w:pPr>
              <w:tabs>
                <w:tab w:val="decimal" w:pos="160"/>
              </w:tabs>
              <w:jc w:val="center"/>
            </w:pPr>
            <w:r>
              <w:t>-.001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914A9" w14:textId="24ECC28B" w:rsidR="0010387F" w:rsidRDefault="003A2E2E" w:rsidP="003955FF">
            <w:pPr>
              <w:tabs>
                <w:tab w:val="decimal" w:pos="830"/>
              </w:tabs>
              <w:jc w:val="center"/>
            </w:pPr>
            <w:r>
              <w:t>.0009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A61DF" w14:textId="0574374E" w:rsidR="0010387F" w:rsidRDefault="00B86778" w:rsidP="003955FF">
            <w:pPr>
              <w:tabs>
                <w:tab w:val="decimal" w:pos="380"/>
              </w:tabs>
              <w:jc w:val="center"/>
            </w:pPr>
            <w:r>
              <w:t>-.96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996FA" w14:textId="34CDA70C" w:rsidR="0010387F" w:rsidRDefault="003955FF" w:rsidP="003955FF">
            <w:pPr>
              <w:jc w:val="center"/>
            </w:pPr>
            <w:r>
              <w:t>.342</w:t>
            </w:r>
          </w:p>
        </w:tc>
      </w:tr>
      <w:tr w:rsidR="0010387F" w14:paraId="0B4F4425" w14:textId="77777777" w:rsidTr="003955FF">
        <w:trPr>
          <w:trHeight w:val="537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60CC" w14:textId="77428F10" w:rsidR="0010387F" w:rsidRDefault="0010387F" w:rsidP="003955FF">
            <w:pPr>
              <w:ind w:left="70"/>
            </w:pPr>
            <w:r>
              <w:t>Rape x Urban Population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621D7" w14:textId="1B8026B5" w:rsidR="0010387F" w:rsidRDefault="00C31984" w:rsidP="003955FF">
            <w:pPr>
              <w:tabs>
                <w:tab w:val="decimal" w:pos="160"/>
              </w:tabs>
              <w:jc w:val="center"/>
            </w:pPr>
            <w:r>
              <w:t>-.009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D03A2" w14:textId="3C7FC80D" w:rsidR="0010387F" w:rsidRDefault="00A315BA" w:rsidP="003955FF">
            <w:pPr>
              <w:tabs>
                <w:tab w:val="decimal" w:pos="740"/>
              </w:tabs>
              <w:jc w:val="center"/>
            </w:pPr>
            <w:r>
              <w:t>.01</w:t>
            </w:r>
            <w:r w:rsidR="00B86778">
              <w:t>2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1361E" w14:textId="1F35A779" w:rsidR="0010387F" w:rsidRDefault="00B86778" w:rsidP="003955FF">
            <w:pPr>
              <w:tabs>
                <w:tab w:val="decimal" w:pos="380"/>
              </w:tabs>
              <w:jc w:val="center"/>
            </w:pPr>
            <w:r>
              <w:t>-.73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5F5B0" w14:textId="42A557E2" w:rsidR="0010387F" w:rsidRDefault="003955FF" w:rsidP="003955FF">
            <w:pPr>
              <w:jc w:val="center"/>
            </w:pPr>
            <w:r>
              <w:t>.465</w:t>
            </w:r>
          </w:p>
        </w:tc>
      </w:tr>
      <w:tr w:rsidR="0010387F" w14:paraId="746280FF" w14:textId="77777777" w:rsidTr="003955FF">
        <w:trPr>
          <w:trHeight w:val="537"/>
        </w:trPr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2FAF8B" w14:textId="20215117" w:rsidR="0010387F" w:rsidRDefault="006D16C2" w:rsidP="003955FF">
            <w:pPr>
              <w:ind w:left="70"/>
            </w:pPr>
            <w:r>
              <w:t>Assault x Rape x Urban Population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6E3B7E" w14:textId="37A6DDAF" w:rsidR="0010387F" w:rsidRDefault="00AE4C32" w:rsidP="003955FF">
            <w:pPr>
              <w:tabs>
                <w:tab w:val="decimal" w:pos="160"/>
              </w:tabs>
              <w:jc w:val="center"/>
            </w:pPr>
            <w:r>
              <w:t>.0004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ED1C00" w14:textId="125A3F37" w:rsidR="0010387F" w:rsidRDefault="00B86778" w:rsidP="003955FF">
            <w:pPr>
              <w:tabs>
                <w:tab w:val="decimal" w:pos="830"/>
              </w:tabs>
              <w:jc w:val="center"/>
            </w:pPr>
            <w:r>
              <w:t>.0005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813ED" w14:textId="4733E923" w:rsidR="0010387F" w:rsidRDefault="00F20DE8" w:rsidP="003955FF">
            <w:pPr>
              <w:tabs>
                <w:tab w:val="decimal" w:pos="380"/>
              </w:tabs>
              <w:jc w:val="center"/>
            </w:pPr>
            <w:r>
              <w:t>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01428A" w14:textId="3B33742B" w:rsidR="0010387F" w:rsidRDefault="003955FF" w:rsidP="003955FF">
            <w:pPr>
              <w:jc w:val="center"/>
            </w:pPr>
            <w:r>
              <w:t>.379</w:t>
            </w:r>
          </w:p>
        </w:tc>
      </w:tr>
    </w:tbl>
    <w:p w14:paraId="16EF2FDB" w14:textId="5EF5D55C" w:rsidR="00FD3EF4" w:rsidRDefault="00E63D5E" w:rsidP="00FC52FA">
      <w:pPr>
        <w:ind w:right="1440"/>
      </w:pPr>
      <w:r>
        <w:t xml:space="preserve"> </w:t>
      </w:r>
      <w:r w:rsidR="007E565F">
        <w:rPr>
          <w:i/>
          <w:iCs/>
        </w:rPr>
        <w:t xml:space="preserve">Note. </w:t>
      </w:r>
      <w:r w:rsidR="00A1777C">
        <w:t xml:space="preserve">Regression weights and standard errors are predicting </w:t>
      </w:r>
      <w:r w:rsidR="00FC52FA">
        <w:t xml:space="preserve">units of murder </w:t>
      </w:r>
      <w:r w:rsidR="00CF6FFE">
        <w:t xml:space="preserve">arrests </w:t>
      </w:r>
      <w:r w:rsidR="00FC52FA">
        <w:t>per 100,000</w:t>
      </w:r>
      <w:r w:rsidR="00CF6FFE">
        <w:t xml:space="preserve">. </w:t>
      </w:r>
      <w:r w:rsidR="00FD503C">
        <w:t>Assaults and rapes were measured the same as rates per 100,000.</w:t>
      </w:r>
      <w:r w:rsidR="00F832F6">
        <w:t xml:space="preserve"> Urban population is the proportion of </w:t>
      </w:r>
      <w:r w:rsidR="00B00EBB">
        <w:t xml:space="preserve">that state’s population living in urban centers. </w:t>
      </w:r>
      <w:r w:rsidR="00B00EBB">
        <w:t>Data were obtained from state level arrest reports in 1973.</w:t>
      </w:r>
    </w:p>
    <w:p w14:paraId="5E7226C0" w14:textId="515398F7" w:rsidR="00076717" w:rsidRDefault="009852F8" w:rsidP="00FC52FA">
      <w:pPr>
        <w:ind w:right="1440"/>
      </w:pPr>
      <w:r>
        <w:tab/>
        <w:t>Finally, to compare the three</w:t>
      </w:r>
      <w:r w:rsidR="00293B4E">
        <w:t xml:space="preserve"> nested</w:t>
      </w:r>
      <w:r>
        <w:t xml:space="preserve"> models, I ran </w:t>
      </w:r>
      <w:r w:rsidR="00293B4E">
        <w:t>a model comparison.</w:t>
      </w:r>
      <w:r w:rsidR="00E700F5">
        <w:t xml:space="preserve"> The test revealed that no significant improvement in </w:t>
      </w:r>
      <w:r w:rsidR="00D365B8">
        <w:t>model fit was made between the first and second (</w:t>
      </w:r>
      <w:r w:rsidR="00D365B8" w:rsidRPr="00C835EA">
        <w:rPr>
          <w:i/>
          <w:iCs/>
        </w:rPr>
        <w:t>F</w:t>
      </w:r>
      <w:r w:rsidR="00D365B8">
        <w:t>(</w:t>
      </w:r>
      <w:r w:rsidR="00C835EA">
        <w:t xml:space="preserve">2, 46) = 2.13, </w:t>
      </w:r>
      <w:r w:rsidR="00C835EA">
        <w:rPr>
          <w:i/>
          <w:iCs/>
        </w:rPr>
        <w:t>p</w:t>
      </w:r>
      <w:r w:rsidR="00C835EA">
        <w:t xml:space="preserve"> = .131</w:t>
      </w:r>
      <w:r w:rsidR="00D365B8">
        <w:t>) as well as the second and third models (</w:t>
      </w:r>
      <w:r w:rsidR="00C835EA" w:rsidRPr="00C835EA">
        <w:rPr>
          <w:i/>
          <w:iCs/>
        </w:rPr>
        <w:t>F</w:t>
      </w:r>
      <w:r w:rsidR="00C835EA">
        <w:t>(</w:t>
      </w:r>
      <w:r w:rsidR="00C835EA">
        <w:t>4</w:t>
      </w:r>
      <w:r w:rsidR="00C835EA">
        <w:t>, 4</w:t>
      </w:r>
      <w:r w:rsidR="00042D01">
        <w:t>2</w:t>
      </w:r>
      <w:r w:rsidR="00C835EA">
        <w:t xml:space="preserve">) = </w:t>
      </w:r>
      <w:r w:rsidR="00042D01">
        <w:t>1.53</w:t>
      </w:r>
      <w:r w:rsidR="00C835EA">
        <w:t xml:space="preserve">, </w:t>
      </w:r>
      <w:r w:rsidR="00C835EA">
        <w:rPr>
          <w:i/>
          <w:iCs/>
        </w:rPr>
        <w:t>p</w:t>
      </w:r>
      <w:r w:rsidR="00C835EA">
        <w:t xml:space="preserve"> = .</w:t>
      </w:r>
      <w:r w:rsidR="00042D01">
        <w:t>212</w:t>
      </w:r>
      <w:r w:rsidR="00D365B8">
        <w:t>).</w:t>
      </w:r>
      <w:r w:rsidR="00F626A0">
        <w:t xml:space="preserve"> This is also reflected in the </w:t>
      </w:r>
      <w:r w:rsidR="00E21E3E">
        <w:t>negligible differences in the adjusted R</w:t>
      </w:r>
      <w:r w:rsidR="00E21E3E">
        <w:rPr>
          <w:vertAlign w:val="superscript"/>
        </w:rPr>
        <w:t>2</w:t>
      </w:r>
      <w:r w:rsidR="00E21E3E">
        <w:t xml:space="preserve"> values reported with each model as well as the AIC</w:t>
      </w:r>
      <w:r w:rsidR="00093844">
        <w:t xml:space="preserve"> (Model 1: 242.5, Model 2: 242.3, Model 3: </w:t>
      </w:r>
      <w:r w:rsidR="00731ABE">
        <w:t xml:space="preserve">243.5). </w:t>
      </w:r>
      <w:r w:rsidR="00D365B8">
        <w:t xml:space="preserve"> </w:t>
      </w:r>
    </w:p>
    <w:p w14:paraId="26722B5A" w14:textId="40455505" w:rsidR="001150EC" w:rsidRDefault="002E1C70" w:rsidP="00FC52FA">
      <w:pPr>
        <w:ind w:right="1440"/>
        <w:rPr>
          <w:i/>
          <w:iCs/>
        </w:rPr>
      </w:pPr>
      <w:r>
        <w:rPr>
          <w:i/>
          <w:iCs/>
        </w:rPr>
        <w:t xml:space="preserve">Part </w:t>
      </w:r>
      <w:r w:rsidR="00D95C04">
        <w:rPr>
          <w:i/>
          <w:iCs/>
        </w:rPr>
        <w:t>4</w:t>
      </w:r>
    </w:p>
    <w:p w14:paraId="05A12956" w14:textId="0A9E393F" w:rsidR="00D95C04" w:rsidRDefault="00D95C04" w:rsidP="00FC52FA">
      <w:pPr>
        <w:ind w:right="1440"/>
      </w:pPr>
      <w:r>
        <w:tab/>
        <w:t>Some differences jump out right away when using the anova() command as opposed to the summary() and Anova(, type =”III”)</w:t>
      </w:r>
      <w:r w:rsidR="003A2C07">
        <w:t xml:space="preserve">. It contains no regression weights or standard errors, only the </w:t>
      </w:r>
      <w:r w:rsidR="00703A45">
        <w:t>SS</w:t>
      </w:r>
      <w:r w:rsidR="001F74B1">
        <w:t>, mean SS</w:t>
      </w:r>
      <w:r w:rsidR="00703A45">
        <w:t xml:space="preserve">, F, and p. </w:t>
      </w:r>
      <w:r w:rsidR="005B0BC4">
        <w:t xml:space="preserve">Along with the different reports, </w:t>
      </w:r>
      <w:r w:rsidR="00AD4A18">
        <w:t xml:space="preserve">one of the interactions became significant (Assault x Rape interaction). </w:t>
      </w:r>
      <w:r w:rsidR="00E92AED">
        <w:t xml:space="preserve">It seems like it makes a big difference how SS is calculated with larger models with interactions. </w:t>
      </w:r>
    </w:p>
    <w:p w14:paraId="0D9EE183" w14:textId="6AD33030" w:rsidR="00FD4E28" w:rsidRDefault="00FD4E28" w:rsidP="00FC52FA">
      <w:pPr>
        <w:ind w:right="1440"/>
        <w:rPr>
          <w:i/>
          <w:iCs/>
        </w:rPr>
      </w:pPr>
      <w:r>
        <w:rPr>
          <w:i/>
          <w:iCs/>
        </w:rPr>
        <w:t>Part 5</w:t>
      </w:r>
    </w:p>
    <w:p w14:paraId="09DF8F77" w14:textId="783F494E" w:rsidR="00FD4E28" w:rsidRDefault="00FD4E28" w:rsidP="00FC52FA">
      <w:pPr>
        <w:ind w:right="1440"/>
      </w:pPr>
      <w:r>
        <w:tab/>
      </w:r>
      <w:r w:rsidR="00144C34">
        <w:t xml:space="preserve">To address multicollinearity issues in my interaction model from part 3, I centered the predictors and then ran the regression </w:t>
      </w:r>
      <w:r w:rsidR="00446ACA">
        <w:t xml:space="preserve">again. Some differences that stood out to me were the </w:t>
      </w:r>
      <w:r w:rsidR="004D63C7">
        <w:t xml:space="preserve">change in the </w:t>
      </w:r>
      <w:r w:rsidR="006738AB">
        <w:t xml:space="preserve">estimates, particularly the intercept and the main effects which all were significant </w:t>
      </w:r>
      <w:r w:rsidR="007C06C5">
        <w:t xml:space="preserve">or approaching significance (rape </w:t>
      </w:r>
      <w:r w:rsidR="007C06C5">
        <w:rPr>
          <w:i/>
          <w:iCs/>
        </w:rPr>
        <w:t>p</w:t>
      </w:r>
      <w:r w:rsidR="007C06C5">
        <w:t xml:space="preserve"> = .059). </w:t>
      </w:r>
      <w:r w:rsidR="007C06C5">
        <w:lastRenderedPageBreak/>
        <w:t xml:space="preserve">These </w:t>
      </w:r>
      <w:r w:rsidR="004700BB">
        <w:t>estimate</w:t>
      </w:r>
      <w:r w:rsidR="003A1322">
        <w:t xml:space="preserve"> values </w:t>
      </w:r>
      <w:r w:rsidR="00CF4847">
        <w:t xml:space="preserve">were much smaller and more </w:t>
      </w:r>
      <w:r w:rsidR="007C06C5">
        <w:t xml:space="preserve">in line </w:t>
      </w:r>
      <w:r w:rsidR="004700BB">
        <w:t xml:space="preserve">with the second model’s </w:t>
      </w:r>
      <w:r w:rsidR="003A1322">
        <w:t>values</w:t>
      </w:r>
      <w:r w:rsidR="004700BB">
        <w:t xml:space="preserve"> in part 2. </w:t>
      </w:r>
      <w:r w:rsidR="00771A8E">
        <w:t xml:space="preserve">Centering each of the predictors changes the interpretation of the intercept, which now represents the value </w:t>
      </w:r>
      <w:r w:rsidR="0053316A">
        <w:t xml:space="preserve">when all of the predictors are set to zero. </w:t>
      </w:r>
    </w:p>
    <w:p w14:paraId="3A793CAF" w14:textId="3665F483" w:rsidR="00B2210C" w:rsidRDefault="00B2210C" w:rsidP="00FC52FA">
      <w:pPr>
        <w:ind w:right="1440"/>
      </w:pPr>
      <w:r>
        <w:tab/>
        <w:t>Another consideration for norm</w:t>
      </w:r>
      <w:r w:rsidR="007828F3">
        <w:t>alizing the errors could be a transformation of the outcome variable, murder per 100,000</w:t>
      </w:r>
      <w:r w:rsidR="006A09E5">
        <w:t xml:space="preserve">. </w:t>
      </w:r>
      <w:r w:rsidR="00EF46BF">
        <w:t xml:space="preserve">Using the boxcox command from the MASS library in R revealed that the ideal transformation to normalize the errors would be a </w:t>
      </w:r>
      <w:r w:rsidR="00EC3FEE">
        <w:t xml:space="preserve">square root transform of the criterion. </w:t>
      </w:r>
    </w:p>
    <w:p w14:paraId="6DB57FF0" w14:textId="14EA7994" w:rsidR="00E510F5" w:rsidRDefault="00E510F5" w:rsidP="00FC52FA">
      <w:pPr>
        <w:ind w:right="1440"/>
        <w:rPr>
          <w:i/>
          <w:iCs/>
        </w:rPr>
      </w:pPr>
      <w:r>
        <w:rPr>
          <w:i/>
          <w:iCs/>
        </w:rPr>
        <w:t>Part 6</w:t>
      </w:r>
    </w:p>
    <w:p w14:paraId="7430E7B3" w14:textId="2378D698" w:rsidR="00E510F5" w:rsidRDefault="00E510F5" w:rsidP="00FC52FA">
      <w:pPr>
        <w:ind w:right="1440"/>
      </w:pPr>
      <w:r>
        <w:tab/>
        <w:t xml:space="preserve"> I </w:t>
      </w:r>
      <w:r w:rsidR="00D14468">
        <w:t xml:space="preserve">changed the diet factor to be effect coded and compared the results of that model to the model with dummy coded diet. </w:t>
      </w:r>
      <w:r w:rsidR="00D573AC">
        <w:t xml:space="preserve">The initial code didn’t result in any different results, but after I saved and changed the </w:t>
      </w:r>
      <w:r w:rsidR="00C9438D">
        <w:t xml:space="preserve">contrasts on a new data frame object it worked. </w:t>
      </w:r>
      <w:r w:rsidR="000B2D8B">
        <w:t>The differences that stand out to me are the intercept and the other estimates changed in value</w:t>
      </w:r>
      <w:r w:rsidR="002D2D50">
        <w:t>, as well as dropping the Diet 4 estimate for the diet 1 estimate when effect coding</w:t>
      </w:r>
      <w:r w:rsidR="00086117">
        <w:t xml:space="preserve"> that variable. The intercept in the first, dummy-coded model captures the estimate for the </w:t>
      </w:r>
      <w:r w:rsidR="006B0355">
        <w:t xml:space="preserve">first diet level, while the intercept in the effect coded model captures the </w:t>
      </w:r>
      <w:r w:rsidR="00C65EA9">
        <w:t xml:space="preserve">grand mean of weights for all diets. </w:t>
      </w:r>
    </w:p>
    <w:p w14:paraId="1BDF9C23" w14:textId="31089D0A" w:rsidR="00DC6227" w:rsidRDefault="00DC6227" w:rsidP="00FC52FA">
      <w:pPr>
        <w:ind w:right="1440"/>
      </w:pPr>
      <w:r>
        <w:t xml:space="preserve">Mean diet 4: </w:t>
      </w:r>
    </w:p>
    <w:p w14:paraId="6290336F" w14:textId="2D894C60" w:rsidR="00373E41" w:rsidRDefault="004263FA" w:rsidP="00091A6A">
      <w:pPr>
        <w:ind w:right="1440"/>
        <w:rPr>
          <w:rFonts w:ascii="Lucida Console" w:hAnsi="Lucida Console"/>
        </w:rPr>
      </w:pPr>
      <w:r>
        <w:rPr>
          <w:rFonts w:ascii="Lucida Console" w:hAnsi="Lucida Console"/>
        </w:rPr>
        <w:t>Chick_model(dummy)</w:t>
      </w:r>
    </w:p>
    <w:p w14:paraId="44BEC2F6" w14:textId="6242DBAE" w:rsidR="0036412D" w:rsidRDefault="00DF4F3E" w:rsidP="0036412D">
      <w:pPr>
        <w:pStyle w:val="ListParagraph"/>
        <w:numPr>
          <w:ilvl w:val="0"/>
          <w:numId w:val="1"/>
        </w:numPr>
        <w:ind w:right="1440"/>
        <w:rPr>
          <w:rFonts w:ascii="Lucida Console" w:hAnsi="Lucida Console"/>
        </w:rPr>
      </w:pPr>
      <w:r>
        <w:rPr>
          <w:rFonts w:ascii="Lucida Console" w:hAnsi="Lucida Console"/>
        </w:rPr>
        <w:t>Times diet2 and diet3 by 0, diet4 by 1, add to intercept</w:t>
      </w:r>
    </w:p>
    <w:p w14:paraId="6F03153A" w14:textId="2876CFDB" w:rsidR="009667FE" w:rsidRPr="0036412D" w:rsidRDefault="009667FE" w:rsidP="0036412D">
      <w:pPr>
        <w:pStyle w:val="ListParagraph"/>
        <w:numPr>
          <w:ilvl w:val="0"/>
          <w:numId w:val="1"/>
        </w:numPr>
        <w:ind w:right="1440"/>
        <w:rPr>
          <w:rFonts w:ascii="Lucida Console" w:hAnsi="Lucida Console"/>
        </w:rPr>
      </w:pPr>
      <w:r>
        <w:rPr>
          <w:rFonts w:ascii="Lucida Console" w:hAnsi="Lucida Console"/>
        </w:rPr>
        <w:t>Or use emmeans</w:t>
      </w:r>
    </w:p>
    <w:p w14:paraId="512872CA" w14:textId="41CDD418" w:rsidR="004263FA" w:rsidRDefault="004263FA" w:rsidP="00091A6A">
      <w:pPr>
        <w:ind w:right="1440"/>
        <w:rPr>
          <w:rFonts w:ascii="Lucida Console" w:hAnsi="Lucida Console"/>
        </w:rPr>
      </w:pPr>
      <w:r>
        <w:rPr>
          <w:rFonts w:ascii="Lucida Console" w:hAnsi="Lucida Console"/>
        </w:rPr>
        <w:t>Sum_chick_model(effect)</w:t>
      </w:r>
    </w:p>
    <w:p w14:paraId="2A48993E" w14:textId="077CA8A6" w:rsidR="009667FE" w:rsidRDefault="009667FE" w:rsidP="009667FE">
      <w:pPr>
        <w:pStyle w:val="ListParagraph"/>
        <w:numPr>
          <w:ilvl w:val="0"/>
          <w:numId w:val="1"/>
        </w:numPr>
        <w:ind w:right="1440"/>
        <w:rPr>
          <w:rFonts w:ascii="Lucida Console" w:hAnsi="Lucida Console"/>
        </w:rPr>
      </w:pPr>
      <w:r w:rsidRPr="002510D3">
        <w:rPr>
          <w:rFonts w:ascii="Lucida Console" w:hAnsi="Lucida Console"/>
        </w:rPr>
        <w:t xml:space="preserve">Times </w:t>
      </w:r>
      <w:r w:rsidR="002510D3" w:rsidRPr="002510D3">
        <w:rPr>
          <w:rFonts w:ascii="Lucida Console" w:hAnsi="Lucida Console"/>
        </w:rPr>
        <w:t xml:space="preserve">diet1, diet2, and diet3 by </w:t>
      </w:r>
      <w:r w:rsidR="002510D3">
        <w:rPr>
          <w:rFonts w:ascii="Lucida Console" w:hAnsi="Lucida Console"/>
        </w:rPr>
        <w:t>-1, add to intercept</w:t>
      </w:r>
    </w:p>
    <w:p w14:paraId="4CA4F82A" w14:textId="7B0F7C5E" w:rsidR="002510D3" w:rsidRPr="002510D3" w:rsidRDefault="002510D3" w:rsidP="009667FE">
      <w:pPr>
        <w:pStyle w:val="ListParagraph"/>
        <w:numPr>
          <w:ilvl w:val="0"/>
          <w:numId w:val="1"/>
        </w:numPr>
        <w:ind w:right="1440"/>
        <w:rPr>
          <w:rFonts w:ascii="Lucida Console" w:hAnsi="Lucida Console"/>
        </w:rPr>
      </w:pPr>
      <w:r>
        <w:rPr>
          <w:rFonts w:ascii="Lucida Console" w:hAnsi="Lucida Console"/>
        </w:rPr>
        <w:t>Or use emmeans</w:t>
      </w:r>
    </w:p>
    <w:p w14:paraId="5FFEA9BF" w14:textId="5542A7BC" w:rsidR="00177EFF" w:rsidRPr="00091A6A" w:rsidRDefault="00177EFF" w:rsidP="00091A6A">
      <w:pPr>
        <w:ind w:right="1440"/>
        <w:rPr>
          <w:rFonts w:ascii="Lucida Console" w:hAnsi="Lucida Console"/>
        </w:rPr>
      </w:pPr>
      <w:r w:rsidRPr="00177EFF">
        <w:rPr>
          <w:rFonts w:ascii="Lucida Console" w:hAnsi="Lucida Console"/>
        </w:rPr>
        <w:drawing>
          <wp:inline distT="0" distB="0" distL="0" distR="0" wp14:anchorId="7929C4C4" wp14:editId="1CD58500">
            <wp:extent cx="4513161" cy="1612900"/>
            <wp:effectExtent l="0" t="0" r="1905" b="6350"/>
            <wp:docPr id="8555492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49286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024" cy="16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EFF" w:rsidRPr="00091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328E0"/>
    <w:multiLevelType w:val="hybridMultilevel"/>
    <w:tmpl w:val="09EC27AC"/>
    <w:lvl w:ilvl="0" w:tplc="E166B6BE">
      <w:start w:val="1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88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3F"/>
    <w:rsid w:val="0003680F"/>
    <w:rsid w:val="00042D01"/>
    <w:rsid w:val="000565BE"/>
    <w:rsid w:val="0006300A"/>
    <w:rsid w:val="0006697D"/>
    <w:rsid w:val="00076717"/>
    <w:rsid w:val="00086117"/>
    <w:rsid w:val="00091A6A"/>
    <w:rsid w:val="00093844"/>
    <w:rsid w:val="000B2D8B"/>
    <w:rsid w:val="000B7E9E"/>
    <w:rsid w:val="000C316F"/>
    <w:rsid w:val="000D19DD"/>
    <w:rsid w:val="000D2BDB"/>
    <w:rsid w:val="0010387F"/>
    <w:rsid w:val="001150EC"/>
    <w:rsid w:val="00144C34"/>
    <w:rsid w:val="00177EFF"/>
    <w:rsid w:val="001C5DC7"/>
    <w:rsid w:val="001D7942"/>
    <w:rsid w:val="001E5CF1"/>
    <w:rsid w:val="001F74B1"/>
    <w:rsid w:val="00223D62"/>
    <w:rsid w:val="0023398E"/>
    <w:rsid w:val="002510D3"/>
    <w:rsid w:val="00293B4E"/>
    <w:rsid w:val="002C18EF"/>
    <w:rsid w:val="002D0003"/>
    <w:rsid w:val="002D2D50"/>
    <w:rsid w:val="002E1C70"/>
    <w:rsid w:val="002F398C"/>
    <w:rsid w:val="002F4869"/>
    <w:rsid w:val="00314AAE"/>
    <w:rsid w:val="00320DB6"/>
    <w:rsid w:val="00340584"/>
    <w:rsid w:val="00344495"/>
    <w:rsid w:val="00344F72"/>
    <w:rsid w:val="00362BFB"/>
    <w:rsid w:val="0036412D"/>
    <w:rsid w:val="00373E41"/>
    <w:rsid w:val="0039371A"/>
    <w:rsid w:val="003955FF"/>
    <w:rsid w:val="003A1322"/>
    <w:rsid w:val="003A2C07"/>
    <w:rsid w:val="003A2E2E"/>
    <w:rsid w:val="003C5D56"/>
    <w:rsid w:val="003E0C8F"/>
    <w:rsid w:val="003E5712"/>
    <w:rsid w:val="003F0F6D"/>
    <w:rsid w:val="003F204A"/>
    <w:rsid w:val="004263FA"/>
    <w:rsid w:val="00446ACA"/>
    <w:rsid w:val="004700BB"/>
    <w:rsid w:val="00482828"/>
    <w:rsid w:val="004B70D7"/>
    <w:rsid w:val="004C1AA2"/>
    <w:rsid w:val="004C2D88"/>
    <w:rsid w:val="004D63C7"/>
    <w:rsid w:val="004E70C9"/>
    <w:rsid w:val="00504CB4"/>
    <w:rsid w:val="0052511D"/>
    <w:rsid w:val="0053316A"/>
    <w:rsid w:val="00543BFB"/>
    <w:rsid w:val="00547E81"/>
    <w:rsid w:val="00551001"/>
    <w:rsid w:val="005B0BC4"/>
    <w:rsid w:val="005B599A"/>
    <w:rsid w:val="005F6CE6"/>
    <w:rsid w:val="00630FCB"/>
    <w:rsid w:val="00631B15"/>
    <w:rsid w:val="00640DCD"/>
    <w:rsid w:val="006738AB"/>
    <w:rsid w:val="0067742A"/>
    <w:rsid w:val="00684185"/>
    <w:rsid w:val="006911D9"/>
    <w:rsid w:val="00693982"/>
    <w:rsid w:val="006A09E5"/>
    <w:rsid w:val="006B0355"/>
    <w:rsid w:val="006C5DDB"/>
    <w:rsid w:val="006D16C2"/>
    <w:rsid w:val="00703A45"/>
    <w:rsid w:val="00731ABE"/>
    <w:rsid w:val="00771A8E"/>
    <w:rsid w:val="007828F3"/>
    <w:rsid w:val="007B057E"/>
    <w:rsid w:val="007C06C5"/>
    <w:rsid w:val="007E565F"/>
    <w:rsid w:val="00817924"/>
    <w:rsid w:val="00833B90"/>
    <w:rsid w:val="00835CC3"/>
    <w:rsid w:val="00837544"/>
    <w:rsid w:val="00871854"/>
    <w:rsid w:val="008C250F"/>
    <w:rsid w:val="008C6E9A"/>
    <w:rsid w:val="00905F3F"/>
    <w:rsid w:val="0092536C"/>
    <w:rsid w:val="009667FE"/>
    <w:rsid w:val="00975D5C"/>
    <w:rsid w:val="00980078"/>
    <w:rsid w:val="009852F8"/>
    <w:rsid w:val="009B0052"/>
    <w:rsid w:val="00A05B17"/>
    <w:rsid w:val="00A1777C"/>
    <w:rsid w:val="00A25D7E"/>
    <w:rsid w:val="00A315BA"/>
    <w:rsid w:val="00AC199C"/>
    <w:rsid w:val="00AD4A18"/>
    <w:rsid w:val="00AE4C32"/>
    <w:rsid w:val="00B00EBB"/>
    <w:rsid w:val="00B2210C"/>
    <w:rsid w:val="00B33CB8"/>
    <w:rsid w:val="00B47475"/>
    <w:rsid w:val="00B52813"/>
    <w:rsid w:val="00B55A26"/>
    <w:rsid w:val="00B6110E"/>
    <w:rsid w:val="00B75CE1"/>
    <w:rsid w:val="00B86778"/>
    <w:rsid w:val="00BB1E0E"/>
    <w:rsid w:val="00BC388F"/>
    <w:rsid w:val="00BF7041"/>
    <w:rsid w:val="00C165A9"/>
    <w:rsid w:val="00C31984"/>
    <w:rsid w:val="00C565E0"/>
    <w:rsid w:val="00C65EA9"/>
    <w:rsid w:val="00C835EA"/>
    <w:rsid w:val="00C9438D"/>
    <w:rsid w:val="00CC7802"/>
    <w:rsid w:val="00CE24DD"/>
    <w:rsid w:val="00CF24D6"/>
    <w:rsid w:val="00CF4847"/>
    <w:rsid w:val="00CF6FFE"/>
    <w:rsid w:val="00D14468"/>
    <w:rsid w:val="00D365B8"/>
    <w:rsid w:val="00D45BB7"/>
    <w:rsid w:val="00D573AC"/>
    <w:rsid w:val="00D94B4D"/>
    <w:rsid w:val="00D95C04"/>
    <w:rsid w:val="00DA4610"/>
    <w:rsid w:val="00DA6167"/>
    <w:rsid w:val="00DC6227"/>
    <w:rsid w:val="00DE3BDC"/>
    <w:rsid w:val="00DF4F3E"/>
    <w:rsid w:val="00DF6646"/>
    <w:rsid w:val="00E1737E"/>
    <w:rsid w:val="00E21E3E"/>
    <w:rsid w:val="00E366F2"/>
    <w:rsid w:val="00E510F5"/>
    <w:rsid w:val="00E63D5E"/>
    <w:rsid w:val="00E65D69"/>
    <w:rsid w:val="00E700F5"/>
    <w:rsid w:val="00E92AED"/>
    <w:rsid w:val="00EA3BD7"/>
    <w:rsid w:val="00EB7A00"/>
    <w:rsid w:val="00EC3FEE"/>
    <w:rsid w:val="00EC5D36"/>
    <w:rsid w:val="00ED1D05"/>
    <w:rsid w:val="00EE6053"/>
    <w:rsid w:val="00EF164D"/>
    <w:rsid w:val="00EF46BF"/>
    <w:rsid w:val="00F0768D"/>
    <w:rsid w:val="00F20DE8"/>
    <w:rsid w:val="00F57857"/>
    <w:rsid w:val="00F626A0"/>
    <w:rsid w:val="00F832F6"/>
    <w:rsid w:val="00F95D71"/>
    <w:rsid w:val="00FA746B"/>
    <w:rsid w:val="00FB05B6"/>
    <w:rsid w:val="00FC52FA"/>
    <w:rsid w:val="00FD3EF4"/>
    <w:rsid w:val="00FD4E28"/>
    <w:rsid w:val="00FD503C"/>
    <w:rsid w:val="00FD562F"/>
    <w:rsid w:val="00FD6C4C"/>
    <w:rsid w:val="00FE437E"/>
    <w:rsid w:val="00FF1326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013C"/>
  <w15:chartTrackingRefBased/>
  <w15:docId w15:val="{910A3EAC-C4B6-4D6E-BB62-E932B24D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F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5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Watson</dc:creator>
  <cp:keywords/>
  <dc:description/>
  <cp:lastModifiedBy>Luke Watson</cp:lastModifiedBy>
  <cp:revision>173</cp:revision>
  <dcterms:created xsi:type="dcterms:W3CDTF">2024-09-04T00:09:00Z</dcterms:created>
  <dcterms:modified xsi:type="dcterms:W3CDTF">2024-09-04T04:32:00Z</dcterms:modified>
</cp:coreProperties>
</file>