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EDAD6" w14:textId="10CA4B12" w:rsidR="00F95D71" w:rsidRDefault="001A2ACF">
      <w:r>
        <w:t>Luke Watson</w:t>
      </w:r>
    </w:p>
    <w:p w14:paraId="34E0C8EE" w14:textId="109A5970" w:rsidR="001A2ACF" w:rsidRDefault="001A2ACF">
      <w:r>
        <w:t>958</w:t>
      </w:r>
    </w:p>
    <w:p w14:paraId="38021659" w14:textId="54A0E071" w:rsidR="001A2ACF" w:rsidRPr="001A2ACF" w:rsidRDefault="001A2ACF">
      <w:pPr>
        <w:rPr>
          <w:b/>
          <w:bCs/>
        </w:rPr>
      </w:pPr>
      <w:r w:rsidRPr="001A2ACF">
        <w:rPr>
          <w:b/>
          <w:bCs/>
        </w:rPr>
        <w:t>Generalized linear modeling</w:t>
      </w:r>
    </w:p>
    <w:p w14:paraId="7F0F2B5E" w14:textId="1DDB9DCB" w:rsidR="001A2ACF" w:rsidRDefault="001A2ACF">
      <w:pPr>
        <w:rPr>
          <w:i/>
          <w:iCs/>
        </w:rPr>
      </w:pPr>
      <w:r>
        <w:rPr>
          <w:i/>
          <w:iCs/>
        </w:rPr>
        <w:t>Part One</w:t>
      </w:r>
    </w:p>
    <w:p w14:paraId="1B123475" w14:textId="572A3895" w:rsidR="001A2ACF" w:rsidRDefault="001A2ACF">
      <w:r>
        <w:tab/>
      </w:r>
      <w:r w:rsidR="008512C9">
        <w:t xml:space="preserve">To </w:t>
      </w:r>
      <w:r w:rsidR="00A739CC">
        <w:t>uncover how</w:t>
      </w:r>
      <w:r w:rsidR="008D6DC9">
        <w:t xml:space="preserve"> the department makes admission</w:t>
      </w:r>
      <w:r w:rsidR="007E3251">
        <w:t xml:space="preserve"> decisions, I investigated how </w:t>
      </w:r>
      <w:r w:rsidR="00CE6FBD">
        <w:t xml:space="preserve">the different </w:t>
      </w:r>
      <w:r w:rsidR="002D1FA5">
        <w:t xml:space="preserve">quantitative admission criteria were weighted by the reviewers. </w:t>
      </w:r>
      <w:r w:rsidR="008859E6">
        <w:t>I sought to create a model that could giv</w:t>
      </w:r>
      <w:r w:rsidR="00AA00C6">
        <w:t xml:space="preserve">e insight into </w:t>
      </w:r>
      <w:r w:rsidR="003C02E9">
        <w:t xml:space="preserve">how each of the </w:t>
      </w:r>
      <w:r w:rsidR="00924C7B">
        <w:t xml:space="preserve">predictors </w:t>
      </w:r>
      <w:r w:rsidR="002646D4">
        <w:t>factored into an applicant’s probability of being accepted into their program of choice. To s</w:t>
      </w:r>
      <w:r w:rsidR="00192323">
        <w:t xml:space="preserve">tart, I </w:t>
      </w:r>
      <w:r w:rsidR="00421D74">
        <w:t xml:space="preserve">created a standard multiple regression model </w:t>
      </w:r>
      <w:r w:rsidR="003156B0">
        <w:t xml:space="preserve">using each of the components of the GRE (verbal, quantitative, and analytical writing) </w:t>
      </w:r>
      <w:r w:rsidR="00E147BB">
        <w:t xml:space="preserve">along with GPA to predict their acceptance, which was coded as 1 (accept) or 0 (reject). </w:t>
      </w:r>
      <w:r w:rsidR="00CA4EB0">
        <w:t xml:space="preserve">The overall model was found to </w:t>
      </w:r>
      <w:r w:rsidR="00144398">
        <w:t>be significant (</w:t>
      </w:r>
      <w:r w:rsidR="00144398">
        <w:rPr>
          <w:i/>
          <w:iCs/>
        </w:rPr>
        <w:t>F</w:t>
      </w:r>
      <w:r w:rsidR="00144398">
        <w:t xml:space="preserve">(4, 250) = </w:t>
      </w:r>
      <w:r w:rsidR="00D64F5F">
        <w:t xml:space="preserve">4.92, </w:t>
      </w:r>
      <w:r w:rsidR="00D64F5F">
        <w:rPr>
          <w:i/>
          <w:iCs/>
        </w:rPr>
        <w:t>p</w:t>
      </w:r>
      <w:r w:rsidR="00D64F5F">
        <w:t xml:space="preserve"> &lt;</w:t>
      </w:r>
      <w:r w:rsidR="003C18A2">
        <w:t xml:space="preserve"> .001). The weights, standard errors, and </w:t>
      </w:r>
      <w:r w:rsidR="0075661A">
        <w:t>significance are summarized in Table 1, but no weights reached significance</w:t>
      </w:r>
      <w:r w:rsidR="00341858">
        <w:t xml:space="preserve"> although they indicated a positive relationship to acceptance. </w:t>
      </w:r>
      <w:r w:rsidR="004509B4">
        <w:t xml:space="preserve">Aside from GPA though, the size of each of the GRE predictor weights were very small. </w:t>
      </w:r>
    </w:p>
    <w:p w14:paraId="06CD5D46" w14:textId="2062C1FA" w:rsidR="00211CBF" w:rsidRDefault="00211CBF">
      <w:pPr>
        <w:rPr>
          <w:b/>
          <w:bCs/>
        </w:rPr>
      </w:pPr>
      <w:r>
        <w:rPr>
          <w:b/>
          <w:bCs/>
        </w:rPr>
        <w:t>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488"/>
        <w:gridCol w:w="1489"/>
        <w:gridCol w:w="1489"/>
        <w:gridCol w:w="1489"/>
      </w:tblGrid>
      <w:tr w:rsidR="00BB0BA9" w14:paraId="0051D91F" w14:textId="50C61C13" w:rsidTr="00DC38EF">
        <w:trPr>
          <w:trHeight w:val="458"/>
        </w:trPr>
        <w:tc>
          <w:tcPr>
            <w:tcW w:w="1870" w:type="dxa"/>
            <w:tcBorders>
              <w:top w:val="single" w:sz="4" w:space="0" w:color="auto"/>
              <w:bottom w:val="single" w:sz="4" w:space="0" w:color="auto"/>
            </w:tcBorders>
            <w:vAlign w:val="center"/>
          </w:tcPr>
          <w:p w14:paraId="4BE6662B" w14:textId="202D225F" w:rsidR="00BB0BA9" w:rsidRPr="00964EF8" w:rsidRDefault="00964EF8" w:rsidP="00DC38EF">
            <w:bookmarkStart w:id="0" w:name="_Hlk177420953"/>
            <w:r w:rsidRPr="00964EF8">
              <w:t>Term</w:t>
            </w:r>
          </w:p>
        </w:tc>
        <w:tc>
          <w:tcPr>
            <w:tcW w:w="1488" w:type="dxa"/>
            <w:tcBorders>
              <w:top w:val="single" w:sz="4" w:space="0" w:color="auto"/>
              <w:bottom w:val="single" w:sz="4" w:space="0" w:color="auto"/>
            </w:tcBorders>
            <w:vAlign w:val="center"/>
          </w:tcPr>
          <w:p w14:paraId="60EA649F" w14:textId="62BD929B" w:rsidR="00BB0BA9" w:rsidRPr="00964EF8" w:rsidRDefault="00964EF8" w:rsidP="00DC38EF">
            <w:pPr>
              <w:jc w:val="center"/>
            </w:pPr>
            <w:r>
              <w:t>B</w:t>
            </w:r>
          </w:p>
        </w:tc>
        <w:tc>
          <w:tcPr>
            <w:tcW w:w="1489" w:type="dxa"/>
            <w:tcBorders>
              <w:top w:val="single" w:sz="4" w:space="0" w:color="auto"/>
              <w:bottom w:val="single" w:sz="4" w:space="0" w:color="auto"/>
            </w:tcBorders>
            <w:vAlign w:val="center"/>
          </w:tcPr>
          <w:p w14:paraId="1B232246" w14:textId="1FAE450D" w:rsidR="00BB0BA9" w:rsidRPr="00964EF8" w:rsidRDefault="009E0AA6" w:rsidP="00DC38EF">
            <w:pPr>
              <w:jc w:val="center"/>
            </w:pPr>
            <w:r>
              <w:t>SE</w:t>
            </w:r>
          </w:p>
        </w:tc>
        <w:tc>
          <w:tcPr>
            <w:tcW w:w="1489" w:type="dxa"/>
            <w:tcBorders>
              <w:top w:val="single" w:sz="4" w:space="0" w:color="auto"/>
              <w:bottom w:val="single" w:sz="4" w:space="0" w:color="auto"/>
            </w:tcBorders>
            <w:vAlign w:val="center"/>
          </w:tcPr>
          <w:p w14:paraId="2DE68A3C" w14:textId="00B77606" w:rsidR="00BB0BA9" w:rsidRPr="009E0AA6" w:rsidRDefault="009E0AA6" w:rsidP="00DC38EF">
            <w:pPr>
              <w:jc w:val="center"/>
            </w:pPr>
            <w:r>
              <w:t>t</w:t>
            </w:r>
          </w:p>
        </w:tc>
        <w:tc>
          <w:tcPr>
            <w:tcW w:w="1489" w:type="dxa"/>
            <w:tcBorders>
              <w:top w:val="single" w:sz="4" w:space="0" w:color="auto"/>
              <w:bottom w:val="single" w:sz="4" w:space="0" w:color="auto"/>
            </w:tcBorders>
            <w:vAlign w:val="center"/>
          </w:tcPr>
          <w:p w14:paraId="5B2FD4C6" w14:textId="4CFE4D70" w:rsidR="00BB0BA9" w:rsidRPr="009E0AA6" w:rsidRDefault="009E0AA6" w:rsidP="00DC38EF">
            <w:pPr>
              <w:jc w:val="center"/>
            </w:pPr>
            <w:r>
              <w:t>p</w:t>
            </w:r>
          </w:p>
        </w:tc>
      </w:tr>
      <w:tr w:rsidR="00BB0BA9" w14:paraId="63CFC284" w14:textId="4C155A58" w:rsidTr="00DC38EF">
        <w:trPr>
          <w:trHeight w:val="351"/>
        </w:trPr>
        <w:tc>
          <w:tcPr>
            <w:tcW w:w="1870" w:type="dxa"/>
            <w:tcBorders>
              <w:top w:val="single" w:sz="4" w:space="0" w:color="auto"/>
            </w:tcBorders>
            <w:vAlign w:val="center"/>
          </w:tcPr>
          <w:p w14:paraId="5F032C03" w14:textId="7770D6A5" w:rsidR="00BB0BA9" w:rsidRPr="00DC38EF" w:rsidRDefault="009E0AA6" w:rsidP="00DC38EF">
            <w:r w:rsidRPr="00DC38EF">
              <w:t>Intercept</w:t>
            </w:r>
          </w:p>
        </w:tc>
        <w:tc>
          <w:tcPr>
            <w:tcW w:w="1488" w:type="dxa"/>
            <w:tcBorders>
              <w:top w:val="single" w:sz="4" w:space="0" w:color="auto"/>
            </w:tcBorders>
            <w:vAlign w:val="center"/>
          </w:tcPr>
          <w:p w14:paraId="17BC6050" w14:textId="35D5A876" w:rsidR="00BB0BA9" w:rsidRPr="00DC38EF" w:rsidRDefault="009563AE" w:rsidP="00DC38EF">
            <w:pPr>
              <w:tabs>
                <w:tab w:val="decimal" w:pos="90"/>
              </w:tabs>
              <w:jc w:val="center"/>
            </w:pPr>
            <w:r w:rsidRPr="00DC38EF">
              <w:t>-.472</w:t>
            </w:r>
          </w:p>
        </w:tc>
        <w:tc>
          <w:tcPr>
            <w:tcW w:w="1489" w:type="dxa"/>
            <w:tcBorders>
              <w:top w:val="single" w:sz="4" w:space="0" w:color="auto"/>
            </w:tcBorders>
            <w:vAlign w:val="center"/>
          </w:tcPr>
          <w:p w14:paraId="30C78A2C" w14:textId="72246CA3" w:rsidR="00BB0BA9" w:rsidRPr="00DC38EF" w:rsidRDefault="00EB257A" w:rsidP="00DC38EF">
            <w:pPr>
              <w:jc w:val="center"/>
            </w:pPr>
            <w:r w:rsidRPr="00DC38EF">
              <w:t>.262</w:t>
            </w:r>
          </w:p>
        </w:tc>
        <w:tc>
          <w:tcPr>
            <w:tcW w:w="1489" w:type="dxa"/>
            <w:tcBorders>
              <w:top w:val="single" w:sz="4" w:space="0" w:color="auto"/>
            </w:tcBorders>
            <w:vAlign w:val="center"/>
          </w:tcPr>
          <w:p w14:paraId="720C7ACB" w14:textId="4C103AF6" w:rsidR="00BB0BA9" w:rsidRPr="00DC38EF" w:rsidRDefault="00EB257A" w:rsidP="00DC38EF">
            <w:pPr>
              <w:tabs>
                <w:tab w:val="decimal" w:pos="220"/>
              </w:tabs>
              <w:jc w:val="center"/>
            </w:pPr>
            <w:r w:rsidRPr="00DC38EF">
              <w:t>-1.80</w:t>
            </w:r>
          </w:p>
        </w:tc>
        <w:tc>
          <w:tcPr>
            <w:tcW w:w="1489" w:type="dxa"/>
            <w:tcBorders>
              <w:top w:val="single" w:sz="4" w:space="0" w:color="auto"/>
            </w:tcBorders>
            <w:vAlign w:val="center"/>
          </w:tcPr>
          <w:p w14:paraId="6A37B5BD" w14:textId="26B90847" w:rsidR="00BB0BA9" w:rsidRPr="00DC38EF" w:rsidRDefault="002163A1" w:rsidP="00DC38EF">
            <w:pPr>
              <w:tabs>
                <w:tab w:val="decimal" w:pos="150"/>
              </w:tabs>
              <w:jc w:val="center"/>
            </w:pPr>
            <w:r w:rsidRPr="00DC38EF">
              <w:t>.073</w:t>
            </w:r>
          </w:p>
        </w:tc>
      </w:tr>
      <w:tr w:rsidR="00BB0BA9" w14:paraId="62B53443" w14:textId="68753E38" w:rsidTr="00DC38EF">
        <w:trPr>
          <w:trHeight w:val="351"/>
        </w:trPr>
        <w:tc>
          <w:tcPr>
            <w:tcW w:w="1870" w:type="dxa"/>
            <w:vAlign w:val="center"/>
          </w:tcPr>
          <w:p w14:paraId="34663D10" w14:textId="538DAD48" w:rsidR="00BB0BA9" w:rsidRPr="00DC38EF" w:rsidRDefault="009E0AA6" w:rsidP="00DC38EF">
            <w:r w:rsidRPr="00DC38EF">
              <w:t xml:space="preserve">  GREQ</w:t>
            </w:r>
          </w:p>
        </w:tc>
        <w:tc>
          <w:tcPr>
            <w:tcW w:w="1488" w:type="dxa"/>
            <w:vAlign w:val="center"/>
          </w:tcPr>
          <w:p w14:paraId="514152FF" w14:textId="783F6AE9" w:rsidR="00BB0BA9" w:rsidRPr="00DC38EF" w:rsidRDefault="009563AE" w:rsidP="00DC38EF">
            <w:pPr>
              <w:tabs>
                <w:tab w:val="decimal" w:pos="90"/>
              </w:tabs>
              <w:jc w:val="center"/>
            </w:pPr>
            <w:r w:rsidRPr="00DC38EF">
              <w:t>.003</w:t>
            </w:r>
          </w:p>
        </w:tc>
        <w:tc>
          <w:tcPr>
            <w:tcW w:w="1489" w:type="dxa"/>
            <w:vAlign w:val="center"/>
          </w:tcPr>
          <w:p w14:paraId="5219E5B7" w14:textId="02F0A389" w:rsidR="00BB0BA9" w:rsidRPr="00DC38EF" w:rsidRDefault="00EB257A" w:rsidP="00DC38EF">
            <w:pPr>
              <w:jc w:val="center"/>
            </w:pPr>
            <w:r w:rsidRPr="00DC38EF">
              <w:t>.001</w:t>
            </w:r>
          </w:p>
        </w:tc>
        <w:tc>
          <w:tcPr>
            <w:tcW w:w="1489" w:type="dxa"/>
            <w:vAlign w:val="center"/>
          </w:tcPr>
          <w:p w14:paraId="468E7898" w14:textId="568DB614" w:rsidR="00BB0BA9" w:rsidRPr="00DC38EF" w:rsidRDefault="00EB257A" w:rsidP="00DC38EF">
            <w:pPr>
              <w:tabs>
                <w:tab w:val="decimal" w:pos="220"/>
              </w:tabs>
              <w:jc w:val="center"/>
            </w:pPr>
            <w:r w:rsidRPr="00DC38EF">
              <w:t>1.84</w:t>
            </w:r>
          </w:p>
        </w:tc>
        <w:tc>
          <w:tcPr>
            <w:tcW w:w="1489" w:type="dxa"/>
            <w:vAlign w:val="center"/>
          </w:tcPr>
          <w:p w14:paraId="74E0C6CD" w14:textId="718F3042" w:rsidR="00BB0BA9" w:rsidRPr="00DC38EF" w:rsidRDefault="002163A1" w:rsidP="00DC38EF">
            <w:pPr>
              <w:tabs>
                <w:tab w:val="decimal" w:pos="150"/>
              </w:tabs>
              <w:jc w:val="center"/>
            </w:pPr>
            <w:r w:rsidRPr="00DC38EF">
              <w:t>.066</w:t>
            </w:r>
          </w:p>
        </w:tc>
      </w:tr>
      <w:tr w:rsidR="00BB0BA9" w14:paraId="52AA11E1" w14:textId="12049F90" w:rsidTr="00DC38EF">
        <w:trPr>
          <w:trHeight w:val="351"/>
        </w:trPr>
        <w:tc>
          <w:tcPr>
            <w:tcW w:w="1870" w:type="dxa"/>
            <w:vAlign w:val="center"/>
          </w:tcPr>
          <w:p w14:paraId="5CA2CE66" w14:textId="2D823E70" w:rsidR="00BB0BA9" w:rsidRPr="00DC38EF" w:rsidRDefault="009E0AA6" w:rsidP="00DC38EF">
            <w:r w:rsidRPr="00DC38EF">
              <w:t xml:space="preserve">  GREV</w:t>
            </w:r>
          </w:p>
        </w:tc>
        <w:tc>
          <w:tcPr>
            <w:tcW w:w="1488" w:type="dxa"/>
            <w:vAlign w:val="center"/>
          </w:tcPr>
          <w:p w14:paraId="6CD4F3A5" w14:textId="279D1CE0" w:rsidR="00BB0BA9" w:rsidRPr="00DC38EF" w:rsidRDefault="009563AE" w:rsidP="00DC38EF">
            <w:pPr>
              <w:tabs>
                <w:tab w:val="decimal" w:pos="90"/>
              </w:tabs>
              <w:jc w:val="center"/>
            </w:pPr>
            <w:r w:rsidRPr="00DC38EF">
              <w:t>.003</w:t>
            </w:r>
          </w:p>
        </w:tc>
        <w:tc>
          <w:tcPr>
            <w:tcW w:w="1489" w:type="dxa"/>
            <w:vAlign w:val="center"/>
          </w:tcPr>
          <w:p w14:paraId="409403EB" w14:textId="4D6005C1" w:rsidR="00BB0BA9" w:rsidRPr="00DC38EF" w:rsidRDefault="00EB257A" w:rsidP="00DC38EF">
            <w:pPr>
              <w:jc w:val="center"/>
            </w:pPr>
            <w:r w:rsidRPr="00DC38EF">
              <w:t>.002</w:t>
            </w:r>
          </w:p>
        </w:tc>
        <w:tc>
          <w:tcPr>
            <w:tcW w:w="1489" w:type="dxa"/>
            <w:vAlign w:val="center"/>
          </w:tcPr>
          <w:p w14:paraId="09671555" w14:textId="7EB48922" w:rsidR="00BB0BA9" w:rsidRPr="00DC38EF" w:rsidRDefault="00EB257A" w:rsidP="00DC38EF">
            <w:pPr>
              <w:tabs>
                <w:tab w:val="decimal" w:pos="220"/>
              </w:tabs>
              <w:jc w:val="center"/>
            </w:pPr>
            <w:r w:rsidRPr="00DC38EF">
              <w:t>1.68</w:t>
            </w:r>
          </w:p>
        </w:tc>
        <w:tc>
          <w:tcPr>
            <w:tcW w:w="1489" w:type="dxa"/>
            <w:vAlign w:val="center"/>
          </w:tcPr>
          <w:p w14:paraId="566A1DBE" w14:textId="5A095752" w:rsidR="00BB0BA9" w:rsidRPr="00DC38EF" w:rsidRDefault="002163A1" w:rsidP="00DC38EF">
            <w:pPr>
              <w:tabs>
                <w:tab w:val="decimal" w:pos="150"/>
              </w:tabs>
              <w:jc w:val="center"/>
            </w:pPr>
            <w:r w:rsidRPr="00DC38EF">
              <w:t>.094</w:t>
            </w:r>
          </w:p>
        </w:tc>
      </w:tr>
      <w:tr w:rsidR="00BB0BA9" w14:paraId="2B32AEBF" w14:textId="7D9684D8" w:rsidTr="00DC38EF">
        <w:trPr>
          <w:trHeight w:val="351"/>
        </w:trPr>
        <w:tc>
          <w:tcPr>
            <w:tcW w:w="1870" w:type="dxa"/>
            <w:vAlign w:val="center"/>
          </w:tcPr>
          <w:p w14:paraId="617CC0D3" w14:textId="5C0B7879" w:rsidR="00BB0BA9" w:rsidRPr="00DC38EF" w:rsidRDefault="009E0AA6" w:rsidP="00DC38EF">
            <w:r w:rsidRPr="00DC38EF">
              <w:t xml:space="preserve">  GREAW</w:t>
            </w:r>
          </w:p>
        </w:tc>
        <w:tc>
          <w:tcPr>
            <w:tcW w:w="1488" w:type="dxa"/>
            <w:vAlign w:val="center"/>
          </w:tcPr>
          <w:p w14:paraId="09FE4190" w14:textId="766015CA" w:rsidR="00BB0BA9" w:rsidRPr="00DC38EF" w:rsidRDefault="009563AE" w:rsidP="00DC38EF">
            <w:pPr>
              <w:tabs>
                <w:tab w:val="decimal" w:pos="90"/>
              </w:tabs>
              <w:jc w:val="center"/>
            </w:pPr>
            <w:r w:rsidRPr="00DC38EF">
              <w:t>.001</w:t>
            </w:r>
          </w:p>
        </w:tc>
        <w:tc>
          <w:tcPr>
            <w:tcW w:w="1489" w:type="dxa"/>
            <w:vAlign w:val="center"/>
          </w:tcPr>
          <w:p w14:paraId="7A25DBCB" w14:textId="02B32560" w:rsidR="00BB0BA9" w:rsidRPr="00DC38EF" w:rsidRDefault="00EB257A" w:rsidP="00DC38EF">
            <w:pPr>
              <w:jc w:val="center"/>
            </w:pPr>
            <w:r w:rsidRPr="00DC38EF">
              <w:t>.001</w:t>
            </w:r>
          </w:p>
        </w:tc>
        <w:tc>
          <w:tcPr>
            <w:tcW w:w="1489" w:type="dxa"/>
            <w:vAlign w:val="center"/>
          </w:tcPr>
          <w:p w14:paraId="196DFA94" w14:textId="16479910" w:rsidR="00BB0BA9" w:rsidRPr="00DC38EF" w:rsidRDefault="00EB257A" w:rsidP="00DC38EF">
            <w:pPr>
              <w:tabs>
                <w:tab w:val="decimal" w:pos="220"/>
              </w:tabs>
              <w:jc w:val="center"/>
            </w:pPr>
            <w:r w:rsidRPr="00DC38EF">
              <w:t>.59</w:t>
            </w:r>
          </w:p>
        </w:tc>
        <w:tc>
          <w:tcPr>
            <w:tcW w:w="1489" w:type="dxa"/>
            <w:vAlign w:val="center"/>
          </w:tcPr>
          <w:p w14:paraId="12733C0C" w14:textId="7B4AD0E9" w:rsidR="00BB0BA9" w:rsidRPr="00DC38EF" w:rsidRDefault="00DC38EF" w:rsidP="00DC38EF">
            <w:pPr>
              <w:tabs>
                <w:tab w:val="decimal" w:pos="150"/>
              </w:tabs>
              <w:jc w:val="center"/>
            </w:pPr>
            <w:r w:rsidRPr="00DC38EF">
              <w:t>.554</w:t>
            </w:r>
          </w:p>
        </w:tc>
      </w:tr>
      <w:tr w:rsidR="009E0AA6" w14:paraId="46801334" w14:textId="77777777" w:rsidTr="00DC38EF">
        <w:trPr>
          <w:trHeight w:val="351"/>
        </w:trPr>
        <w:tc>
          <w:tcPr>
            <w:tcW w:w="1870" w:type="dxa"/>
            <w:tcBorders>
              <w:bottom w:val="single" w:sz="4" w:space="0" w:color="auto"/>
            </w:tcBorders>
            <w:vAlign w:val="center"/>
          </w:tcPr>
          <w:p w14:paraId="24C8F58A" w14:textId="3F4ACBFC" w:rsidR="009E0AA6" w:rsidRPr="00DC38EF" w:rsidRDefault="009E0AA6" w:rsidP="00DC38EF">
            <w:r w:rsidRPr="00DC38EF">
              <w:t xml:space="preserve">  GPA</w:t>
            </w:r>
          </w:p>
        </w:tc>
        <w:tc>
          <w:tcPr>
            <w:tcW w:w="1488" w:type="dxa"/>
            <w:tcBorders>
              <w:bottom w:val="single" w:sz="4" w:space="0" w:color="auto"/>
            </w:tcBorders>
            <w:vAlign w:val="center"/>
          </w:tcPr>
          <w:p w14:paraId="4C8071E5" w14:textId="54F9CCB9" w:rsidR="009E0AA6" w:rsidRPr="00DC38EF" w:rsidRDefault="009563AE" w:rsidP="00DC38EF">
            <w:pPr>
              <w:tabs>
                <w:tab w:val="decimal" w:pos="90"/>
              </w:tabs>
              <w:jc w:val="center"/>
            </w:pPr>
            <w:r w:rsidRPr="00DC38EF">
              <w:t>.106</w:t>
            </w:r>
          </w:p>
        </w:tc>
        <w:tc>
          <w:tcPr>
            <w:tcW w:w="1489" w:type="dxa"/>
            <w:tcBorders>
              <w:bottom w:val="single" w:sz="4" w:space="0" w:color="auto"/>
            </w:tcBorders>
            <w:vAlign w:val="center"/>
          </w:tcPr>
          <w:p w14:paraId="769E31F5" w14:textId="53B8F4EF" w:rsidR="009E0AA6" w:rsidRPr="00DC38EF" w:rsidRDefault="00EB257A" w:rsidP="00DC38EF">
            <w:pPr>
              <w:jc w:val="center"/>
            </w:pPr>
            <w:r w:rsidRPr="00DC38EF">
              <w:t>.076</w:t>
            </w:r>
          </w:p>
        </w:tc>
        <w:tc>
          <w:tcPr>
            <w:tcW w:w="1489" w:type="dxa"/>
            <w:tcBorders>
              <w:bottom w:val="single" w:sz="4" w:space="0" w:color="auto"/>
            </w:tcBorders>
            <w:vAlign w:val="center"/>
          </w:tcPr>
          <w:p w14:paraId="2DEF870E" w14:textId="21B69348" w:rsidR="009E0AA6" w:rsidRPr="00DC38EF" w:rsidRDefault="002163A1" w:rsidP="00DC38EF">
            <w:pPr>
              <w:tabs>
                <w:tab w:val="decimal" w:pos="220"/>
              </w:tabs>
              <w:jc w:val="center"/>
            </w:pPr>
            <w:r w:rsidRPr="00DC38EF">
              <w:t>1.39</w:t>
            </w:r>
          </w:p>
        </w:tc>
        <w:tc>
          <w:tcPr>
            <w:tcW w:w="1489" w:type="dxa"/>
            <w:tcBorders>
              <w:bottom w:val="single" w:sz="4" w:space="0" w:color="auto"/>
            </w:tcBorders>
            <w:vAlign w:val="center"/>
          </w:tcPr>
          <w:p w14:paraId="591CF216" w14:textId="11A76FDF" w:rsidR="009E0AA6" w:rsidRPr="00DC38EF" w:rsidRDefault="00DC38EF" w:rsidP="00DC38EF">
            <w:pPr>
              <w:tabs>
                <w:tab w:val="decimal" w:pos="150"/>
              </w:tabs>
              <w:jc w:val="center"/>
            </w:pPr>
            <w:r w:rsidRPr="00DC38EF">
              <w:t>.166</w:t>
            </w:r>
          </w:p>
        </w:tc>
      </w:tr>
    </w:tbl>
    <w:bookmarkEnd w:id="0"/>
    <w:p w14:paraId="447FB5AD" w14:textId="49B258C1" w:rsidR="00211CBF" w:rsidRDefault="00DC38EF" w:rsidP="00DC38EF">
      <w:pPr>
        <w:ind w:right="1530"/>
      </w:pPr>
      <w:r>
        <w:rPr>
          <w:i/>
          <w:iCs/>
        </w:rPr>
        <w:t xml:space="preserve">Note. </w:t>
      </w:r>
      <w:r w:rsidR="00E80D50">
        <w:t xml:space="preserve">Estimates and errors represent values from 0 to 1 where 0 is rejection and </w:t>
      </w:r>
      <w:r w:rsidR="000105BB">
        <w:t xml:space="preserve">1 is acceptance. Positive values indicate that higher scores on those terms </w:t>
      </w:r>
      <w:r w:rsidR="00DE55A5">
        <w:t>result in a higher rate of acceptance. No terms reached significance threshold of p &lt; .05</w:t>
      </w:r>
      <w:r w:rsidR="00141705">
        <w:t xml:space="preserve">. </w:t>
      </w:r>
    </w:p>
    <w:p w14:paraId="5E4FF7A7" w14:textId="7E9EBF0D" w:rsidR="00141705" w:rsidRDefault="00141705" w:rsidP="00141705">
      <w:r>
        <w:tab/>
      </w:r>
      <w:r w:rsidR="00A5501B">
        <w:t>However, looking under the hood of this model, I noticed many discrepancies</w:t>
      </w:r>
      <w:r w:rsidR="00462131">
        <w:t xml:space="preserve">. Using the </w:t>
      </w:r>
      <w:proofErr w:type="spellStart"/>
      <w:r w:rsidR="00462131">
        <w:t>check_model</w:t>
      </w:r>
      <w:proofErr w:type="spellEnd"/>
      <w:r w:rsidR="00462131">
        <w:t xml:space="preserve">() function from the performance package in R, I </w:t>
      </w:r>
      <w:r w:rsidR="00E94DB6">
        <w:t xml:space="preserve">noticed </w:t>
      </w:r>
      <w:r w:rsidR="00FD58F6">
        <w:t>huge deviations from the assumptions of the standard regression model I ran</w:t>
      </w:r>
      <w:r w:rsidR="000C021A">
        <w:t xml:space="preserve"> including violations to linearity, homogeneity of error variance, and normality of errors. </w:t>
      </w:r>
      <w:r w:rsidR="004C6684">
        <w:t>The only issue that did not seem to crop up was multicollinearity</w:t>
      </w:r>
      <w:r w:rsidR="002E7958">
        <w:t xml:space="preserve">, which is often a culprit for reduced estimate sizes, but not in this case. </w:t>
      </w:r>
      <w:r w:rsidR="0043548A">
        <w:t xml:space="preserve">Likely this issue and others </w:t>
      </w:r>
      <w:r w:rsidR="000E7A99">
        <w:t>are</w:t>
      </w:r>
      <w:r w:rsidR="0043548A">
        <w:t xml:space="preserve"> the result of this</w:t>
      </w:r>
      <w:r w:rsidR="00DB0A9F">
        <w:t xml:space="preserve"> outcome variable </w:t>
      </w:r>
      <w:r w:rsidR="00AA0835">
        <w:t xml:space="preserve">being treated as numerical </w:t>
      </w:r>
      <w:r w:rsidR="000E7A99">
        <w:t xml:space="preserve">rather than binomial (accept/reject). This is </w:t>
      </w:r>
      <w:r w:rsidR="00985402">
        <w:t xml:space="preserve">a deeply flawed model </w:t>
      </w:r>
      <w:r w:rsidR="004E267A">
        <w:t xml:space="preserve">that struggles to find anything of substance to get at my original question. </w:t>
      </w:r>
      <w:r w:rsidR="003855EF">
        <w:t xml:space="preserve">The </w:t>
      </w:r>
      <w:r w:rsidR="006B2A60">
        <w:t xml:space="preserve">model </w:t>
      </w:r>
      <w:proofErr w:type="gramStart"/>
      <w:r w:rsidR="006B2A60">
        <w:t>fit compared to</w:t>
      </w:r>
      <w:proofErr w:type="gramEnd"/>
      <w:r w:rsidR="006B2A60">
        <w:t xml:space="preserve"> the original data across scores of GRE verbal are compared in Figure 1</w:t>
      </w:r>
      <w:r w:rsidR="00F35DE5">
        <w:t xml:space="preserve"> below.</w:t>
      </w:r>
    </w:p>
    <w:p w14:paraId="4E057C10" w14:textId="77777777" w:rsidR="00F35DE5" w:rsidRDefault="00F35DE5" w:rsidP="00141705">
      <w:pPr>
        <w:rPr>
          <w:b/>
          <w:bCs/>
        </w:rPr>
      </w:pPr>
    </w:p>
    <w:p w14:paraId="078AA455" w14:textId="77777777" w:rsidR="00F35DE5" w:rsidRDefault="00F35DE5" w:rsidP="00141705">
      <w:pPr>
        <w:rPr>
          <w:b/>
          <w:bCs/>
        </w:rPr>
      </w:pPr>
    </w:p>
    <w:p w14:paraId="5E093BAB" w14:textId="77777777" w:rsidR="00F35DE5" w:rsidRDefault="00F35DE5" w:rsidP="00141705">
      <w:pPr>
        <w:rPr>
          <w:b/>
          <w:bCs/>
        </w:rPr>
      </w:pPr>
    </w:p>
    <w:p w14:paraId="47002D88" w14:textId="6CCF0BEC" w:rsidR="00F35DE5" w:rsidRDefault="00F35DE5" w:rsidP="00141705">
      <w:pPr>
        <w:rPr>
          <w:b/>
          <w:bCs/>
        </w:rPr>
      </w:pPr>
      <w:r>
        <w:rPr>
          <w:b/>
          <w:bCs/>
        </w:rPr>
        <w:lastRenderedPageBreak/>
        <w:t>Figure 1</w:t>
      </w:r>
    </w:p>
    <w:p w14:paraId="33CAEA61" w14:textId="1A18FEC3" w:rsidR="00F35DE5" w:rsidRDefault="00F35DE5" w:rsidP="00141705">
      <w:pPr>
        <w:rPr>
          <w:b/>
          <w:bCs/>
        </w:rPr>
      </w:pPr>
      <w:r>
        <w:rPr>
          <w:b/>
          <w:bCs/>
          <w:noProof/>
        </w:rPr>
        <w:drawing>
          <wp:inline distT="0" distB="0" distL="0" distR="0" wp14:anchorId="35D64C76" wp14:editId="6A034272">
            <wp:extent cx="3286125" cy="3162300"/>
            <wp:effectExtent l="0" t="0" r="9525" b="0"/>
            <wp:docPr id="54042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6125" cy="3162300"/>
                    </a:xfrm>
                    <a:prstGeom prst="rect">
                      <a:avLst/>
                    </a:prstGeom>
                    <a:noFill/>
                  </pic:spPr>
                </pic:pic>
              </a:graphicData>
            </a:graphic>
          </wp:inline>
        </w:drawing>
      </w:r>
    </w:p>
    <w:p w14:paraId="59BEEDBA" w14:textId="74C7DAD9" w:rsidR="00F35DE5" w:rsidRDefault="00582847" w:rsidP="00866A30">
      <w:pPr>
        <w:ind w:right="4050"/>
      </w:pPr>
      <w:r>
        <w:rPr>
          <w:i/>
          <w:iCs/>
        </w:rPr>
        <w:t>Figure 1</w:t>
      </w:r>
      <w:r>
        <w:t xml:space="preserve"> – </w:t>
      </w:r>
      <w:r w:rsidR="00866A30">
        <w:t>Representation of issues of modelling binomial outcomes with linear regression. Th</w:t>
      </w:r>
      <w:r w:rsidR="00CF09A7">
        <w:t xml:space="preserve">e model fit (line in blue) does not fit the data well and even predicts </w:t>
      </w:r>
      <w:r w:rsidR="002F66BA">
        <w:t>negative acceptances for 5</w:t>
      </w:r>
      <w:r w:rsidR="002F66BA" w:rsidRPr="002F66BA">
        <w:rPr>
          <w:vertAlign w:val="superscript"/>
        </w:rPr>
        <w:t>th</w:t>
      </w:r>
      <w:r w:rsidR="002F66BA">
        <w:t xml:space="preserve"> percentile GRE verbal scores and below! </w:t>
      </w:r>
      <w:r w:rsidR="00D23569">
        <w:t xml:space="preserve">Error ribbon represents +/- SE. </w:t>
      </w:r>
    </w:p>
    <w:p w14:paraId="1E824DFC" w14:textId="0AD0353E" w:rsidR="00D23569" w:rsidRDefault="00B72A6A" w:rsidP="00B72A6A">
      <w:r>
        <w:tab/>
      </w:r>
      <w:r w:rsidR="00406A9C">
        <w:t xml:space="preserve">I </w:t>
      </w:r>
      <w:r w:rsidR="006A6B0D">
        <w:t>compared the previous model to a null model including no predictors</w:t>
      </w:r>
      <w:r w:rsidR="00756EC9">
        <w:t xml:space="preserve">. </w:t>
      </w:r>
      <w:r w:rsidR="00B77DDF">
        <w:t xml:space="preserve">Using </w:t>
      </w:r>
      <w:r w:rsidR="00501089">
        <w:t xml:space="preserve">AIC, I compared the fit of the models to each other and the null model </w:t>
      </w:r>
      <w:r w:rsidR="009D083C">
        <w:t>(AIC = 293) fit worse than the previous model (</w:t>
      </w:r>
      <w:r w:rsidR="00CC274A">
        <w:t>AIC = 282)</w:t>
      </w:r>
      <w:r w:rsidR="009D083C">
        <w:t>.</w:t>
      </w:r>
    </w:p>
    <w:p w14:paraId="3CECA0FD" w14:textId="66C4F148" w:rsidR="00A91DC0" w:rsidRDefault="00A91DC0" w:rsidP="00B72A6A">
      <w:r>
        <w:tab/>
        <w:t xml:space="preserve">Finally, I conducted a posterior predictive check on this original model and found that the observed data deviated </w:t>
      </w:r>
      <w:r w:rsidR="00F274EB">
        <w:t xml:space="preserve">drastically from the normally distributed data the model predicted. The distribution of observed data </w:t>
      </w:r>
      <w:r w:rsidR="002D08C2">
        <w:t xml:space="preserve">had two peaks, one larger around 0 and one about 1/3 the size around 1. This hammers home the point that this outcome should not be modelled with a standard linear regression. </w:t>
      </w:r>
    </w:p>
    <w:p w14:paraId="45981BEB" w14:textId="55CC5D12" w:rsidR="00D9443E" w:rsidRDefault="00D9443E" w:rsidP="00B72A6A">
      <w:pPr>
        <w:rPr>
          <w:i/>
          <w:iCs/>
        </w:rPr>
      </w:pPr>
      <w:r>
        <w:rPr>
          <w:i/>
          <w:iCs/>
        </w:rPr>
        <w:t>Part Two</w:t>
      </w:r>
    </w:p>
    <w:p w14:paraId="602B75F6" w14:textId="3304439E" w:rsidR="00D9443E" w:rsidRDefault="00D9443E" w:rsidP="00B72A6A">
      <w:r>
        <w:tab/>
        <w:t xml:space="preserve"> Moving beyond the linear regression, I </w:t>
      </w:r>
      <w:r w:rsidR="003A004F">
        <w:t xml:space="preserve">decided to instead base the model off of the binomial outcome distribution </w:t>
      </w:r>
      <w:r w:rsidR="00154C7B">
        <w:t xml:space="preserve">with a logistic regression. I used the same predictors as before and </w:t>
      </w:r>
      <w:r w:rsidR="00617C4F">
        <w:t xml:space="preserve">ran the model. The </w:t>
      </w:r>
      <w:r w:rsidR="00100958">
        <w:t xml:space="preserve">model results are summarized in Table 2 below, and </w:t>
      </w:r>
      <w:r w:rsidR="009C658E">
        <w:t xml:space="preserve">like before, there were no significant estimates. </w:t>
      </w:r>
      <w:r w:rsidR="00AB4986">
        <w:t>Again, the general direction of the estimates indicated a positive relationship</w:t>
      </w:r>
      <w:r w:rsidR="002B6D61">
        <w:t xml:space="preserve">, with higher GRE scores and GPA resulting in a higher probability of acceptance. </w:t>
      </w:r>
    </w:p>
    <w:p w14:paraId="06386FEC" w14:textId="42A0F5B1" w:rsidR="009C658E" w:rsidRDefault="009C658E" w:rsidP="00B72A6A">
      <w:pPr>
        <w:rPr>
          <w:b/>
          <w:bCs/>
        </w:rPr>
      </w:pPr>
      <w:r>
        <w:rPr>
          <w:b/>
          <w:bCs/>
        </w:rPr>
        <w:t>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488"/>
        <w:gridCol w:w="1489"/>
        <w:gridCol w:w="1489"/>
        <w:gridCol w:w="1489"/>
      </w:tblGrid>
      <w:tr w:rsidR="009C658E" w14:paraId="6F481DE1" w14:textId="77777777" w:rsidTr="00D92A18">
        <w:trPr>
          <w:trHeight w:val="458"/>
        </w:trPr>
        <w:tc>
          <w:tcPr>
            <w:tcW w:w="1870" w:type="dxa"/>
            <w:tcBorders>
              <w:top w:val="single" w:sz="4" w:space="0" w:color="auto"/>
              <w:bottom w:val="single" w:sz="4" w:space="0" w:color="auto"/>
            </w:tcBorders>
            <w:vAlign w:val="center"/>
          </w:tcPr>
          <w:p w14:paraId="77769F70" w14:textId="77777777" w:rsidR="009C658E" w:rsidRPr="00964EF8" w:rsidRDefault="009C658E" w:rsidP="00D92A18">
            <w:r w:rsidRPr="00964EF8">
              <w:t>Term</w:t>
            </w:r>
          </w:p>
        </w:tc>
        <w:tc>
          <w:tcPr>
            <w:tcW w:w="1488" w:type="dxa"/>
            <w:tcBorders>
              <w:top w:val="single" w:sz="4" w:space="0" w:color="auto"/>
              <w:bottom w:val="single" w:sz="4" w:space="0" w:color="auto"/>
            </w:tcBorders>
            <w:vAlign w:val="center"/>
          </w:tcPr>
          <w:p w14:paraId="1CCF848D" w14:textId="77777777" w:rsidR="009C658E" w:rsidRPr="00964EF8" w:rsidRDefault="009C658E" w:rsidP="00D92A18">
            <w:pPr>
              <w:jc w:val="center"/>
            </w:pPr>
            <w:r>
              <w:t>B</w:t>
            </w:r>
          </w:p>
        </w:tc>
        <w:tc>
          <w:tcPr>
            <w:tcW w:w="1489" w:type="dxa"/>
            <w:tcBorders>
              <w:top w:val="single" w:sz="4" w:space="0" w:color="auto"/>
              <w:bottom w:val="single" w:sz="4" w:space="0" w:color="auto"/>
            </w:tcBorders>
            <w:vAlign w:val="center"/>
          </w:tcPr>
          <w:p w14:paraId="601CC83F" w14:textId="77777777" w:rsidR="009C658E" w:rsidRPr="00964EF8" w:rsidRDefault="009C658E" w:rsidP="00D92A18">
            <w:pPr>
              <w:jc w:val="center"/>
            </w:pPr>
            <w:r>
              <w:t>SE</w:t>
            </w:r>
          </w:p>
        </w:tc>
        <w:tc>
          <w:tcPr>
            <w:tcW w:w="1489" w:type="dxa"/>
            <w:tcBorders>
              <w:top w:val="single" w:sz="4" w:space="0" w:color="auto"/>
              <w:bottom w:val="single" w:sz="4" w:space="0" w:color="auto"/>
            </w:tcBorders>
            <w:vAlign w:val="center"/>
          </w:tcPr>
          <w:p w14:paraId="4B3B0D7A" w14:textId="77777777" w:rsidR="009C658E" w:rsidRPr="009E0AA6" w:rsidRDefault="009C658E" w:rsidP="00D92A18">
            <w:pPr>
              <w:jc w:val="center"/>
            </w:pPr>
            <w:r>
              <w:t>t</w:t>
            </w:r>
          </w:p>
        </w:tc>
        <w:tc>
          <w:tcPr>
            <w:tcW w:w="1489" w:type="dxa"/>
            <w:tcBorders>
              <w:top w:val="single" w:sz="4" w:space="0" w:color="auto"/>
              <w:bottom w:val="single" w:sz="4" w:space="0" w:color="auto"/>
            </w:tcBorders>
            <w:vAlign w:val="center"/>
          </w:tcPr>
          <w:p w14:paraId="3380CD13" w14:textId="77777777" w:rsidR="009C658E" w:rsidRPr="009E0AA6" w:rsidRDefault="009C658E" w:rsidP="00D92A18">
            <w:pPr>
              <w:jc w:val="center"/>
            </w:pPr>
            <w:r>
              <w:t>p</w:t>
            </w:r>
          </w:p>
        </w:tc>
      </w:tr>
      <w:tr w:rsidR="009C658E" w14:paraId="63C48877" w14:textId="77777777" w:rsidTr="00D92A18">
        <w:trPr>
          <w:trHeight w:val="351"/>
        </w:trPr>
        <w:tc>
          <w:tcPr>
            <w:tcW w:w="1870" w:type="dxa"/>
            <w:tcBorders>
              <w:top w:val="single" w:sz="4" w:space="0" w:color="auto"/>
            </w:tcBorders>
            <w:vAlign w:val="center"/>
          </w:tcPr>
          <w:p w14:paraId="3CAF219F" w14:textId="77777777" w:rsidR="009C658E" w:rsidRPr="00DC38EF" w:rsidRDefault="009C658E" w:rsidP="00D92A18">
            <w:r w:rsidRPr="00DC38EF">
              <w:lastRenderedPageBreak/>
              <w:t>Intercept</w:t>
            </w:r>
          </w:p>
        </w:tc>
        <w:tc>
          <w:tcPr>
            <w:tcW w:w="1488" w:type="dxa"/>
            <w:tcBorders>
              <w:top w:val="single" w:sz="4" w:space="0" w:color="auto"/>
            </w:tcBorders>
            <w:vAlign w:val="center"/>
          </w:tcPr>
          <w:p w14:paraId="25A9A55C" w14:textId="1006A99A" w:rsidR="009C658E" w:rsidRPr="00DC38EF" w:rsidRDefault="009C658E" w:rsidP="00D92A18">
            <w:pPr>
              <w:tabs>
                <w:tab w:val="decimal" w:pos="90"/>
              </w:tabs>
              <w:jc w:val="center"/>
            </w:pPr>
            <w:r w:rsidRPr="00DC38EF">
              <w:t>-</w:t>
            </w:r>
            <w:r w:rsidR="004D4E92">
              <w:t>6.04</w:t>
            </w:r>
          </w:p>
        </w:tc>
        <w:tc>
          <w:tcPr>
            <w:tcW w:w="1489" w:type="dxa"/>
            <w:tcBorders>
              <w:top w:val="single" w:sz="4" w:space="0" w:color="auto"/>
            </w:tcBorders>
            <w:vAlign w:val="center"/>
          </w:tcPr>
          <w:p w14:paraId="783970AB" w14:textId="79421EE2" w:rsidR="009C658E" w:rsidRPr="00DC38EF" w:rsidRDefault="004D4E92" w:rsidP="00D92A18">
            <w:pPr>
              <w:jc w:val="center"/>
            </w:pPr>
            <w:r>
              <w:t>1.81</w:t>
            </w:r>
          </w:p>
        </w:tc>
        <w:tc>
          <w:tcPr>
            <w:tcW w:w="1489" w:type="dxa"/>
            <w:tcBorders>
              <w:top w:val="single" w:sz="4" w:space="0" w:color="auto"/>
            </w:tcBorders>
            <w:vAlign w:val="center"/>
          </w:tcPr>
          <w:p w14:paraId="4EA43D71" w14:textId="4FE11F65" w:rsidR="009C658E" w:rsidRPr="00DC38EF" w:rsidRDefault="009C658E" w:rsidP="00D92A18">
            <w:pPr>
              <w:tabs>
                <w:tab w:val="decimal" w:pos="220"/>
              </w:tabs>
              <w:jc w:val="center"/>
            </w:pPr>
            <w:r w:rsidRPr="00DC38EF">
              <w:t>-</w:t>
            </w:r>
            <w:r w:rsidR="004D4E92">
              <w:t>3.33</w:t>
            </w:r>
          </w:p>
        </w:tc>
        <w:tc>
          <w:tcPr>
            <w:tcW w:w="1489" w:type="dxa"/>
            <w:tcBorders>
              <w:top w:val="single" w:sz="4" w:space="0" w:color="auto"/>
            </w:tcBorders>
            <w:vAlign w:val="center"/>
          </w:tcPr>
          <w:p w14:paraId="0DD5F27E" w14:textId="6C8F9AB3" w:rsidR="009C658E" w:rsidRPr="00DC38EF" w:rsidRDefault="004D4E92" w:rsidP="00D92A18">
            <w:pPr>
              <w:tabs>
                <w:tab w:val="decimal" w:pos="150"/>
              </w:tabs>
              <w:jc w:val="center"/>
            </w:pPr>
            <w:r>
              <w:t>&lt;.001</w:t>
            </w:r>
          </w:p>
        </w:tc>
      </w:tr>
      <w:tr w:rsidR="009C658E" w14:paraId="509FC87E" w14:textId="77777777" w:rsidTr="00D92A18">
        <w:trPr>
          <w:trHeight w:val="351"/>
        </w:trPr>
        <w:tc>
          <w:tcPr>
            <w:tcW w:w="1870" w:type="dxa"/>
            <w:vAlign w:val="center"/>
          </w:tcPr>
          <w:p w14:paraId="05B41C05" w14:textId="77777777" w:rsidR="009C658E" w:rsidRPr="00DC38EF" w:rsidRDefault="009C658E" w:rsidP="00D92A18">
            <w:r w:rsidRPr="00DC38EF">
              <w:t xml:space="preserve">  GREQ</w:t>
            </w:r>
          </w:p>
        </w:tc>
        <w:tc>
          <w:tcPr>
            <w:tcW w:w="1488" w:type="dxa"/>
            <w:vAlign w:val="center"/>
          </w:tcPr>
          <w:p w14:paraId="69A396AC" w14:textId="2E01E132" w:rsidR="009C658E" w:rsidRPr="00DC38EF" w:rsidRDefault="009C658E" w:rsidP="00D92A18">
            <w:pPr>
              <w:tabs>
                <w:tab w:val="decimal" w:pos="90"/>
              </w:tabs>
              <w:jc w:val="center"/>
            </w:pPr>
            <w:r w:rsidRPr="00DC38EF">
              <w:t>.0</w:t>
            </w:r>
            <w:r w:rsidR="00557EAC">
              <w:t>17</w:t>
            </w:r>
          </w:p>
        </w:tc>
        <w:tc>
          <w:tcPr>
            <w:tcW w:w="1489" w:type="dxa"/>
            <w:vAlign w:val="center"/>
          </w:tcPr>
          <w:p w14:paraId="43D840CA" w14:textId="59EE79C3" w:rsidR="009C658E" w:rsidRPr="00DC38EF" w:rsidRDefault="009C658E" w:rsidP="00D92A18">
            <w:pPr>
              <w:jc w:val="center"/>
            </w:pPr>
            <w:r w:rsidRPr="00DC38EF">
              <w:t>.01</w:t>
            </w:r>
          </w:p>
        </w:tc>
        <w:tc>
          <w:tcPr>
            <w:tcW w:w="1489" w:type="dxa"/>
            <w:vAlign w:val="center"/>
          </w:tcPr>
          <w:p w14:paraId="5A3A6C55" w14:textId="30161348" w:rsidR="009C658E" w:rsidRPr="00DC38EF" w:rsidRDefault="009C658E" w:rsidP="00D92A18">
            <w:pPr>
              <w:tabs>
                <w:tab w:val="decimal" w:pos="220"/>
              </w:tabs>
              <w:jc w:val="center"/>
            </w:pPr>
            <w:r w:rsidRPr="00DC38EF">
              <w:t>1.8</w:t>
            </w:r>
            <w:r w:rsidR="00BE492F">
              <w:t>0</w:t>
            </w:r>
          </w:p>
        </w:tc>
        <w:tc>
          <w:tcPr>
            <w:tcW w:w="1489" w:type="dxa"/>
            <w:vAlign w:val="center"/>
          </w:tcPr>
          <w:p w14:paraId="0E5AE8C0" w14:textId="5066CFA8" w:rsidR="009C658E" w:rsidRPr="00DC38EF" w:rsidRDefault="009C658E" w:rsidP="00D92A18">
            <w:pPr>
              <w:tabs>
                <w:tab w:val="decimal" w:pos="150"/>
              </w:tabs>
              <w:jc w:val="center"/>
            </w:pPr>
            <w:r w:rsidRPr="00DC38EF">
              <w:t>.</w:t>
            </w:r>
            <w:r w:rsidR="00F44C5E">
              <w:t>071</w:t>
            </w:r>
          </w:p>
        </w:tc>
      </w:tr>
      <w:tr w:rsidR="009C658E" w14:paraId="166AD5F8" w14:textId="77777777" w:rsidTr="00D92A18">
        <w:trPr>
          <w:trHeight w:val="351"/>
        </w:trPr>
        <w:tc>
          <w:tcPr>
            <w:tcW w:w="1870" w:type="dxa"/>
            <w:vAlign w:val="center"/>
          </w:tcPr>
          <w:p w14:paraId="1CDB7333" w14:textId="77777777" w:rsidR="009C658E" w:rsidRPr="00DC38EF" w:rsidRDefault="009C658E" w:rsidP="00D92A18">
            <w:r w:rsidRPr="00DC38EF">
              <w:t xml:space="preserve">  GREV</w:t>
            </w:r>
          </w:p>
        </w:tc>
        <w:tc>
          <w:tcPr>
            <w:tcW w:w="1488" w:type="dxa"/>
            <w:vAlign w:val="center"/>
          </w:tcPr>
          <w:p w14:paraId="29DF34CF" w14:textId="7E9745A2" w:rsidR="009C658E" w:rsidRPr="00DC38EF" w:rsidRDefault="009C658E" w:rsidP="00D92A18">
            <w:pPr>
              <w:tabs>
                <w:tab w:val="decimal" w:pos="90"/>
              </w:tabs>
              <w:jc w:val="center"/>
            </w:pPr>
            <w:r w:rsidRPr="00DC38EF">
              <w:t>.0</w:t>
            </w:r>
            <w:r w:rsidR="00557EAC">
              <w:t>16</w:t>
            </w:r>
          </w:p>
        </w:tc>
        <w:tc>
          <w:tcPr>
            <w:tcW w:w="1489" w:type="dxa"/>
            <w:vAlign w:val="center"/>
          </w:tcPr>
          <w:p w14:paraId="72F9B566" w14:textId="69ED90F6" w:rsidR="009C658E" w:rsidRPr="00DC38EF" w:rsidRDefault="009C658E" w:rsidP="00D92A18">
            <w:pPr>
              <w:jc w:val="center"/>
            </w:pPr>
            <w:r w:rsidRPr="00DC38EF">
              <w:t>.0</w:t>
            </w:r>
            <w:r w:rsidR="004250FD">
              <w:t>09</w:t>
            </w:r>
          </w:p>
        </w:tc>
        <w:tc>
          <w:tcPr>
            <w:tcW w:w="1489" w:type="dxa"/>
            <w:vAlign w:val="center"/>
          </w:tcPr>
          <w:p w14:paraId="70B0FFD7" w14:textId="6A45F583" w:rsidR="009C658E" w:rsidRPr="00DC38EF" w:rsidRDefault="009C658E" w:rsidP="00D92A18">
            <w:pPr>
              <w:tabs>
                <w:tab w:val="decimal" w:pos="220"/>
              </w:tabs>
              <w:jc w:val="center"/>
            </w:pPr>
            <w:r w:rsidRPr="00DC38EF">
              <w:t>1.</w:t>
            </w:r>
            <w:r w:rsidR="00BE492F">
              <w:t>85</w:t>
            </w:r>
          </w:p>
        </w:tc>
        <w:tc>
          <w:tcPr>
            <w:tcW w:w="1489" w:type="dxa"/>
            <w:vAlign w:val="center"/>
          </w:tcPr>
          <w:p w14:paraId="5153C9A0" w14:textId="7C6451B2" w:rsidR="009C658E" w:rsidRPr="00DC38EF" w:rsidRDefault="009C658E" w:rsidP="00D92A18">
            <w:pPr>
              <w:tabs>
                <w:tab w:val="decimal" w:pos="150"/>
              </w:tabs>
              <w:jc w:val="center"/>
            </w:pPr>
            <w:r w:rsidRPr="00DC38EF">
              <w:t>.0</w:t>
            </w:r>
            <w:r w:rsidR="00F44C5E">
              <w:t>64</w:t>
            </w:r>
          </w:p>
        </w:tc>
      </w:tr>
      <w:tr w:rsidR="009C658E" w14:paraId="7D9FE22F" w14:textId="77777777" w:rsidTr="00D92A18">
        <w:trPr>
          <w:trHeight w:val="351"/>
        </w:trPr>
        <w:tc>
          <w:tcPr>
            <w:tcW w:w="1870" w:type="dxa"/>
            <w:vAlign w:val="center"/>
          </w:tcPr>
          <w:p w14:paraId="1B9F5294" w14:textId="77777777" w:rsidR="009C658E" w:rsidRPr="00DC38EF" w:rsidRDefault="009C658E" w:rsidP="00D92A18">
            <w:r w:rsidRPr="00DC38EF">
              <w:t xml:space="preserve">  GREAW</w:t>
            </w:r>
          </w:p>
        </w:tc>
        <w:tc>
          <w:tcPr>
            <w:tcW w:w="1488" w:type="dxa"/>
            <w:vAlign w:val="center"/>
          </w:tcPr>
          <w:p w14:paraId="4A2FB62E" w14:textId="0F81A266" w:rsidR="009C658E" w:rsidRPr="00DC38EF" w:rsidRDefault="009C658E" w:rsidP="00D92A18">
            <w:pPr>
              <w:tabs>
                <w:tab w:val="decimal" w:pos="90"/>
              </w:tabs>
              <w:jc w:val="center"/>
            </w:pPr>
            <w:r w:rsidRPr="00DC38EF">
              <w:t>.00</w:t>
            </w:r>
            <w:r w:rsidR="004250FD">
              <w:t>5</w:t>
            </w:r>
          </w:p>
        </w:tc>
        <w:tc>
          <w:tcPr>
            <w:tcW w:w="1489" w:type="dxa"/>
            <w:vAlign w:val="center"/>
          </w:tcPr>
          <w:p w14:paraId="236CE851" w14:textId="3F2B49B4" w:rsidR="009C658E" w:rsidRPr="00DC38EF" w:rsidRDefault="009C658E" w:rsidP="00D92A18">
            <w:pPr>
              <w:jc w:val="center"/>
            </w:pPr>
            <w:r w:rsidRPr="00DC38EF">
              <w:t>.00</w:t>
            </w:r>
            <w:r w:rsidR="004250FD">
              <w:t>7</w:t>
            </w:r>
          </w:p>
        </w:tc>
        <w:tc>
          <w:tcPr>
            <w:tcW w:w="1489" w:type="dxa"/>
            <w:vAlign w:val="center"/>
          </w:tcPr>
          <w:p w14:paraId="24192A98" w14:textId="5B69F6EA" w:rsidR="009C658E" w:rsidRPr="00DC38EF" w:rsidRDefault="009C658E" w:rsidP="00D92A18">
            <w:pPr>
              <w:tabs>
                <w:tab w:val="decimal" w:pos="220"/>
              </w:tabs>
              <w:jc w:val="center"/>
            </w:pPr>
            <w:r w:rsidRPr="00DC38EF">
              <w:t>.</w:t>
            </w:r>
            <w:r w:rsidR="00BE492F">
              <w:t>73</w:t>
            </w:r>
          </w:p>
        </w:tc>
        <w:tc>
          <w:tcPr>
            <w:tcW w:w="1489" w:type="dxa"/>
            <w:vAlign w:val="center"/>
          </w:tcPr>
          <w:p w14:paraId="7483C169" w14:textId="26BA48A0" w:rsidR="009C658E" w:rsidRPr="00DC38EF" w:rsidRDefault="009C658E" w:rsidP="00D92A18">
            <w:pPr>
              <w:tabs>
                <w:tab w:val="decimal" w:pos="150"/>
              </w:tabs>
              <w:jc w:val="center"/>
            </w:pPr>
            <w:r w:rsidRPr="00DC38EF">
              <w:t>.</w:t>
            </w:r>
            <w:r w:rsidR="00F44C5E">
              <w:t>462</w:t>
            </w:r>
          </w:p>
        </w:tc>
      </w:tr>
      <w:tr w:rsidR="009C658E" w14:paraId="36288EA4" w14:textId="77777777" w:rsidTr="00D92A18">
        <w:trPr>
          <w:trHeight w:val="351"/>
        </w:trPr>
        <w:tc>
          <w:tcPr>
            <w:tcW w:w="1870" w:type="dxa"/>
            <w:tcBorders>
              <w:bottom w:val="single" w:sz="4" w:space="0" w:color="auto"/>
            </w:tcBorders>
            <w:vAlign w:val="center"/>
          </w:tcPr>
          <w:p w14:paraId="79B52DD1" w14:textId="77777777" w:rsidR="009C658E" w:rsidRPr="00DC38EF" w:rsidRDefault="009C658E" w:rsidP="00D92A18">
            <w:r w:rsidRPr="00DC38EF">
              <w:t xml:space="preserve">  GPA</w:t>
            </w:r>
          </w:p>
        </w:tc>
        <w:tc>
          <w:tcPr>
            <w:tcW w:w="1488" w:type="dxa"/>
            <w:tcBorders>
              <w:bottom w:val="single" w:sz="4" w:space="0" w:color="auto"/>
            </w:tcBorders>
            <w:vAlign w:val="center"/>
          </w:tcPr>
          <w:p w14:paraId="36AB97CC" w14:textId="67FC0DBF" w:rsidR="009C658E" w:rsidRPr="00DC38EF" w:rsidRDefault="009C658E" w:rsidP="00D92A18">
            <w:pPr>
              <w:tabs>
                <w:tab w:val="decimal" w:pos="90"/>
              </w:tabs>
              <w:jc w:val="center"/>
            </w:pPr>
            <w:r w:rsidRPr="00DC38EF">
              <w:t>.</w:t>
            </w:r>
            <w:r w:rsidR="004250FD">
              <w:t>720</w:t>
            </w:r>
          </w:p>
        </w:tc>
        <w:tc>
          <w:tcPr>
            <w:tcW w:w="1489" w:type="dxa"/>
            <w:tcBorders>
              <w:bottom w:val="single" w:sz="4" w:space="0" w:color="auto"/>
            </w:tcBorders>
            <w:vAlign w:val="center"/>
          </w:tcPr>
          <w:p w14:paraId="6FEB4419" w14:textId="1B2EEDEA" w:rsidR="009C658E" w:rsidRPr="00DC38EF" w:rsidRDefault="009C658E" w:rsidP="00D92A18">
            <w:pPr>
              <w:jc w:val="center"/>
            </w:pPr>
            <w:r w:rsidRPr="00DC38EF">
              <w:t>.</w:t>
            </w:r>
            <w:r w:rsidR="004250FD">
              <w:t>503</w:t>
            </w:r>
          </w:p>
        </w:tc>
        <w:tc>
          <w:tcPr>
            <w:tcW w:w="1489" w:type="dxa"/>
            <w:tcBorders>
              <w:bottom w:val="single" w:sz="4" w:space="0" w:color="auto"/>
            </w:tcBorders>
            <w:vAlign w:val="center"/>
          </w:tcPr>
          <w:p w14:paraId="2FA06EDD" w14:textId="1FEF7ACE" w:rsidR="009C658E" w:rsidRPr="00DC38EF" w:rsidRDefault="009C658E" w:rsidP="00D92A18">
            <w:pPr>
              <w:tabs>
                <w:tab w:val="decimal" w:pos="220"/>
              </w:tabs>
              <w:jc w:val="center"/>
            </w:pPr>
            <w:r w:rsidRPr="00DC38EF">
              <w:t>1.</w:t>
            </w:r>
            <w:r w:rsidR="00BE492F">
              <w:t>43</w:t>
            </w:r>
          </w:p>
        </w:tc>
        <w:tc>
          <w:tcPr>
            <w:tcW w:w="1489" w:type="dxa"/>
            <w:tcBorders>
              <w:bottom w:val="single" w:sz="4" w:space="0" w:color="auto"/>
            </w:tcBorders>
            <w:vAlign w:val="center"/>
          </w:tcPr>
          <w:p w14:paraId="38C9F0D3" w14:textId="40BC380E" w:rsidR="009C658E" w:rsidRPr="00DC38EF" w:rsidRDefault="009C658E" w:rsidP="00D92A18">
            <w:pPr>
              <w:tabs>
                <w:tab w:val="decimal" w:pos="150"/>
              </w:tabs>
              <w:jc w:val="center"/>
            </w:pPr>
            <w:r w:rsidRPr="00DC38EF">
              <w:t>.</w:t>
            </w:r>
            <w:r w:rsidR="00F44C5E">
              <w:t>152</w:t>
            </w:r>
          </w:p>
        </w:tc>
      </w:tr>
    </w:tbl>
    <w:p w14:paraId="3DD3ADEE" w14:textId="4BD6E74F" w:rsidR="009C658E" w:rsidRDefault="00557EAC" w:rsidP="00557EAC">
      <w:pPr>
        <w:ind w:right="1440"/>
      </w:pPr>
      <w:r>
        <w:rPr>
          <w:i/>
          <w:iCs/>
        </w:rPr>
        <w:t xml:space="preserve">Note. </w:t>
      </w:r>
      <w:r w:rsidR="0011196E">
        <w:t xml:space="preserve">Model results for the logistic regression using GRE section scores and GPA to predict </w:t>
      </w:r>
      <w:r w:rsidR="00AB4986">
        <w:t xml:space="preserve">probability of being accepted into the program. </w:t>
      </w:r>
      <w:r w:rsidR="00371690">
        <w:t xml:space="preserve">Estimates and standard errors are </w:t>
      </w:r>
      <w:r w:rsidR="000F2D1B">
        <w:t xml:space="preserve">the log odds of being accepted compared to </w:t>
      </w:r>
      <w:r w:rsidR="002B2ACE">
        <w:t xml:space="preserve">being rejected. Positive values indicate higher odds of acceptance and negative values indicate lower odds. </w:t>
      </w:r>
    </w:p>
    <w:p w14:paraId="7A31A1D3" w14:textId="6242AA16" w:rsidR="002B2ACE" w:rsidRDefault="002B2ACE" w:rsidP="002B2ACE">
      <w:r>
        <w:tab/>
        <w:t xml:space="preserve">The results of the model are displayed in Figure 1 below. </w:t>
      </w:r>
    </w:p>
    <w:p w14:paraId="0B3912D8" w14:textId="65E2FDA5" w:rsidR="002B2ACE" w:rsidRDefault="002B2ACE" w:rsidP="002B2ACE">
      <w:pPr>
        <w:rPr>
          <w:b/>
          <w:bCs/>
        </w:rPr>
      </w:pPr>
      <w:r>
        <w:rPr>
          <w:b/>
          <w:bCs/>
        </w:rPr>
        <w:t>Figure 2</w:t>
      </w:r>
    </w:p>
    <w:p w14:paraId="6653ABE8" w14:textId="26DE96F8" w:rsidR="002B2ACE" w:rsidRDefault="005C1BC0" w:rsidP="002B2ACE">
      <w:r>
        <w:rPr>
          <w:noProof/>
        </w:rPr>
        <w:drawing>
          <wp:inline distT="0" distB="0" distL="0" distR="0" wp14:anchorId="1049EDCB" wp14:editId="1B54FF9B">
            <wp:extent cx="3905250" cy="3162300"/>
            <wp:effectExtent l="0" t="0" r="0" b="0"/>
            <wp:docPr id="1041245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3162300"/>
                    </a:xfrm>
                    <a:prstGeom prst="rect">
                      <a:avLst/>
                    </a:prstGeom>
                    <a:noFill/>
                  </pic:spPr>
                </pic:pic>
              </a:graphicData>
            </a:graphic>
          </wp:inline>
        </w:drawing>
      </w:r>
    </w:p>
    <w:p w14:paraId="0CCB57B5" w14:textId="569122DE" w:rsidR="002A1A29" w:rsidRDefault="00CA0F0D" w:rsidP="00AA3228">
      <w:pPr>
        <w:ind w:right="2880"/>
      </w:pPr>
      <w:r>
        <w:rPr>
          <w:i/>
          <w:iCs/>
        </w:rPr>
        <w:t>Figure 2</w:t>
      </w:r>
      <w:r>
        <w:t xml:space="preserve"> – </w:t>
      </w:r>
      <w:r w:rsidR="00575154">
        <w:t>Plotted model fit over the original binomial data</w:t>
      </w:r>
      <w:r w:rsidR="00EB0613">
        <w:t xml:space="preserve">. The blue line is the </w:t>
      </w:r>
      <w:r w:rsidR="00AA3228">
        <w:t xml:space="preserve">model fit created by </w:t>
      </w:r>
      <w:proofErr w:type="spellStart"/>
      <w:r w:rsidR="00AA3228">
        <w:t>stat_smooth</w:t>
      </w:r>
      <w:proofErr w:type="spellEnd"/>
      <w:r w:rsidR="00AA3228">
        <w:t>()</w:t>
      </w:r>
      <w:r w:rsidR="004B5616">
        <w:t xml:space="preserve">. </w:t>
      </w:r>
      <w:r w:rsidR="00D53227">
        <w:t xml:space="preserve">This model does a much better job at predicting the binomial data by avoiding making non-sensical predictions about </w:t>
      </w:r>
      <w:r w:rsidR="000A3537">
        <w:t xml:space="preserve">negative probabilities of acceptance. </w:t>
      </w:r>
      <w:r w:rsidR="00B33A8D">
        <w:t xml:space="preserve">Error ribbons represent </w:t>
      </w:r>
      <w:r w:rsidR="008C65D0">
        <w:t>+/- SE.</w:t>
      </w:r>
    </w:p>
    <w:p w14:paraId="431846F6" w14:textId="77777777" w:rsidR="0086040D" w:rsidRDefault="008C65D0" w:rsidP="008C65D0">
      <w:r>
        <w:tab/>
      </w:r>
      <w:r w:rsidR="00201E7C">
        <w:t xml:space="preserve">The logistic model provides an accurate estimation of the constraints of binomial outcome data. It does not </w:t>
      </w:r>
      <w:r w:rsidR="00235336">
        <w:t xml:space="preserve">predict past floors in the outcome </w:t>
      </w:r>
      <w:r w:rsidR="009808DF">
        <w:t xml:space="preserve">and does not violate assumptions like </w:t>
      </w:r>
      <w:r w:rsidR="0086040D">
        <w:t>the</w:t>
      </w:r>
      <w:r w:rsidR="009808DF">
        <w:t xml:space="preserve"> </w:t>
      </w:r>
      <w:r w:rsidR="0086040D">
        <w:t xml:space="preserve">previous </w:t>
      </w:r>
      <w:r w:rsidR="009808DF">
        <w:t>linear regression.</w:t>
      </w:r>
    </w:p>
    <w:p w14:paraId="5C276C3A" w14:textId="77777777" w:rsidR="009B655F" w:rsidRDefault="009B655F" w:rsidP="008C65D0">
      <w:pPr>
        <w:rPr>
          <w:i/>
          <w:iCs/>
        </w:rPr>
      </w:pPr>
    </w:p>
    <w:p w14:paraId="2EE6A20A" w14:textId="77777777" w:rsidR="009B655F" w:rsidRDefault="009B655F" w:rsidP="008C65D0">
      <w:pPr>
        <w:rPr>
          <w:i/>
          <w:iCs/>
        </w:rPr>
      </w:pPr>
    </w:p>
    <w:p w14:paraId="1C516A8D" w14:textId="6F6FCBB4" w:rsidR="0086040D" w:rsidRDefault="0086040D" w:rsidP="008C65D0">
      <w:pPr>
        <w:rPr>
          <w:i/>
          <w:iCs/>
        </w:rPr>
      </w:pPr>
      <w:r>
        <w:rPr>
          <w:i/>
          <w:iCs/>
        </w:rPr>
        <w:lastRenderedPageBreak/>
        <w:t>Part Three</w:t>
      </w:r>
    </w:p>
    <w:p w14:paraId="4E51115E" w14:textId="3EEF07FA" w:rsidR="008C65D0" w:rsidRDefault="0086040D" w:rsidP="008C65D0">
      <w:r>
        <w:tab/>
      </w:r>
      <w:r w:rsidR="00F7295C">
        <w:t xml:space="preserve">To explore this data further, I </w:t>
      </w:r>
      <w:r w:rsidR="00873450">
        <w:t xml:space="preserve">wanted to </w:t>
      </w:r>
      <w:r w:rsidR="008142ED">
        <w:t xml:space="preserve">see if these quantitative measures of applications were differentially weighted by the applied program within the department. </w:t>
      </w:r>
      <w:r w:rsidR="00520A7B">
        <w:t xml:space="preserve">So, I ran another logistic regression with the same predictors </w:t>
      </w:r>
      <w:r w:rsidR="00235F14">
        <w:t xml:space="preserve">and outcome </w:t>
      </w:r>
      <w:r w:rsidR="00207AD4">
        <w:t xml:space="preserve">as the previous </w:t>
      </w:r>
      <w:r w:rsidR="007A46FC">
        <w:t>models and</w:t>
      </w:r>
      <w:r w:rsidR="00207AD4">
        <w:t xml:space="preserve"> </w:t>
      </w:r>
      <w:r w:rsidR="007134D9">
        <w:t xml:space="preserve">added in which program they applied to as a dummy-coded categorical predictor. </w:t>
      </w:r>
      <w:r w:rsidR="007A46FC">
        <w:t>The results of the model are summarized in Table 3</w:t>
      </w:r>
      <w:r w:rsidR="00337CE8">
        <w:t xml:space="preserve">, and </w:t>
      </w:r>
      <w:r w:rsidR="00FB44F0">
        <w:t xml:space="preserve">there were significant estimates that emerged from this model. The </w:t>
      </w:r>
      <w:r w:rsidR="003D4FFD">
        <w:t xml:space="preserve">estimate for an industrial-organizational application </w:t>
      </w:r>
      <w:r w:rsidR="00EA5745">
        <w:t>(</w:t>
      </w:r>
      <w:r w:rsidR="00404C41">
        <w:rPr>
          <w:i/>
          <w:iCs/>
        </w:rPr>
        <w:t>B</w:t>
      </w:r>
      <w:r w:rsidR="00404C41">
        <w:t xml:space="preserve"> = -1.25, </w:t>
      </w:r>
      <w:r w:rsidR="00404C41">
        <w:rPr>
          <w:i/>
          <w:iCs/>
        </w:rPr>
        <w:t>SE</w:t>
      </w:r>
      <w:r w:rsidR="00404C41">
        <w:t xml:space="preserve"> = .494, </w:t>
      </w:r>
      <w:r w:rsidR="00404C41">
        <w:rPr>
          <w:i/>
          <w:iCs/>
        </w:rPr>
        <w:t>p</w:t>
      </w:r>
      <w:r w:rsidR="00404C41">
        <w:t xml:space="preserve"> = </w:t>
      </w:r>
      <w:r w:rsidR="007E70B8">
        <w:t>.011)</w:t>
      </w:r>
      <w:r w:rsidR="00B211B4">
        <w:t xml:space="preserve">, social/personality application </w:t>
      </w:r>
      <w:r w:rsidR="00B211B4">
        <w:t>(</w:t>
      </w:r>
      <w:r w:rsidR="00B211B4">
        <w:rPr>
          <w:i/>
          <w:iCs/>
        </w:rPr>
        <w:t>B</w:t>
      </w:r>
      <w:r w:rsidR="00B211B4">
        <w:t xml:space="preserve"> = -1.</w:t>
      </w:r>
      <w:r w:rsidR="00B211B4">
        <w:t>56</w:t>
      </w:r>
      <w:r w:rsidR="00B211B4">
        <w:t xml:space="preserve">, </w:t>
      </w:r>
      <w:r w:rsidR="00B211B4">
        <w:rPr>
          <w:i/>
          <w:iCs/>
        </w:rPr>
        <w:t>SE</w:t>
      </w:r>
      <w:r w:rsidR="00B211B4">
        <w:t xml:space="preserve"> = .</w:t>
      </w:r>
      <w:r w:rsidR="00B211B4">
        <w:t>5</w:t>
      </w:r>
      <w:r w:rsidR="00B211B4">
        <w:t xml:space="preserve">, </w:t>
      </w:r>
      <w:r w:rsidR="00B211B4">
        <w:rPr>
          <w:i/>
          <w:iCs/>
        </w:rPr>
        <w:t>p</w:t>
      </w:r>
      <w:r w:rsidR="00B211B4">
        <w:t xml:space="preserve"> = .0</w:t>
      </w:r>
      <w:r w:rsidR="00234E7D">
        <w:t>02</w:t>
      </w:r>
      <w:r w:rsidR="00B211B4">
        <w:t>),</w:t>
      </w:r>
      <w:r w:rsidR="00234E7D">
        <w:t xml:space="preserve"> GRE quantitative score </w:t>
      </w:r>
      <w:r w:rsidR="00234E7D">
        <w:t>(</w:t>
      </w:r>
      <w:r w:rsidR="00234E7D">
        <w:rPr>
          <w:i/>
          <w:iCs/>
        </w:rPr>
        <w:t>B</w:t>
      </w:r>
      <w:r w:rsidR="00234E7D">
        <w:t xml:space="preserve"> = </w:t>
      </w:r>
      <w:r w:rsidR="00234E7D">
        <w:t>.0</w:t>
      </w:r>
      <w:r w:rsidR="00E8013E">
        <w:t>21</w:t>
      </w:r>
      <w:r w:rsidR="00234E7D">
        <w:t xml:space="preserve">, </w:t>
      </w:r>
      <w:r w:rsidR="00234E7D">
        <w:rPr>
          <w:i/>
          <w:iCs/>
        </w:rPr>
        <w:t>SE</w:t>
      </w:r>
      <w:r w:rsidR="00234E7D">
        <w:t xml:space="preserve"> = .</w:t>
      </w:r>
      <w:r w:rsidR="00E8013E">
        <w:t>009</w:t>
      </w:r>
      <w:r w:rsidR="00234E7D">
        <w:t xml:space="preserve">, </w:t>
      </w:r>
      <w:r w:rsidR="00234E7D">
        <w:rPr>
          <w:i/>
          <w:iCs/>
        </w:rPr>
        <w:t>p</w:t>
      </w:r>
      <w:r w:rsidR="00234E7D">
        <w:t xml:space="preserve"> = .0</w:t>
      </w:r>
      <w:r w:rsidR="00BC253D">
        <w:t>27</w:t>
      </w:r>
      <w:r w:rsidR="00234E7D">
        <w:t>),</w:t>
      </w:r>
      <w:r w:rsidR="00BC253D">
        <w:t xml:space="preserve"> and GPA </w:t>
      </w:r>
      <w:r w:rsidR="00BC253D">
        <w:t>(</w:t>
      </w:r>
      <w:r w:rsidR="00BC253D">
        <w:rPr>
          <w:i/>
          <w:iCs/>
        </w:rPr>
        <w:t>B</w:t>
      </w:r>
      <w:r w:rsidR="00BC253D">
        <w:t xml:space="preserve"> = </w:t>
      </w:r>
      <w:r w:rsidR="00BC253D">
        <w:t>1.04</w:t>
      </w:r>
      <w:r w:rsidR="00BC253D">
        <w:t xml:space="preserve">, </w:t>
      </w:r>
      <w:r w:rsidR="00BC253D">
        <w:rPr>
          <w:i/>
          <w:iCs/>
        </w:rPr>
        <w:t>SE</w:t>
      </w:r>
      <w:r w:rsidR="00BC253D">
        <w:t xml:space="preserve"> = .</w:t>
      </w:r>
      <w:r w:rsidR="00BC253D">
        <w:t>525</w:t>
      </w:r>
      <w:r w:rsidR="00BC253D">
        <w:t xml:space="preserve">, </w:t>
      </w:r>
      <w:r w:rsidR="00BC253D">
        <w:rPr>
          <w:i/>
          <w:iCs/>
        </w:rPr>
        <w:t>p</w:t>
      </w:r>
      <w:r w:rsidR="00BC253D">
        <w:t xml:space="preserve"> = .0</w:t>
      </w:r>
      <w:r w:rsidR="00FD6106">
        <w:t>48</w:t>
      </w:r>
      <w:r w:rsidR="00BC253D">
        <w:t>)</w:t>
      </w:r>
      <w:r w:rsidR="00FD6106">
        <w:t xml:space="preserve"> were all significant. Both the I/O and S/P applicants experienced </w:t>
      </w:r>
      <w:r w:rsidR="00066457">
        <w:t xml:space="preserve">lower odds of acceptance in their respective programs, indicating that these may be more competitive </w:t>
      </w:r>
      <w:r w:rsidR="007539FE">
        <w:t>spots for applicants</w:t>
      </w:r>
      <w:r w:rsidR="00292B3A">
        <w:t xml:space="preserve"> compared to cognitive and behavioral neuroscience</w:t>
      </w:r>
      <w:r w:rsidR="00C20CBE">
        <w:t xml:space="preserve"> (Figure 3)</w:t>
      </w:r>
      <w:r w:rsidR="00292B3A">
        <w:t xml:space="preserve">. </w:t>
      </w:r>
    </w:p>
    <w:p w14:paraId="656E93DF" w14:textId="39D7FAA7" w:rsidR="00624A16" w:rsidRDefault="00624A16" w:rsidP="008C65D0">
      <w:pPr>
        <w:rPr>
          <w:b/>
          <w:bCs/>
        </w:rPr>
      </w:pPr>
      <w:r>
        <w:rPr>
          <w:b/>
          <w:bCs/>
        </w:rPr>
        <w:t>Table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488"/>
        <w:gridCol w:w="1489"/>
        <w:gridCol w:w="1489"/>
        <w:gridCol w:w="1489"/>
      </w:tblGrid>
      <w:tr w:rsidR="00624A16" w:rsidRPr="009E0AA6" w14:paraId="10E8C962" w14:textId="77777777" w:rsidTr="00D92A18">
        <w:trPr>
          <w:trHeight w:val="458"/>
        </w:trPr>
        <w:tc>
          <w:tcPr>
            <w:tcW w:w="1870" w:type="dxa"/>
            <w:tcBorders>
              <w:top w:val="single" w:sz="4" w:space="0" w:color="auto"/>
              <w:bottom w:val="single" w:sz="4" w:space="0" w:color="auto"/>
            </w:tcBorders>
            <w:vAlign w:val="center"/>
          </w:tcPr>
          <w:p w14:paraId="61FFDC30" w14:textId="77777777" w:rsidR="00624A16" w:rsidRPr="00964EF8" w:rsidRDefault="00624A16" w:rsidP="00D92A18">
            <w:r w:rsidRPr="00964EF8">
              <w:t>Term</w:t>
            </w:r>
          </w:p>
        </w:tc>
        <w:tc>
          <w:tcPr>
            <w:tcW w:w="1488" w:type="dxa"/>
            <w:tcBorders>
              <w:top w:val="single" w:sz="4" w:space="0" w:color="auto"/>
              <w:bottom w:val="single" w:sz="4" w:space="0" w:color="auto"/>
            </w:tcBorders>
            <w:vAlign w:val="center"/>
          </w:tcPr>
          <w:p w14:paraId="2FAF0298" w14:textId="77777777" w:rsidR="00624A16" w:rsidRPr="00964EF8" w:rsidRDefault="00624A16" w:rsidP="00D92A18">
            <w:pPr>
              <w:jc w:val="center"/>
            </w:pPr>
            <w:r>
              <w:t>B</w:t>
            </w:r>
          </w:p>
        </w:tc>
        <w:tc>
          <w:tcPr>
            <w:tcW w:w="1489" w:type="dxa"/>
            <w:tcBorders>
              <w:top w:val="single" w:sz="4" w:space="0" w:color="auto"/>
              <w:bottom w:val="single" w:sz="4" w:space="0" w:color="auto"/>
            </w:tcBorders>
            <w:vAlign w:val="center"/>
          </w:tcPr>
          <w:p w14:paraId="68033CEF" w14:textId="77777777" w:rsidR="00624A16" w:rsidRPr="00964EF8" w:rsidRDefault="00624A16" w:rsidP="00D92A18">
            <w:pPr>
              <w:jc w:val="center"/>
            </w:pPr>
            <w:r>
              <w:t>SE</w:t>
            </w:r>
          </w:p>
        </w:tc>
        <w:tc>
          <w:tcPr>
            <w:tcW w:w="1489" w:type="dxa"/>
            <w:tcBorders>
              <w:top w:val="single" w:sz="4" w:space="0" w:color="auto"/>
              <w:bottom w:val="single" w:sz="4" w:space="0" w:color="auto"/>
            </w:tcBorders>
            <w:vAlign w:val="center"/>
          </w:tcPr>
          <w:p w14:paraId="5F45941C" w14:textId="77777777" w:rsidR="00624A16" w:rsidRPr="009E0AA6" w:rsidRDefault="00624A16" w:rsidP="00D92A18">
            <w:pPr>
              <w:jc w:val="center"/>
            </w:pPr>
            <w:r>
              <w:t>t</w:t>
            </w:r>
          </w:p>
        </w:tc>
        <w:tc>
          <w:tcPr>
            <w:tcW w:w="1489" w:type="dxa"/>
            <w:tcBorders>
              <w:top w:val="single" w:sz="4" w:space="0" w:color="auto"/>
              <w:bottom w:val="single" w:sz="4" w:space="0" w:color="auto"/>
            </w:tcBorders>
            <w:vAlign w:val="center"/>
          </w:tcPr>
          <w:p w14:paraId="0B4FD69C" w14:textId="77777777" w:rsidR="00624A16" w:rsidRPr="009E0AA6" w:rsidRDefault="00624A16" w:rsidP="00D92A18">
            <w:pPr>
              <w:jc w:val="center"/>
            </w:pPr>
            <w:r>
              <w:t>p</w:t>
            </w:r>
          </w:p>
        </w:tc>
      </w:tr>
      <w:tr w:rsidR="00624A16" w:rsidRPr="00DC38EF" w14:paraId="32909BF6" w14:textId="77777777" w:rsidTr="00D92A18">
        <w:trPr>
          <w:trHeight w:val="351"/>
        </w:trPr>
        <w:tc>
          <w:tcPr>
            <w:tcW w:w="1870" w:type="dxa"/>
            <w:tcBorders>
              <w:top w:val="single" w:sz="4" w:space="0" w:color="auto"/>
            </w:tcBorders>
            <w:vAlign w:val="center"/>
          </w:tcPr>
          <w:p w14:paraId="4D827C9B" w14:textId="77777777" w:rsidR="00624A16" w:rsidRPr="00DC38EF" w:rsidRDefault="00624A16" w:rsidP="00D92A18">
            <w:r w:rsidRPr="00DC38EF">
              <w:t>Intercept</w:t>
            </w:r>
          </w:p>
        </w:tc>
        <w:tc>
          <w:tcPr>
            <w:tcW w:w="1488" w:type="dxa"/>
            <w:tcBorders>
              <w:top w:val="single" w:sz="4" w:space="0" w:color="auto"/>
            </w:tcBorders>
            <w:vAlign w:val="center"/>
          </w:tcPr>
          <w:p w14:paraId="21F33581" w14:textId="0827F503" w:rsidR="00624A16" w:rsidRPr="00DC38EF" w:rsidRDefault="00624A16" w:rsidP="000332E2">
            <w:pPr>
              <w:tabs>
                <w:tab w:val="decimal" w:pos="181"/>
              </w:tabs>
              <w:jc w:val="center"/>
            </w:pPr>
            <w:r w:rsidRPr="00DC38EF">
              <w:t>-</w:t>
            </w:r>
            <w:r w:rsidR="00E93C56">
              <w:t>6.56</w:t>
            </w:r>
          </w:p>
        </w:tc>
        <w:tc>
          <w:tcPr>
            <w:tcW w:w="1489" w:type="dxa"/>
            <w:tcBorders>
              <w:top w:val="single" w:sz="4" w:space="0" w:color="auto"/>
            </w:tcBorders>
            <w:vAlign w:val="center"/>
          </w:tcPr>
          <w:p w14:paraId="0A585E9F" w14:textId="34F65609" w:rsidR="00624A16" w:rsidRPr="00DC38EF" w:rsidRDefault="00E93C56" w:rsidP="000332E2">
            <w:pPr>
              <w:tabs>
                <w:tab w:val="decimal" w:pos="311"/>
              </w:tabs>
              <w:jc w:val="center"/>
            </w:pPr>
            <w:r>
              <w:t>1.94</w:t>
            </w:r>
          </w:p>
        </w:tc>
        <w:tc>
          <w:tcPr>
            <w:tcW w:w="1489" w:type="dxa"/>
            <w:tcBorders>
              <w:top w:val="single" w:sz="4" w:space="0" w:color="auto"/>
            </w:tcBorders>
            <w:vAlign w:val="center"/>
          </w:tcPr>
          <w:p w14:paraId="7B32BB8C" w14:textId="44A5DA68" w:rsidR="00624A16" w:rsidRPr="00DC38EF" w:rsidRDefault="00624A16" w:rsidP="00D92A18">
            <w:pPr>
              <w:tabs>
                <w:tab w:val="decimal" w:pos="220"/>
              </w:tabs>
              <w:jc w:val="center"/>
            </w:pPr>
            <w:r w:rsidRPr="00DC38EF">
              <w:t>-</w:t>
            </w:r>
            <w:r w:rsidR="00E93C56">
              <w:t>3.39</w:t>
            </w:r>
          </w:p>
        </w:tc>
        <w:tc>
          <w:tcPr>
            <w:tcW w:w="1489" w:type="dxa"/>
            <w:tcBorders>
              <w:top w:val="single" w:sz="4" w:space="0" w:color="auto"/>
            </w:tcBorders>
            <w:vAlign w:val="center"/>
          </w:tcPr>
          <w:p w14:paraId="6451D621" w14:textId="0114138C" w:rsidR="00624A16" w:rsidRPr="00DC38EF" w:rsidRDefault="00345E17" w:rsidP="00D92A18">
            <w:pPr>
              <w:tabs>
                <w:tab w:val="decimal" w:pos="150"/>
              </w:tabs>
              <w:jc w:val="center"/>
            </w:pPr>
            <w:r>
              <w:t>&lt;.001</w:t>
            </w:r>
          </w:p>
        </w:tc>
      </w:tr>
      <w:tr w:rsidR="00624A16" w:rsidRPr="00DC38EF" w14:paraId="62411D6B" w14:textId="77777777" w:rsidTr="00D92A18">
        <w:trPr>
          <w:trHeight w:val="351"/>
        </w:trPr>
        <w:tc>
          <w:tcPr>
            <w:tcW w:w="1870" w:type="dxa"/>
            <w:vAlign w:val="center"/>
          </w:tcPr>
          <w:p w14:paraId="70BBFC63" w14:textId="77777777" w:rsidR="00624A16" w:rsidRPr="00DC38EF" w:rsidRDefault="00624A16" w:rsidP="00D92A18">
            <w:r w:rsidRPr="00DC38EF">
              <w:t xml:space="preserve">  GREQ</w:t>
            </w:r>
          </w:p>
        </w:tc>
        <w:tc>
          <w:tcPr>
            <w:tcW w:w="1488" w:type="dxa"/>
            <w:vAlign w:val="center"/>
          </w:tcPr>
          <w:p w14:paraId="76CE61DD" w14:textId="15F5A27E" w:rsidR="00624A16" w:rsidRPr="00DC38EF" w:rsidRDefault="00AC358D" w:rsidP="000332E2">
            <w:pPr>
              <w:tabs>
                <w:tab w:val="decimal" w:pos="271"/>
              </w:tabs>
              <w:jc w:val="center"/>
            </w:pPr>
            <w:r>
              <w:t>.021</w:t>
            </w:r>
          </w:p>
        </w:tc>
        <w:tc>
          <w:tcPr>
            <w:tcW w:w="1489" w:type="dxa"/>
            <w:vAlign w:val="center"/>
          </w:tcPr>
          <w:p w14:paraId="668D5DE2" w14:textId="24913252" w:rsidR="00624A16" w:rsidRPr="00DC38EF" w:rsidRDefault="00792F2A" w:rsidP="000332E2">
            <w:pPr>
              <w:tabs>
                <w:tab w:val="decimal" w:pos="311"/>
              </w:tabs>
              <w:jc w:val="center"/>
            </w:pPr>
            <w:r>
              <w:t>.009</w:t>
            </w:r>
          </w:p>
        </w:tc>
        <w:tc>
          <w:tcPr>
            <w:tcW w:w="1489" w:type="dxa"/>
            <w:vAlign w:val="center"/>
          </w:tcPr>
          <w:p w14:paraId="58579804" w14:textId="22AD8BFC" w:rsidR="00624A16" w:rsidRPr="00DC38EF" w:rsidRDefault="00792F2A" w:rsidP="00D92A18">
            <w:pPr>
              <w:tabs>
                <w:tab w:val="decimal" w:pos="220"/>
              </w:tabs>
              <w:jc w:val="center"/>
            </w:pPr>
            <w:r>
              <w:t>2.22</w:t>
            </w:r>
          </w:p>
        </w:tc>
        <w:tc>
          <w:tcPr>
            <w:tcW w:w="1489" w:type="dxa"/>
            <w:vAlign w:val="center"/>
          </w:tcPr>
          <w:p w14:paraId="336FC764" w14:textId="3C9448F2" w:rsidR="00624A16" w:rsidRPr="00DC38EF" w:rsidRDefault="00792F2A" w:rsidP="00D92A18">
            <w:pPr>
              <w:tabs>
                <w:tab w:val="decimal" w:pos="150"/>
              </w:tabs>
              <w:jc w:val="center"/>
            </w:pPr>
            <w:r>
              <w:t>.027</w:t>
            </w:r>
          </w:p>
        </w:tc>
      </w:tr>
      <w:tr w:rsidR="00AC358D" w:rsidRPr="00DC38EF" w14:paraId="27B7FDEE" w14:textId="77777777" w:rsidTr="00D92A18">
        <w:trPr>
          <w:trHeight w:val="351"/>
        </w:trPr>
        <w:tc>
          <w:tcPr>
            <w:tcW w:w="1870" w:type="dxa"/>
            <w:vAlign w:val="center"/>
          </w:tcPr>
          <w:p w14:paraId="771286C2" w14:textId="77777777" w:rsidR="00AC358D" w:rsidRPr="00DC38EF" w:rsidRDefault="00AC358D" w:rsidP="00AC358D">
            <w:r w:rsidRPr="00DC38EF">
              <w:t xml:space="preserve">  GREV</w:t>
            </w:r>
          </w:p>
        </w:tc>
        <w:tc>
          <w:tcPr>
            <w:tcW w:w="1488" w:type="dxa"/>
            <w:vAlign w:val="center"/>
          </w:tcPr>
          <w:p w14:paraId="1CC8A81B" w14:textId="7BDED7F9" w:rsidR="00AC358D" w:rsidRPr="00DC38EF" w:rsidRDefault="00AC358D" w:rsidP="000332E2">
            <w:pPr>
              <w:tabs>
                <w:tab w:val="decimal" w:pos="271"/>
              </w:tabs>
              <w:jc w:val="center"/>
            </w:pPr>
            <w:r>
              <w:t>.013</w:t>
            </w:r>
          </w:p>
        </w:tc>
        <w:tc>
          <w:tcPr>
            <w:tcW w:w="1489" w:type="dxa"/>
            <w:vAlign w:val="center"/>
          </w:tcPr>
          <w:p w14:paraId="58E5CF60" w14:textId="02C9E702" w:rsidR="00AC358D" w:rsidRPr="00DC38EF" w:rsidRDefault="00AC358D" w:rsidP="000332E2">
            <w:pPr>
              <w:tabs>
                <w:tab w:val="decimal" w:pos="221"/>
              </w:tabs>
              <w:jc w:val="center"/>
            </w:pPr>
            <w:r>
              <w:t>.01</w:t>
            </w:r>
          </w:p>
        </w:tc>
        <w:tc>
          <w:tcPr>
            <w:tcW w:w="1489" w:type="dxa"/>
            <w:vAlign w:val="center"/>
          </w:tcPr>
          <w:p w14:paraId="03517F3A" w14:textId="227DD579" w:rsidR="00AC358D" w:rsidRPr="00DC38EF" w:rsidRDefault="00AC358D" w:rsidP="00AC358D">
            <w:pPr>
              <w:tabs>
                <w:tab w:val="decimal" w:pos="220"/>
              </w:tabs>
              <w:jc w:val="center"/>
            </w:pPr>
            <w:r>
              <w:t>1.29</w:t>
            </w:r>
          </w:p>
        </w:tc>
        <w:tc>
          <w:tcPr>
            <w:tcW w:w="1489" w:type="dxa"/>
            <w:vAlign w:val="center"/>
          </w:tcPr>
          <w:p w14:paraId="688A9661" w14:textId="50734C16" w:rsidR="00AC358D" w:rsidRPr="00DC38EF" w:rsidRDefault="00AC358D" w:rsidP="00AC358D">
            <w:pPr>
              <w:tabs>
                <w:tab w:val="decimal" w:pos="150"/>
              </w:tabs>
              <w:jc w:val="center"/>
            </w:pPr>
            <w:r>
              <w:t>.197</w:t>
            </w:r>
          </w:p>
        </w:tc>
      </w:tr>
      <w:tr w:rsidR="00AC358D" w:rsidRPr="00DC38EF" w14:paraId="3FE65AD1" w14:textId="77777777" w:rsidTr="00D92A18">
        <w:trPr>
          <w:trHeight w:val="351"/>
        </w:trPr>
        <w:tc>
          <w:tcPr>
            <w:tcW w:w="1870" w:type="dxa"/>
            <w:vAlign w:val="center"/>
          </w:tcPr>
          <w:p w14:paraId="58955326" w14:textId="77777777" w:rsidR="00AC358D" w:rsidRPr="00DC38EF" w:rsidRDefault="00AC358D" w:rsidP="00AC358D">
            <w:r w:rsidRPr="00DC38EF">
              <w:t xml:space="preserve">  GREAW</w:t>
            </w:r>
          </w:p>
        </w:tc>
        <w:tc>
          <w:tcPr>
            <w:tcW w:w="1488" w:type="dxa"/>
            <w:vAlign w:val="center"/>
          </w:tcPr>
          <w:p w14:paraId="73A3C1C7" w14:textId="3CE5918A" w:rsidR="00AC358D" w:rsidRPr="00DC38EF" w:rsidRDefault="00082EF8" w:rsidP="000332E2">
            <w:pPr>
              <w:tabs>
                <w:tab w:val="decimal" w:pos="181"/>
              </w:tabs>
              <w:jc w:val="center"/>
            </w:pPr>
            <w:r>
              <w:t>.01</w:t>
            </w:r>
          </w:p>
        </w:tc>
        <w:tc>
          <w:tcPr>
            <w:tcW w:w="1489" w:type="dxa"/>
            <w:vAlign w:val="center"/>
          </w:tcPr>
          <w:p w14:paraId="6C4DDB7D" w14:textId="6CA7F75F" w:rsidR="00AC358D" w:rsidRPr="00DC38EF" w:rsidRDefault="00082EF8" w:rsidP="000332E2">
            <w:pPr>
              <w:tabs>
                <w:tab w:val="decimal" w:pos="221"/>
              </w:tabs>
              <w:jc w:val="center"/>
            </w:pPr>
            <w:r>
              <w:t>.01</w:t>
            </w:r>
          </w:p>
        </w:tc>
        <w:tc>
          <w:tcPr>
            <w:tcW w:w="1489" w:type="dxa"/>
            <w:vAlign w:val="center"/>
          </w:tcPr>
          <w:p w14:paraId="01EA2F58" w14:textId="6D08ECC6" w:rsidR="00AC358D" w:rsidRPr="00DC38EF" w:rsidRDefault="00082EF8" w:rsidP="00AC358D">
            <w:pPr>
              <w:tabs>
                <w:tab w:val="decimal" w:pos="220"/>
              </w:tabs>
              <w:jc w:val="center"/>
            </w:pPr>
            <w:r>
              <w:t>1.29</w:t>
            </w:r>
          </w:p>
        </w:tc>
        <w:tc>
          <w:tcPr>
            <w:tcW w:w="1489" w:type="dxa"/>
            <w:vAlign w:val="center"/>
          </w:tcPr>
          <w:p w14:paraId="1026E9DC" w14:textId="38DD8F1D" w:rsidR="00AC358D" w:rsidRPr="00DC38EF" w:rsidRDefault="00082EF8" w:rsidP="00AC358D">
            <w:pPr>
              <w:tabs>
                <w:tab w:val="decimal" w:pos="150"/>
              </w:tabs>
              <w:jc w:val="center"/>
            </w:pPr>
            <w:r>
              <w:t>.197</w:t>
            </w:r>
          </w:p>
        </w:tc>
      </w:tr>
      <w:tr w:rsidR="00AC358D" w:rsidRPr="00DC38EF" w14:paraId="7CF95062" w14:textId="77777777" w:rsidTr="00337CE2">
        <w:trPr>
          <w:trHeight w:val="351"/>
        </w:trPr>
        <w:tc>
          <w:tcPr>
            <w:tcW w:w="1870" w:type="dxa"/>
            <w:vAlign w:val="center"/>
          </w:tcPr>
          <w:p w14:paraId="0336CFC2" w14:textId="77777777" w:rsidR="00AC358D" w:rsidRPr="00DC38EF" w:rsidRDefault="00AC358D" w:rsidP="00AC358D">
            <w:r w:rsidRPr="00DC38EF">
              <w:t xml:space="preserve">  GPA</w:t>
            </w:r>
          </w:p>
        </w:tc>
        <w:tc>
          <w:tcPr>
            <w:tcW w:w="1488" w:type="dxa"/>
            <w:vAlign w:val="center"/>
          </w:tcPr>
          <w:p w14:paraId="68CCF20F" w14:textId="74F057DD" w:rsidR="00AC358D" w:rsidRPr="00DC38EF" w:rsidRDefault="007665EA" w:rsidP="000332E2">
            <w:pPr>
              <w:tabs>
                <w:tab w:val="decimal" w:pos="181"/>
              </w:tabs>
              <w:jc w:val="center"/>
            </w:pPr>
            <w:r>
              <w:t>1.04</w:t>
            </w:r>
          </w:p>
        </w:tc>
        <w:tc>
          <w:tcPr>
            <w:tcW w:w="1489" w:type="dxa"/>
            <w:vAlign w:val="center"/>
          </w:tcPr>
          <w:p w14:paraId="196F0637" w14:textId="40EEC996" w:rsidR="00AC358D" w:rsidRPr="00DC38EF" w:rsidRDefault="007665EA" w:rsidP="000332E2">
            <w:pPr>
              <w:tabs>
                <w:tab w:val="decimal" w:pos="311"/>
              </w:tabs>
              <w:jc w:val="center"/>
            </w:pPr>
            <w:r>
              <w:t>.525</w:t>
            </w:r>
          </w:p>
        </w:tc>
        <w:tc>
          <w:tcPr>
            <w:tcW w:w="1489" w:type="dxa"/>
            <w:vAlign w:val="center"/>
          </w:tcPr>
          <w:p w14:paraId="534E3183" w14:textId="45377350" w:rsidR="00AC358D" w:rsidRPr="00DC38EF" w:rsidRDefault="007665EA" w:rsidP="00AC358D">
            <w:pPr>
              <w:tabs>
                <w:tab w:val="decimal" w:pos="220"/>
              </w:tabs>
              <w:jc w:val="center"/>
            </w:pPr>
            <w:r>
              <w:t>1.98</w:t>
            </w:r>
          </w:p>
        </w:tc>
        <w:tc>
          <w:tcPr>
            <w:tcW w:w="1489" w:type="dxa"/>
            <w:vAlign w:val="center"/>
          </w:tcPr>
          <w:p w14:paraId="79CE5E01" w14:textId="05ADA548" w:rsidR="00AC358D" w:rsidRPr="00DC38EF" w:rsidRDefault="008B4191" w:rsidP="00AC358D">
            <w:pPr>
              <w:tabs>
                <w:tab w:val="decimal" w:pos="150"/>
              </w:tabs>
              <w:jc w:val="center"/>
            </w:pPr>
            <w:r>
              <w:t>.048</w:t>
            </w:r>
          </w:p>
        </w:tc>
      </w:tr>
      <w:tr w:rsidR="00AC358D" w:rsidRPr="00DC38EF" w14:paraId="0377ACBE" w14:textId="77777777" w:rsidTr="00337CE2">
        <w:trPr>
          <w:trHeight w:val="351"/>
        </w:trPr>
        <w:tc>
          <w:tcPr>
            <w:tcW w:w="1870" w:type="dxa"/>
            <w:vAlign w:val="center"/>
          </w:tcPr>
          <w:p w14:paraId="0F16D1B8" w14:textId="015A90D7" w:rsidR="00AC358D" w:rsidRPr="00DC38EF" w:rsidRDefault="00AC358D" w:rsidP="00AC358D">
            <w:r>
              <w:t xml:space="preserve">  Cognitive</w:t>
            </w:r>
          </w:p>
        </w:tc>
        <w:tc>
          <w:tcPr>
            <w:tcW w:w="1488" w:type="dxa"/>
            <w:vAlign w:val="center"/>
          </w:tcPr>
          <w:p w14:paraId="79783258" w14:textId="1493BC07" w:rsidR="00AC358D" w:rsidRPr="00DC38EF" w:rsidRDefault="00AC358D" w:rsidP="000332E2">
            <w:pPr>
              <w:tabs>
                <w:tab w:val="decimal" w:pos="181"/>
              </w:tabs>
              <w:jc w:val="center"/>
            </w:pPr>
            <w:r>
              <w:t>.19</w:t>
            </w:r>
          </w:p>
        </w:tc>
        <w:tc>
          <w:tcPr>
            <w:tcW w:w="1489" w:type="dxa"/>
            <w:vAlign w:val="center"/>
          </w:tcPr>
          <w:p w14:paraId="13304425" w14:textId="293D6B62" w:rsidR="00AC358D" w:rsidRPr="00DC38EF" w:rsidRDefault="00AC358D" w:rsidP="000332E2">
            <w:pPr>
              <w:tabs>
                <w:tab w:val="decimal" w:pos="311"/>
              </w:tabs>
              <w:jc w:val="center"/>
            </w:pPr>
            <w:r>
              <w:t>.513</w:t>
            </w:r>
          </w:p>
        </w:tc>
        <w:tc>
          <w:tcPr>
            <w:tcW w:w="1489" w:type="dxa"/>
            <w:vAlign w:val="center"/>
          </w:tcPr>
          <w:p w14:paraId="3DB301C1" w14:textId="47DA573A" w:rsidR="00AC358D" w:rsidRPr="00DC38EF" w:rsidRDefault="00AC358D" w:rsidP="00AC358D">
            <w:pPr>
              <w:tabs>
                <w:tab w:val="decimal" w:pos="220"/>
              </w:tabs>
              <w:jc w:val="center"/>
            </w:pPr>
            <w:r>
              <w:t>.37</w:t>
            </w:r>
          </w:p>
        </w:tc>
        <w:tc>
          <w:tcPr>
            <w:tcW w:w="1489" w:type="dxa"/>
            <w:vAlign w:val="center"/>
          </w:tcPr>
          <w:p w14:paraId="17571970" w14:textId="3B354D48" w:rsidR="00AC358D" w:rsidRPr="00DC38EF" w:rsidRDefault="00AC358D" w:rsidP="00AC358D">
            <w:pPr>
              <w:tabs>
                <w:tab w:val="decimal" w:pos="150"/>
              </w:tabs>
              <w:jc w:val="center"/>
            </w:pPr>
            <w:r>
              <w:t>.711</w:t>
            </w:r>
          </w:p>
        </w:tc>
      </w:tr>
      <w:tr w:rsidR="00AC358D" w:rsidRPr="00DC38EF" w14:paraId="102B312E" w14:textId="77777777" w:rsidTr="00337CE2">
        <w:trPr>
          <w:trHeight w:val="351"/>
        </w:trPr>
        <w:tc>
          <w:tcPr>
            <w:tcW w:w="1870" w:type="dxa"/>
            <w:vAlign w:val="center"/>
          </w:tcPr>
          <w:p w14:paraId="79188E2F" w14:textId="47055A04" w:rsidR="00AC358D" w:rsidRPr="00DC38EF" w:rsidRDefault="00AC358D" w:rsidP="00AC358D">
            <w:r>
              <w:t xml:space="preserve">  I/O</w:t>
            </w:r>
          </w:p>
        </w:tc>
        <w:tc>
          <w:tcPr>
            <w:tcW w:w="1488" w:type="dxa"/>
            <w:vAlign w:val="center"/>
          </w:tcPr>
          <w:p w14:paraId="3E139F8E" w14:textId="46B07A3A" w:rsidR="00AC358D" w:rsidRPr="00DC38EF" w:rsidRDefault="00AC358D" w:rsidP="000332E2">
            <w:pPr>
              <w:tabs>
                <w:tab w:val="decimal" w:pos="181"/>
              </w:tabs>
              <w:jc w:val="center"/>
            </w:pPr>
            <w:r>
              <w:t>-1.25</w:t>
            </w:r>
          </w:p>
        </w:tc>
        <w:tc>
          <w:tcPr>
            <w:tcW w:w="1489" w:type="dxa"/>
            <w:vAlign w:val="center"/>
          </w:tcPr>
          <w:p w14:paraId="11DCD571" w14:textId="62F2F835" w:rsidR="00AC358D" w:rsidRPr="00DC38EF" w:rsidRDefault="00AC358D" w:rsidP="000332E2">
            <w:pPr>
              <w:tabs>
                <w:tab w:val="decimal" w:pos="311"/>
              </w:tabs>
              <w:jc w:val="center"/>
            </w:pPr>
            <w:r>
              <w:t>.494</w:t>
            </w:r>
          </w:p>
        </w:tc>
        <w:tc>
          <w:tcPr>
            <w:tcW w:w="1489" w:type="dxa"/>
            <w:vAlign w:val="center"/>
          </w:tcPr>
          <w:p w14:paraId="5FF51522" w14:textId="6926000F" w:rsidR="00AC358D" w:rsidRPr="00DC38EF" w:rsidRDefault="00AC358D" w:rsidP="00AC358D">
            <w:pPr>
              <w:tabs>
                <w:tab w:val="decimal" w:pos="220"/>
              </w:tabs>
              <w:jc w:val="center"/>
            </w:pPr>
            <w:r>
              <w:t>-2.53</w:t>
            </w:r>
          </w:p>
        </w:tc>
        <w:tc>
          <w:tcPr>
            <w:tcW w:w="1489" w:type="dxa"/>
            <w:vAlign w:val="center"/>
          </w:tcPr>
          <w:p w14:paraId="5838A552" w14:textId="64BD2CBC" w:rsidR="00AC358D" w:rsidRPr="00DC38EF" w:rsidRDefault="00AC358D" w:rsidP="00AC358D">
            <w:pPr>
              <w:tabs>
                <w:tab w:val="decimal" w:pos="150"/>
              </w:tabs>
              <w:jc w:val="center"/>
            </w:pPr>
            <w:r>
              <w:t>.011</w:t>
            </w:r>
          </w:p>
        </w:tc>
      </w:tr>
      <w:tr w:rsidR="00AC358D" w:rsidRPr="00DC38EF" w14:paraId="4897EAB4" w14:textId="77777777" w:rsidTr="00D92A18">
        <w:trPr>
          <w:trHeight w:val="351"/>
        </w:trPr>
        <w:tc>
          <w:tcPr>
            <w:tcW w:w="1870" w:type="dxa"/>
            <w:tcBorders>
              <w:bottom w:val="single" w:sz="4" w:space="0" w:color="auto"/>
            </w:tcBorders>
            <w:vAlign w:val="center"/>
          </w:tcPr>
          <w:p w14:paraId="609840B5" w14:textId="11CD5B1E" w:rsidR="00AC358D" w:rsidRPr="00DC38EF" w:rsidRDefault="00AC358D" w:rsidP="00AC358D">
            <w:r>
              <w:t xml:space="preserve">  S/P</w:t>
            </w:r>
          </w:p>
        </w:tc>
        <w:tc>
          <w:tcPr>
            <w:tcW w:w="1488" w:type="dxa"/>
            <w:tcBorders>
              <w:bottom w:val="single" w:sz="4" w:space="0" w:color="auto"/>
            </w:tcBorders>
            <w:vAlign w:val="center"/>
          </w:tcPr>
          <w:p w14:paraId="4BF75085" w14:textId="4AA6BFE6" w:rsidR="00AC358D" w:rsidRPr="00DC38EF" w:rsidRDefault="00AC358D" w:rsidP="000332E2">
            <w:pPr>
              <w:tabs>
                <w:tab w:val="decimal" w:pos="181"/>
              </w:tabs>
              <w:jc w:val="center"/>
            </w:pPr>
            <w:r>
              <w:t>-1.56</w:t>
            </w:r>
          </w:p>
        </w:tc>
        <w:tc>
          <w:tcPr>
            <w:tcW w:w="1489" w:type="dxa"/>
            <w:tcBorders>
              <w:bottom w:val="single" w:sz="4" w:space="0" w:color="auto"/>
            </w:tcBorders>
            <w:vAlign w:val="center"/>
          </w:tcPr>
          <w:p w14:paraId="69D8E651" w14:textId="111FA59F" w:rsidR="00AC358D" w:rsidRPr="00DC38EF" w:rsidRDefault="00AC358D" w:rsidP="000332E2">
            <w:pPr>
              <w:tabs>
                <w:tab w:val="decimal" w:pos="131"/>
              </w:tabs>
              <w:jc w:val="center"/>
            </w:pPr>
            <w:r>
              <w:t>.5</w:t>
            </w:r>
          </w:p>
        </w:tc>
        <w:tc>
          <w:tcPr>
            <w:tcW w:w="1489" w:type="dxa"/>
            <w:tcBorders>
              <w:bottom w:val="single" w:sz="4" w:space="0" w:color="auto"/>
            </w:tcBorders>
            <w:vAlign w:val="center"/>
          </w:tcPr>
          <w:p w14:paraId="41088FC3" w14:textId="034C94B0" w:rsidR="00AC358D" w:rsidRPr="00DC38EF" w:rsidRDefault="00AC358D" w:rsidP="00AC358D">
            <w:pPr>
              <w:tabs>
                <w:tab w:val="decimal" w:pos="220"/>
              </w:tabs>
              <w:jc w:val="center"/>
            </w:pPr>
            <w:r>
              <w:t>-3.13</w:t>
            </w:r>
          </w:p>
        </w:tc>
        <w:tc>
          <w:tcPr>
            <w:tcW w:w="1489" w:type="dxa"/>
            <w:tcBorders>
              <w:bottom w:val="single" w:sz="4" w:space="0" w:color="auto"/>
            </w:tcBorders>
            <w:vAlign w:val="center"/>
          </w:tcPr>
          <w:p w14:paraId="007FF99F" w14:textId="784779D0" w:rsidR="00AC358D" w:rsidRPr="00DC38EF" w:rsidRDefault="00AC358D" w:rsidP="00AC358D">
            <w:pPr>
              <w:tabs>
                <w:tab w:val="decimal" w:pos="150"/>
              </w:tabs>
              <w:jc w:val="center"/>
            </w:pPr>
            <w:r>
              <w:t>.002</w:t>
            </w:r>
          </w:p>
        </w:tc>
      </w:tr>
    </w:tbl>
    <w:p w14:paraId="7922EF99" w14:textId="6449B5D5" w:rsidR="00624A16" w:rsidRDefault="000332E2" w:rsidP="008041A4">
      <w:pPr>
        <w:ind w:right="1440"/>
      </w:pPr>
      <w:r>
        <w:rPr>
          <w:i/>
          <w:iCs/>
        </w:rPr>
        <w:t>Note</w:t>
      </w:r>
      <w:r>
        <w:t xml:space="preserve">. </w:t>
      </w:r>
      <w:r w:rsidR="009A102C">
        <w:t xml:space="preserve">Model results summarized for the logistic regression predicting </w:t>
      </w:r>
      <w:r w:rsidR="00597E0A">
        <w:t xml:space="preserve">acceptance including program as a categorical predictor. The estimates and standard errors are </w:t>
      </w:r>
      <w:r w:rsidR="00052EE6">
        <w:t xml:space="preserve">log odds of acceptance. </w:t>
      </w:r>
    </w:p>
    <w:p w14:paraId="135FD4E4" w14:textId="495C3B09" w:rsidR="008041A4" w:rsidRDefault="008041A4" w:rsidP="008041A4">
      <w:r>
        <w:tab/>
      </w:r>
      <w:r w:rsidR="00F03FF1">
        <w:t xml:space="preserve">Comparing this model to the previous logistic regression without program as a predictor, the </w:t>
      </w:r>
      <w:r w:rsidR="00903CA0">
        <w:t>AIC was</w:t>
      </w:r>
      <w:r w:rsidR="00A11580">
        <w:t xml:space="preserve"> much</w:t>
      </w:r>
      <w:r w:rsidR="00903CA0">
        <w:t xml:space="preserve"> lower (AIC = </w:t>
      </w:r>
      <w:r w:rsidR="00A11580">
        <w:t xml:space="preserve">255) than the previous model (AIC = 270). </w:t>
      </w:r>
      <w:r w:rsidR="007E467C">
        <w:t xml:space="preserve">I also compared the BIC values of the two models and found a similar result albeit </w:t>
      </w:r>
      <w:r w:rsidR="000721EE">
        <w:t xml:space="preserve">the model fit </w:t>
      </w:r>
      <w:r w:rsidR="00237103">
        <w:t>discrepancy was reduced (</w:t>
      </w:r>
      <w:r w:rsidR="00857D20">
        <w:t>BIC without program = 287, BIC with program = 283</w:t>
      </w:r>
      <w:r w:rsidR="0031577B">
        <w:t xml:space="preserve">) likely due to the added complexity of mixing in a categorical predictor to this model. </w:t>
      </w:r>
    </w:p>
    <w:p w14:paraId="74647550" w14:textId="29E049F2" w:rsidR="0012351B" w:rsidRDefault="0012351B" w:rsidP="008041A4">
      <w:r>
        <w:tab/>
      </w:r>
      <w:r w:rsidR="00321217">
        <w:t xml:space="preserve">A visual representation of the relationship between program and GRE verbal scores </w:t>
      </w:r>
      <w:r w:rsidR="006972A6">
        <w:t xml:space="preserve">and the original data can be found in Figure 3. </w:t>
      </w:r>
    </w:p>
    <w:p w14:paraId="25806820" w14:textId="77777777" w:rsidR="007A1B2E" w:rsidRDefault="007A1B2E" w:rsidP="008041A4">
      <w:pPr>
        <w:rPr>
          <w:b/>
          <w:bCs/>
        </w:rPr>
      </w:pPr>
    </w:p>
    <w:p w14:paraId="645D4E63" w14:textId="77777777" w:rsidR="007A1B2E" w:rsidRDefault="007A1B2E" w:rsidP="008041A4">
      <w:pPr>
        <w:rPr>
          <w:b/>
          <w:bCs/>
        </w:rPr>
      </w:pPr>
    </w:p>
    <w:p w14:paraId="72294036" w14:textId="77777777" w:rsidR="007A1B2E" w:rsidRDefault="007A1B2E" w:rsidP="008041A4">
      <w:pPr>
        <w:rPr>
          <w:b/>
          <w:bCs/>
        </w:rPr>
      </w:pPr>
    </w:p>
    <w:p w14:paraId="69646AB9" w14:textId="77777777" w:rsidR="007A1B2E" w:rsidRDefault="007A1B2E" w:rsidP="008041A4">
      <w:pPr>
        <w:rPr>
          <w:b/>
          <w:bCs/>
        </w:rPr>
      </w:pPr>
    </w:p>
    <w:p w14:paraId="31343B7B" w14:textId="33915486" w:rsidR="006972A6" w:rsidRPr="006972A6" w:rsidRDefault="006972A6" w:rsidP="008041A4">
      <w:pPr>
        <w:rPr>
          <w:b/>
          <w:bCs/>
        </w:rPr>
      </w:pPr>
      <w:r>
        <w:rPr>
          <w:b/>
          <w:bCs/>
        </w:rPr>
        <w:lastRenderedPageBreak/>
        <w:t>Figure 3</w:t>
      </w:r>
    </w:p>
    <w:p w14:paraId="764702B8" w14:textId="6D7D84C1" w:rsidR="00D157E3" w:rsidRDefault="006972A6" w:rsidP="008041A4">
      <w:pPr>
        <w:rPr>
          <w:b/>
          <w:bCs/>
        </w:rPr>
      </w:pPr>
      <w:r>
        <w:rPr>
          <w:b/>
          <w:bCs/>
          <w:noProof/>
        </w:rPr>
        <w:drawing>
          <wp:inline distT="0" distB="0" distL="0" distR="0" wp14:anchorId="149BCB9F" wp14:editId="180E4896">
            <wp:extent cx="5168348" cy="3162300"/>
            <wp:effectExtent l="0" t="0" r="0" b="0"/>
            <wp:docPr id="1458041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666" cy="3165554"/>
                    </a:xfrm>
                    <a:prstGeom prst="rect">
                      <a:avLst/>
                    </a:prstGeom>
                    <a:noFill/>
                  </pic:spPr>
                </pic:pic>
              </a:graphicData>
            </a:graphic>
          </wp:inline>
        </w:drawing>
      </w:r>
    </w:p>
    <w:p w14:paraId="18A9CBFD" w14:textId="77777777" w:rsidR="00546EFA" w:rsidRDefault="007A1B2E" w:rsidP="00C5533F">
      <w:pPr>
        <w:ind w:right="1440"/>
      </w:pPr>
      <w:r>
        <w:rPr>
          <w:i/>
          <w:iCs/>
        </w:rPr>
        <w:t>Figure 3</w:t>
      </w:r>
      <w:r>
        <w:t xml:space="preserve"> </w:t>
      </w:r>
      <w:r w:rsidR="004232D3">
        <w:t>–</w:t>
      </w:r>
      <w:r>
        <w:t xml:space="preserve"> </w:t>
      </w:r>
      <w:r w:rsidR="004232D3">
        <w:t xml:space="preserve">Logistic regression results plotted over </w:t>
      </w:r>
      <w:r w:rsidR="008345D8">
        <w:t xml:space="preserve">the original decision binomial outcome data by program. As expected from the model results table, there is </w:t>
      </w:r>
      <w:r w:rsidR="006F52B7">
        <w:t xml:space="preserve">a significant difference between programs with cognitive and BN students more likely to be accepted </w:t>
      </w:r>
      <w:r w:rsidR="00C20CBE">
        <w:t xml:space="preserve">than I/O and S/P </w:t>
      </w:r>
      <w:r w:rsidR="009E36C8">
        <w:t xml:space="preserve">regardless of GRE verbal scores. </w:t>
      </w:r>
    </w:p>
    <w:p w14:paraId="3B697122" w14:textId="6827A082" w:rsidR="00714B24" w:rsidRPr="00714B24" w:rsidRDefault="00714B24" w:rsidP="00714B24">
      <w:pPr>
        <w:rPr>
          <w:rFonts w:ascii="Lucida Console" w:hAnsi="Lucida Console"/>
        </w:rPr>
      </w:pPr>
      <w:r w:rsidRPr="00714B24">
        <w:rPr>
          <w:rFonts w:ascii="Lucida Console" w:hAnsi="Lucida Console"/>
        </w:rPr>
        <w:t># intercept: -6.56</w:t>
      </w:r>
    </w:p>
    <w:p w14:paraId="5725EE08" w14:textId="77777777" w:rsidR="00714B24" w:rsidRPr="00714B24" w:rsidRDefault="00714B24" w:rsidP="00714B24">
      <w:pPr>
        <w:rPr>
          <w:rFonts w:ascii="Lucida Console" w:hAnsi="Lucida Console"/>
        </w:rPr>
      </w:pPr>
      <w:r w:rsidRPr="00714B24">
        <w:rPr>
          <w:rFonts w:ascii="Lucida Console" w:hAnsi="Lucida Console"/>
        </w:rPr>
        <w:t># cog: .19</w:t>
      </w:r>
    </w:p>
    <w:p w14:paraId="65298A16" w14:textId="77777777" w:rsidR="00714B24" w:rsidRPr="00714B24" w:rsidRDefault="00714B24" w:rsidP="00714B24">
      <w:pPr>
        <w:rPr>
          <w:rFonts w:ascii="Lucida Console" w:hAnsi="Lucida Console"/>
        </w:rPr>
      </w:pPr>
      <w:r w:rsidRPr="00714B24">
        <w:rPr>
          <w:rFonts w:ascii="Lucida Console" w:hAnsi="Lucida Console"/>
        </w:rPr>
        <w:t xml:space="preserve"># </w:t>
      </w:r>
      <w:proofErr w:type="spellStart"/>
      <w:r w:rsidRPr="00714B24">
        <w:rPr>
          <w:rFonts w:ascii="Lucida Console" w:hAnsi="Lucida Console"/>
        </w:rPr>
        <w:t>i</w:t>
      </w:r>
      <w:proofErr w:type="spellEnd"/>
      <w:r w:rsidRPr="00714B24">
        <w:rPr>
          <w:rFonts w:ascii="Lucida Console" w:hAnsi="Lucida Console"/>
        </w:rPr>
        <w:t>/o: -1.25</w:t>
      </w:r>
    </w:p>
    <w:p w14:paraId="05A35E63" w14:textId="77777777" w:rsidR="00714B24" w:rsidRPr="00714B24" w:rsidRDefault="00714B24" w:rsidP="00714B24">
      <w:pPr>
        <w:rPr>
          <w:rFonts w:ascii="Lucida Console" w:hAnsi="Lucida Console"/>
        </w:rPr>
      </w:pPr>
      <w:r w:rsidRPr="00714B24">
        <w:rPr>
          <w:rFonts w:ascii="Lucida Console" w:hAnsi="Lucida Console"/>
        </w:rPr>
        <w:t># s/p: -1.56</w:t>
      </w:r>
    </w:p>
    <w:p w14:paraId="6768C11F" w14:textId="77777777" w:rsidR="00714B24" w:rsidRPr="00714B24" w:rsidRDefault="00714B24" w:rsidP="00714B24">
      <w:pPr>
        <w:rPr>
          <w:rFonts w:ascii="Lucida Console" w:hAnsi="Lucida Console"/>
        </w:rPr>
      </w:pPr>
      <w:r w:rsidRPr="00714B24">
        <w:rPr>
          <w:rFonts w:ascii="Lucida Console" w:hAnsi="Lucida Console"/>
        </w:rPr>
        <w:t xml:space="preserve"># </w:t>
      </w:r>
      <w:proofErr w:type="spellStart"/>
      <w:r w:rsidRPr="00714B24">
        <w:rPr>
          <w:rFonts w:ascii="Lucida Console" w:hAnsi="Lucida Console"/>
        </w:rPr>
        <w:t>grev</w:t>
      </w:r>
      <w:proofErr w:type="spellEnd"/>
      <w:r w:rsidRPr="00714B24">
        <w:rPr>
          <w:rFonts w:ascii="Lucida Console" w:hAnsi="Lucida Console"/>
        </w:rPr>
        <w:t>: .013</w:t>
      </w:r>
    </w:p>
    <w:p w14:paraId="38C5B534" w14:textId="77777777" w:rsidR="00714B24" w:rsidRPr="00714B24" w:rsidRDefault="00714B24" w:rsidP="00714B24">
      <w:pPr>
        <w:rPr>
          <w:rFonts w:ascii="Lucida Console" w:hAnsi="Lucida Console"/>
        </w:rPr>
      </w:pPr>
      <w:r w:rsidRPr="00714B24">
        <w:rPr>
          <w:rFonts w:ascii="Lucida Console" w:hAnsi="Lucida Console"/>
        </w:rPr>
        <w:t xml:space="preserve"># </w:t>
      </w:r>
      <w:proofErr w:type="spellStart"/>
      <w:r w:rsidRPr="00714B24">
        <w:rPr>
          <w:rFonts w:ascii="Lucida Console" w:hAnsi="Lucida Console"/>
        </w:rPr>
        <w:t>greq</w:t>
      </w:r>
      <w:proofErr w:type="spellEnd"/>
      <w:r w:rsidRPr="00714B24">
        <w:rPr>
          <w:rFonts w:ascii="Lucida Console" w:hAnsi="Lucida Console"/>
        </w:rPr>
        <w:t>: .021</w:t>
      </w:r>
    </w:p>
    <w:p w14:paraId="13C557CC" w14:textId="77777777" w:rsidR="00714B24" w:rsidRPr="00714B24" w:rsidRDefault="00714B24" w:rsidP="00714B24">
      <w:pPr>
        <w:rPr>
          <w:rFonts w:ascii="Lucida Console" w:hAnsi="Lucida Console"/>
        </w:rPr>
      </w:pPr>
      <w:r w:rsidRPr="00714B24">
        <w:rPr>
          <w:rFonts w:ascii="Lucida Console" w:hAnsi="Lucida Console"/>
        </w:rPr>
        <w:t xml:space="preserve"># </w:t>
      </w:r>
      <w:proofErr w:type="spellStart"/>
      <w:r w:rsidRPr="00714B24">
        <w:rPr>
          <w:rFonts w:ascii="Lucida Console" w:hAnsi="Lucida Console"/>
        </w:rPr>
        <w:t>greaw</w:t>
      </w:r>
      <w:proofErr w:type="spellEnd"/>
      <w:r w:rsidRPr="00714B24">
        <w:rPr>
          <w:rFonts w:ascii="Lucida Console" w:hAnsi="Lucida Console"/>
        </w:rPr>
        <w:t>: .01</w:t>
      </w:r>
    </w:p>
    <w:p w14:paraId="14C5E0AA" w14:textId="77777777" w:rsidR="00714B24" w:rsidRPr="00714B24" w:rsidRDefault="00714B24" w:rsidP="00714B24">
      <w:pPr>
        <w:rPr>
          <w:rFonts w:ascii="Lucida Console" w:hAnsi="Lucida Console"/>
        </w:rPr>
      </w:pPr>
      <w:r w:rsidRPr="00714B24">
        <w:rPr>
          <w:rFonts w:ascii="Lucida Console" w:hAnsi="Lucida Console"/>
        </w:rPr>
        <w:t xml:space="preserve"># </w:t>
      </w:r>
      <w:proofErr w:type="spellStart"/>
      <w:r w:rsidRPr="00714B24">
        <w:rPr>
          <w:rFonts w:ascii="Lucida Console" w:hAnsi="Lucida Console"/>
        </w:rPr>
        <w:t>gpa</w:t>
      </w:r>
      <w:proofErr w:type="spellEnd"/>
      <w:r w:rsidRPr="00714B24">
        <w:rPr>
          <w:rFonts w:ascii="Lucida Console" w:hAnsi="Lucida Console"/>
        </w:rPr>
        <w:t>: 1.04</w:t>
      </w:r>
    </w:p>
    <w:p w14:paraId="06488C0A" w14:textId="77777777" w:rsidR="00714B24" w:rsidRPr="00714B24" w:rsidRDefault="00714B24" w:rsidP="00714B24">
      <w:pPr>
        <w:rPr>
          <w:rFonts w:ascii="Lucida Console" w:hAnsi="Lucida Console"/>
        </w:rPr>
      </w:pPr>
      <w:r w:rsidRPr="00714B24">
        <w:rPr>
          <w:rFonts w:ascii="Lucida Console" w:hAnsi="Lucida Console"/>
        </w:rPr>
        <w:t xml:space="preserve"># </w:t>
      </w:r>
    </w:p>
    <w:p w14:paraId="28310A8A" w14:textId="77777777" w:rsidR="00714B24" w:rsidRPr="00714B24" w:rsidRDefault="00714B24" w:rsidP="00714B24">
      <w:pPr>
        <w:rPr>
          <w:rFonts w:ascii="Lucida Console" w:hAnsi="Lucida Console"/>
        </w:rPr>
      </w:pPr>
      <w:r w:rsidRPr="00714B24">
        <w:rPr>
          <w:rFonts w:ascii="Lucida Console" w:hAnsi="Lucida Console"/>
        </w:rPr>
        <w:t># b/c this is logistic, have to apply that function to result</w:t>
      </w:r>
    </w:p>
    <w:p w14:paraId="7C6E1EBB" w14:textId="77777777" w:rsidR="00714B24" w:rsidRPr="00714B24" w:rsidRDefault="00714B24" w:rsidP="00714B24">
      <w:pPr>
        <w:rPr>
          <w:rFonts w:ascii="Lucida Console" w:hAnsi="Lucida Console"/>
        </w:rPr>
      </w:pPr>
      <w:r w:rsidRPr="00714B24">
        <w:rPr>
          <w:rFonts w:ascii="Lucida Console" w:hAnsi="Lucida Console"/>
        </w:rPr>
        <w:t xml:space="preserve"># </w:t>
      </w:r>
    </w:p>
    <w:p w14:paraId="6DD54AC7" w14:textId="607DA5F2" w:rsidR="00714B24" w:rsidRPr="00714B24" w:rsidRDefault="00714B24" w:rsidP="00714B24">
      <w:pPr>
        <w:rPr>
          <w:rFonts w:ascii="Lucida Console" w:hAnsi="Lucida Console"/>
        </w:rPr>
      </w:pPr>
      <w:r w:rsidRPr="00714B24">
        <w:rPr>
          <w:rFonts w:ascii="Lucida Console" w:hAnsi="Lucida Console"/>
        </w:rPr>
        <w:t># E(decision(accept)) = -6.56 + .19*"cog" - 1.25*"</w:t>
      </w:r>
      <w:proofErr w:type="spellStart"/>
      <w:r w:rsidRPr="00714B24">
        <w:rPr>
          <w:rFonts w:ascii="Lucida Console" w:hAnsi="Lucida Console"/>
        </w:rPr>
        <w:t>i</w:t>
      </w:r>
      <w:proofErr w:type="spellEnd"/>
      <w:r w:rsidRPr="00714B24">
        <w:rPr>
          <w:rFonts w:ascii="Lucida Console" w:hAnsi="Lucida Console"/>
        </w:rPr>
        <w:t>/o" - 1.56*"s/p" + .013*</w:t>
      </w:r>
      <w:proofErr w:type="spellStart"/>
      <w:r w:rsidRPr="00714B24">
        <w:rPr>
          <w:rFonts w:ascii="Lucida Console" w:hAnsi="Lucida Console"/>
        </w:rPr>
        <w:t>grev</w:t>
      </w:r>
      <w:proofErr w:type="spellEnd"/>
      <w:r w:rsidR="00E30FCC">
        <w:rPr>
          <w:rFonts w:ascii="Lucida Console" w:hAnsi="Lucida Console"/>
        </w:rPr>
        <w:t xml:space="preserve"> </w:t>
      </w:r>
      <w:r w:rsidRPr="00714B24">
        <w:rPr>
          <w:rFonts w:ascii="Lucida Console" w:hAnsi="Lucida Console"/>
        </w:rPr>
        <w:t>+ .021*</w:t>
      </w:r>
      <w:proofErr w:type="spellStart"/>
      <w:r w:rsidRPr="00714B24">
        <w:rPr>
          <w:rFonts w:ascii="Lucida Console" w:hAnsi="Lucida Console"/>
        </w:rPr>
        <w:t>greq</w:t>
      </w:r>
      <w:proofErr w:type="spellEnd"/>
      <w:r w:rsidRPr="00714B24">
        <w:rPr>
          <w:rFonts w:ascii="Lucida Console" w:hAnsi="Lucida Console"/>
        </w:rPr>
        <w:t xml:space="preserve"> + .01*</w:t>
      </w:r>
      <w:proofErr w:type="spellStart"/>
      <w:r w:rsidRPr="00714B24">
        <w:rPr>
          <w:rFonts w:ascii="Lucida Console" w:hAnsi="Lucida Console"/>
        </w:rPr>
        <w:t>greaw</w:t>
      </w:r>
      <w:proofErr w:type="spellEnd"/>
      <w:r w:rsidRPr="00714B24">
        <w:rPr>
          <w:rFonts w:ascii="Lucida Console" w:hAnsi="Lucida Console"/>
        </w:rPr>
        <w:t xml:space="preserve"> + 1.04*</w:t>
      </w:r>
      <w:proofErr w:type="spellStart"/>
      <w:r w:rsidRPr="00714B24">
        <w:rPr>
          <w:rFonts w:ascii="Lucida Console" w:hAnsi="Lucida Console"/>
        </w:rPr>
        <w:t>gpa</w:t>
      </w:r>
      <w:proofErr w:type="spellEnd"/>
    </w:p>
    <w:p w14:paraId="2AA2970D" w14:textId="77777777" w:rsidR="00714B24" w:rsidRPr="00714B24" w:rsidRDefault="00714B24" w:rsidP="00714B24">
      <w:pPr>
        <w:rPr>
          <w:rFonts w:ascii="Lucida Console" w:hAnsi="Lucida Console"/>
        </w:rPr>
      </w:pPr>
      <w:r w:rsidRPr="00714B24">
        <w:rPr>
          <w:rFonts w:ascii="Lucida Console" w:hAnsi="Lucida Console"/>
        </w:rPr>
        <w:t xml:space="preserve">#   </w:t>
      </w:r>
    </w:p>
    <w:p w14:paraId="3A8990C9" w14:textId="425914B5" w:rsidR="00714B24" w:rsidRPr="00E30FCC" w:rsidRDefault="00714B24" w:rsidP="00714B24">
      <w:pPr>
        <w:rPr>
          <w:rFonts w:ascii="Lucida Console" w:hAnsi="Lucida Console"/>
          <w:b/>
          <w:bCs/>
        </w:rPr>
      </w:pPr>
      <w:r w:rsidRPr="00714B24">
        <w:rPr>
          <w:rFonts w:ascii="Lucida Console" w:hAnsi="Lucida Console"/>
        </w:rPr>
        <w:t xml:space="preserve"># </w:t>
      </w:r>
      <w:proofErr w:type="gramStart"/>
      <w:r w:rsidRPr="00714B24">
        <w:rPr>
          <w:rFonts w:ascii="Lucida Console" w:hAnsi="Lucida Console"/>
        </w:rPr>
        <w:t>predict</w:t>
      </w:r>
      <w:proofErr w:type="gramEnd"/>
      <w:r w:rsidRPr="00714B24">
        <w:rPr>
          <w:rFonts w:ascii="Lucida Console" w:hAnsi="Lucida Console"/>
        </w:rPr>
        <w:t xml:space="preserve"> acceptance for each program w/ 50th percentile score on GRE, 3.5 </w:t>
      </w:r>
      <w:proofErr w:type="spellStart"/>
      <w:r w:rsidRPr="00714B24">
        <w:rPr>
          <w:rFonts w:ascii="Lucida Console" w:hAnsi="Lucida Console"/>
        </w:rPr>
        <w:t>gpa</w:t>
      </w:r>
      <w:proofErr w:type="spellEnd"/>
      <w:r w:rsidR="00E30FCC">
        <w:rPr>
          <w:rFonts w:ascii="Lucida Console" w:hAnsi="Lucida Console"/>
        </w:rPr>
        <w:t xml:space="preserve">, </w:t>
      </w:r>
      <w:r w:rsidR="00E30FCC">
        <w:rPr>
          <w:rFonts w:ascii="Lucida Console" w:hAnsi="Lucida Console"/>
          <w:b/>
          <w:bCs/>
        </w:rPr>
        <w:t>dummy coded program</w:t>
      </w:r>
    </w:p>
    <w:p w14:paraId="4A84384D" w14:textId="77777777" w:rsidR="00714B24" w:rsidRPr="00714B24" w:rsidRDefault="00714B24" w:rsidP="00714B24">
      <w:pPr>
        <w:rPr>
          <w:rFonts w:ascii="Lucida Console" w:hAnsi="Lucida Console"/>
        </w:rPr>
      </w:pPr>
      <w:r w:rsidRPr="00714B24">
        <w:rPr>
          <w:rFonts w:ascii="Lucida Console" w:hAnsi="Lucida Console"/>
        </w:rPr>
        <w:lastRenderedPageBreak/>
        <w:t xml:space="preserve"># </w:t>
      </w:r>
    </w:p>
    <w:p w14:paraId="4D70AE2D" w14:textId="77777777" w:rsidR="00714B24" w:rsidRPr="00714B24" w:rsidRDefault="00714B24" w:rsidP="00714B24">
      <w:pPr>
        <w:rPr>
          <w:rFonts w:ascii="Lucida Console" w:hAnsi="Lucida Console"/>
        </w:rPr>
      </w:pPr>
      <w:r w:rsidRPr="00714B24">
        <w:rPr>
          <w:rFonts w:ascii="Lucida Console" w:hAnsi="Lucida Console"/>
        </w:rPr>
        <w:t># cog:</w:t>
      </w:r>
    </w:p>
    <w:p w14:paraId="76D6C3C5" w14:textId="77777777" w:rsidR="00714B24" w:rsidRPr="00714B24" w:rsidRDefault="00714B24" w:rsidP="00714B24">
      <w:pPr>
        <w:rPr>
          <w:rFonts w:ascii="Lucida Console" w:hAnsi="Lucida Console"/>
        </w:rPr>
      </w:pPr>
      <w:r w:rsidRPr="00714B24">
        <w:rPr>
          <w:rFonts w:ascii="Lucida Console" w:hAnsi="Lucida Console"/>
        </w:rPr>
        <w:t>cog &lt;- -6.56 + .19*1 - 1.25*0 - 1.56*0 + .013*50 + .021*50 + .01*50 + 1.04*3.5</w:t>
      </w:r>
    </w:p>
    <w:p w14:paraId="28214B16" w14:textId="77777777" w:rsidR="00714B24" w:rsidRPr="00714B24" w:rsidRDefault="00714B24" w:rsidP="00714B24">
      <w:pPr>
        <w:rPr>
          <w:rFonts w:ascii="Lucida Console" w:hAnsi="Lucida Console"/>
        </w:rPr>
      </w:pPr>
    </w:p>
    <w:p w14:paraId="204A61D6" w14:textId="77777777" w:rsidR="00714B24" w:rsidRPr="00714B24" w:rsidRDefault="00714B24" w:rsidP="00714B24">
      <w:pPr>
        <w:rPr>
          <w:rFonts w:ascii="Lucida Console" w:hAnsi="Lucida Console"/>
        </w:rPr>
      </w:pPr>
      <w:r w:rsidRPr="00714B24">
        <w:rPr>
          <w:rFonts w:ascii="Lucida Console" w:hAnsi="Lucida Console"/>
        </w:rPr>
        <w:t xml:space="preserve"># </w:t>
      </w:r>
      <w:proofErr w:type="spellStart"/>
      <w:r w:rsidRPr="00714B24">
        <w:rPr>
          <w:rFonts w:ascii="Lucida Console" w:hAnsi="Lucida Console"/>
        </w:rPr>
        <w:t>i</w:t>
      </w:r>
      <w:proofErr w:type="spellEnd"/>
      <w:r w:rsidRPr="00714B24">
        <w:rPr>
          <w:rFonts w:ascii="Lucida Console" w:hAnsi="Lucida Console"/>
        </w:rPr>
        <w:t>/o:</w:t>
      </w:r>
    </w:p>
    <w:p w14:paraId="60981639" w14:textId="77777777" w:rsidR="00714B24" w:rsidRPr="00714B24" w:rsidRDefault="00714B24" w:rsidP="00714B24">
      <w:pPr>
        <w:rPr>
          <w:rFonts w:ascii="Lucida Console" w:hAnsi="Lucida Console"/>
        </w:rPr>
      </w:pPr>
      <w:r w:rsidRPr="00714B24">
        <w:rPr>
          <w:rFonts w:ascii="Lucida Console" w:hAnsi="Lucida Console"/>
        </w:rPr>
        <w:t>io &lt;- -6.56 + .19*0 - 1.25*1 - 1.56*0 + .013*50 + .021*50 + .01*50 + 1.04*3.5</w:t>
      </w:r>
    </w:p>
    <w:p w14:paraId="45996D7C" w14:textId="77777777" w:rsidR="00714B24" w:rsidRPr="00714B24" w:rsidRDefault="00714B24" w:rsidP="00714B24">
      <w:pPr>
        <w:rPr>
          <w:rFonts w:ascii="Lucida Console" w:hAnsi="Lucida Console"/>
        </w:rPr>
      </w:pPr>
    </w:p>
    <w:p w14:paraId="2A0A13A7" w14:textId="77777777" w:rsidR="00714B24" w:rsidRPr="00714B24" w:rsidRDefault="00714B24" w:rsidP="00714B24">
      <w:pPr>
        <w:rPr>
          <w:rFonts w:ascii="Lucida Console" w:hAnsi="Lucida Console"/>
        </w:rPr>
      </w:pPr>
      <w:r w:rsidRPr="00714B24">
        <w:rPr>
          <w:rFonts w:ascii="Lucida Console" w:hAnsi="Lucida Console"/>
        </w:rPr>
        <w:t># s/p:</w:t>
      </w:r>
    </w:p>
    <w:p w14:paraId="5FA0ACD5" w14:textId="77777777" w:rsidR="00714B24" w:rsidRPr="00714B24" w:rsidRDefault="00714B24" w:rsidP="00714B24">
      <w:pPr>
        <w:rPr>
          <w:rFonts w:ascii="Lucida Console" w:hAnsi="Lucida Console"/>
        </w:rPr>
      </w:pPr>
      <w:proofErr w:type="spellStart"/>
      <w:r w:rsidRPr="00714B24">
        <w:rPr>
          <w:rFonts w:ascii="Lucida Console" w:hAnsi="Lucida Console"/>
        </w:rPr>
        <w:t>sp</w:t>
      </w:r>
      <w:proofErr w:type="spellEnd"/>
      <w:r w:rsidRPr="00714B24">
        <w:rPr>
          <w:rFonts w:ascii="Lucida Console" w:hAnsi="Lucida Console"/>
        </w:rPr>
        <w:t xml:space="preserve"> &lt;- -6.56 + .19*0 - 1.25*0 - 1.56*1 + .013*50 + .021*50 + .01*50 + 1.04*3.5</w:t>
      </w:r>
    </w:p>
    <w:p w14:paraId="321345F1" w14:textId="77777777" w:rsidR="00714B24" w:rsidRPr="00714B24" w:rsidRDefault="00714B24" w:rsidP="00714B24">
      <w:pPr>
        <w:rPr>
          <w:rFonts w:ascii="Lucida Console" w:hAnsi="Lucida Console"/>
        </w:rPr>
      </w:pPr>
    </w:p>
    <w:p w14:paraId="286EEADF" w14:textId="77777777" w:rsidR="00714B24" w:rsidRPr="00714B24" w:rsidRDefault="00714B24" w:rsidP="00714B24">
      <w:pPr>
        <w:rPr>
          <w:rFonts w:ascii="Lucida Console" w:hAnsi="Lucida Console"/>
        </w:rPr>
      </w:pPr>
      <w:r w:rsidRPr="00714B24">
        <w:rPr>
          <w:rFonts w:ascii="Lucida Console" w:hAnsi="Lucida Console"/>
        </w:rPr>
        <w:t># bn</w:t>
      </w:r>
    </w:p>
    <w:p w14:paraId="423528F4" w14:textId="77777777" w:rsidR="00714B24" w:rsidRPr="00714B24" w:rsidRDefault="00714B24" w:rsidP="00714B24">
      <w:pPr>
        <w:rPr>
          <w:rFonts w:ascii="Lucida Console" w:hAnsi="Lucida Console"/>
        </w:rPr>
      </w:pPr>
      <w:r w:rsidRPr="00714B24">
        <w:rPr>
          <w:rFonts w:ascii="Lucida Console" w:hAnsi="Lucida Console"/>
        </w:rPr>
        <w:t>bn &lt;- -6.56 + .19*0 - 1.25*0 - 1.56*0 + .013*50 + .021*50 + .01*50 + 1.04*3.5</w:t>
      </w:r>
    </w:p>
    <w:p w14:paraId="0C70FE79" w14:textId="77777777" w:rsidR="00714B24" w:rsidRPr="00714B24" w:rsidRDefault="00714B24" w:rsidP="00714B24">
      <w:pPr>
        <w:rPr>
          <w:rFonts w:ascii="Lucida Console" w:hAnsi="Lucida Console"/>
        </w:rPr>
      </w:pPr>
    </w:p>
    <w:p w14:paraId="65DF15A9" w14:textId="77777777" w:rsidR="00714B24" w:rsidRPr="00714B24" w:rsidRDefault="00714B24" w:rsidP="00714B24">
      <w:pPr>
        <w:rPr>
          <w:rFonts w:ascii="Lucida Console" w:hAnsi="Lucida Console"/>
        </w:rPr>
      </w:pPr>
      <w:r w:rsidRPr="00714B24">
        <w:rPr>
          <w:rFonts w:ascii="Lucida Console" w:hAnsi="Lucida Console"/>
        </w:rPr>
        <w:t xml:space="preserve"># </w:t>
      </w:r>
      <w:proofErr w:type="gramStart"/>
      <w:r w:rsidRPr="00714B24">
        <w:rPr>
          <w:rFonts w:ascii="Lucida Console" w:hAnsi="Lucida Console"/>
        </w:rPr>
        <w:t>now</w:t>
      </w:r>
      <w:proofErr w:type="gramEnd"/>
      <w:r w:rsidRPr="00714B24">
        <w:rPr>
          <w:rFonts w:ascii="Lucida Console" w:hAnsi="Lucida Console"/>
        </w:rPr>
        <w:t xml:space="preserve"> need to use logistic to turn results into proper output log odds</w:t>
      </w:r>
    </w:p>
    <w:p w14:paraId="3A4EECF4" w14:textId="77777777" w:rsidR="00714B24" w:rsidRPr="00714B24" w:rsidRDefault="00714B24" w:rsidP="00714B24">
      <w:pPr>
        <w:rPr>
          <w:rFonts w:ascii="Lucida Console" w:hAnsi="Lucida Console"/>
        </w:rPr>
      </w:pPr>
      <w:r w:rsidRPr="00714B24">
        <w:rPr>
          <w:rFonts w:ascii="Lucida Console" w:hAnsi="Lucida Console"/>
        </w:rPr>
        <w:t xml:space="preserve"># use </w:t>
      </w:r>
      <w:proofErr w:type="spellStart"/>
      <w:r w:rsidRPr="00714B24">
        <w:rPr>
          <w:rFonts w:ascii="Lucida Console" w:hAnsi="Lucida Console"/>
        </w:rPr>
        <w:t>inv.logit</w:t>
      </w:r>
      <w:proofErr w:type="spellEnd"/>
      <w:r w:rsidRPr="00714B24">
        <w:rPr>
          <w:rFonts w:ascii="Lucida Console" w:hAnsi="Lucida Console"/>
        </w:rPr>
        <w:t>() from boot library to do this calculation</w:t>
      </w:r>
    </w:p>
    <w:p w14:paraId="00E53073" w14:textId="77777777" w:rsidR="00714B24" w:rsidRPr="00714B24" w:rsidRDefault="00714B24" w:rsidP="00714B24">
      <w:pPr>
        <w:rPr>
          <w:rFonts w:ascii="Lucida Console" w:hAnsi="Lucida Console"/>
        </w:rPr>
      </w:pPr>
      <w:r w:rsidRPr="00714B24">
        <w:rPr>
          <w:rFonts w:ascii="Lucida Console" w:hAnsi="Lucida Console"/>
        </w:rPr>
        <w:t xml:space="preserve">programs &lt;- c(cog, io, </w:t>
      </w:r>
      <w:proofErr w:type="spellStart"/>
      <w:r w:rsidRPr="00714B24">
        <w:rPr>
          <w:rFonts w:ascii="Lucida Console" w:hAnsi="Lucida Console"/>
        </w:rPr>
        <w:t>sp</w:t>
      </w:r>
      <w:proofErr w:type="spellEnd"/>
      <w:r w:rsidRPr="00714B24">
        <w:rPr>
          <w:rFonts w:ascii="Lucida Console" w:hAnsi="Lucida Console"/>
        </w:rPr>
        <w:t>, bn)</w:t>
      </w:r>
    </w:p>
    <w:p w14:paraId="73805D27" w14:textId="77777777" w:rsidR="00714B24" w:rsidRPr="00714B24" w:rsidRDefault="00714B24" w:rsidP="00714B24">
      <w:pPr>
        <w:rPr>
          <w:rFonts w:ascii="Lucida Console" w:hAnsi="Lucida Console"/>
        </w:rPr>
      </w:pPr>
    </w:p>
    <w:p w14:paraId="1E8295E9" w14:textId="77777777" w:rsidR="00714B24" w:rsidRPr="00714B24" w:rsidRDefault="00714B24" w:rsidP="00714B24">
      <w:pPr>
        <w:rPr>
          <w:rFonts w:ascii="Lucida Console" w:hAnsi="Lucida Console"/>
        </w:rPr>
      </w:pPr>
      <w:r w:rsidRPr="00714B24">
        <w:rPr>
          <w:rFonts w:ascii="Lucida Console" w:hAnsi="Lucida Console"/>
        </w:rPr>
        <w:t xml:space="preserve"># </w:t>
      </w:r>
      <w:proofErr w:type="gramStart"/>
      <w:r w:rsidRPr="00714B24">
        <w:rPr>
          <w:rFonts w:ascii="Lucida Console" w:hAnsi="Lucida Console"/>
        </w:rPr>
        <w:t>apply</w:t>
      </w:r>
      <w:proofErr w:type="gramEnd"/>
      <w:r w:rsidRPr="00714B24">
        <w:rPr>
          <w:rFonts w:ascii="Lucida Console" w:hAnsi="Lucida Console"/>
        </w:rPr>
        <w:t xml:space="preserve"> logistic to program vector</w:t>
      </w:r>
    </w:p>
    <w:p w14:paraId="12BDCA83" w14:textId="77777777" w:rsidR="00714B24" w:rsidRPr="00714B24" w:rsidRDefault="00714B24" w:rsidP="00714B24">
      <w:pPr>
        <w:rPr>
          <w:rFonts w:ascii="Lucida Console" w:hAnsi="Lucida Console"/>
        </w:rPr>
      </w:pPr>
      <w:r w:rsidRPr="00714B24">
        <w:rPr>
          <w:rFonts w:ascii="Lucida Console" w:hAnsi="Lucida Console"/>
        </w:rPr>
        <w:t xml:space="preserve">map(programs, </w:t>
      </w:r>
      <w:proofErr w:type="spellStart"/>
      <w:r w:rsidRPr="00714B24">
        <w:rPr>
          <w:rFonts w:ascii="Lucida Console" w:hAnsi="Lucida Console"/>
        </w:rPr>
        <w:t>inv.logit</w:t>
      </w:r>
      <w:proofErr w:type="spellEnd"/>
      <w:r w:rsidRPr="00714B24">
        <w:rPr>
          <w:rFonts w:ascii="Lucida Console" w:hAnsi="Lucida Console"/>
        </w:rPr>
        <w:t>)</w:t>
      </w:r>
    </w:p>
    <w:p w14:paraId="160EC647" w14:textId="77777777" w:rsidR="00714B24" w:rsidRPr="00714B24" w:rsidRDefault="00714B24" w:rsidP="00714B24">
      <w:pPr>
        <w:rPr>
          <w:rFonts w:ascii="Lucida Console" w:hAnsi="Lucida Console"/>
        </w:rPr>
      </w:pPr>
    </w:p>
    <w:p w14:paraId="4FD95E98" w14:textId="77777777" w:rsidR="00714B24" w:rsidRPr="00714B24" w:rsidRDefault="00714B24" w:rsidP="00714B24">
      <w:pPr>
        <w:rPr>
          <w:rFonts w:ascii="Lucida Console" w:hAnsi="Lucida Console"/>
        </w:rPr>
      </w:pPr>
      <w:r w:rsidRPr="00714B24">
        <w:rPr>
          <w:rFonts w:ascii="Lucida Console" w:hAnsi="Lucida Console"/>
        </w:rPr>
        <w:t xml:space="preserve"># cog: .37, io: .12, </w:t>
      </w:r>
      <w:proofErr w:type="spellStart"/>
      <w:r w:rsidRPr="00714B24">
        <w:rPr>
          <w:rFonts w:ascii="Lucida Console" w:hAnsi="Lucida Console"/>
        </w:rPr>
        <w:t>sp</w:t>
      </w:r>
      <w:proofErr w:type="spellEnd"/>
      <w:r w:rsidRPr="00714B24">
        <w:rPr>
          <w:rFonts w:ascii="Lucida Console" w:hAnsi="Lucida Console"/>
        </w:rPr>
        <w:t>: .09, bn: .33</w:t>
      </w:r>
    </w:p>
    <w:p w14:paraId="5695964C" w14:textId="610ECE06" w:rsidR="007A1B2E" w:rsidRDefault="00714B24" w:rsidP="00714B24">
      <w:pPr>
        <w:rPr>
          <w:rFonts w:ascii="Lucida Console" w:hAnsi="Lucida Console"/>
        </w:rPr>
      </w:pPr>
      <w:r w:rsidRPr="00714B24">
        <w:rPr>
          <w:rFonts w:ascii="Lucida Console" w:hAnsi="Lucida Console"/>
        </w:rPr>
        <w:t># probabilities for acceptance by program</w:t>
      </w:r>
    </w:p>
    <w:p w14:paraId="305C35FE" w14:textId="3288E1F4" w:rsidR="00E30FCC" w:rsidRDefault="00904789" w:rsidP="00714B24">
      <w:pPr>
        <w:rPr>
          <w:i/>
          <w:iCs/>
        </w:rPr>
      </w:pPr>
      <w:r>
        <w:rPr>
          <w:i/>
          <w:iCs/>
        </w:rPr>
        <w:t>Part Four</w:t>
      </w:r>
    </w:p>
    <w:p w14:paraId="7A5F0B4B" w14:textId="77777777" w:rsidR="006741DC" w:rsidRDefault="00BE38E3" w:rsidP="00714B24">
      <w:r>
        <w:tab/>
      </w:r>
      <w:r w:rsidR="001669FA">
        <w:t>For the next model</w:t>
      </w:r>
      <w:r w:rsidR="00806723">
        <w:t>,</w:t>
      </w:r>
      <w:r w:rsidR="001669FA">
        <w:t xml:space="preserve"> I wanted to </w:t>
      </w:r>
      <w:r w:rsidR="00806723">
        <w:t>see what factors in this experiment would predict stop responses during a go-no-go tas</w:t>
      </w:r>
      <w:r w:rsidR="000D4B3A">
        <w:t>k, particularly the ratio of stop to go trials and the inter-trial interval (ITI).</w:t>
      </w:r>
      <w:r w:rsidR="00806723">
        <w:t xml:space="preserve"> I started again with a</w:t>
      </w:r>
      <w:r w:rsidR="003D1DC6">
        <w:t xml:space="preserve">n exploratory linear model </w:t>
      </w:r>
      <w:r w:rsidR="000D4B3A">
        <w:t xml:space="preserve">with ratio, ratio </w:t>
      </w:r>
      <w:r w:rsidR="00B043F5">
        <w:t xml:space="preserve">quadratic, ITI, and the interaction between ratio and ITI as predictors. </w:t>
      </w:r>
    </w:p>
    <w:p w14:paraId="7D466126" w14:textId="1117C077" w:rsidR="006741DC" w:rsidRPr="006741DC" w:rsidRDefault="006741DC" w:rsidP="006741DC">
      <w:r>
        <w:t>(</w:t>
      </w:r>
      <w:r>
        <w:rPr>
          <w:i/>
          <w:iCs/>
        </w:rPr>
        <w:t>Part Six</w:t>
      </w:r>
      <w:r>
        <w:t>)</w:t>
      </w:r>
    </w:p>
    <w:p w14:paraId="32425483" w14:textId="77777777" w:rsidR="006741DC" w:rsidRDefault="007C6BFD" w:rsidP="006741DC">
      <w:pPr>
        <w:ind w:firstLine="720"/>
      </w:pPr>
      <w:r>
        <w:t xml:space="preserve">I </w:t>
      </w:r>
      <w:r w:rsidR="00A16C39">
        <w:t>used</w:t>
      </w:r>
      <w:r>
        <w:t xml:space="preserve"> </w:t>
      </w:r>
      <w:r w:rsidR="00B043F5">
        <w:t xml:space="preserve">this initial model to </w:t>
      </w:r>
      <w:r w:rsidR="006F455C">
        <w:t>investigate whether this variable</w:t>
      </w:r>
      <w:r w:rsidR="005E1B32">
        <w:t xml:space="preserve"> of summed stop responses</w:t>
      </w:r>
      <w:r w:rsidR="006F455C">
        <w:t xml:space="preserve"> needed to be transformed</w:t>
      </w:r>
      <w:r w:rsidR="00A16C39">
        <w:t xml:space="preserve"> as an exercise</w:t>
      </w:r>
      <w:r w:rsidR="005E1B32">
        <w:t xml:space="preserve">. I used the </w:t>
      </w:r>
      <w:proofErr w:type="spellStart"/>
      <w:r w:rsidR="005E1B32">
        <w:t>check_model</w:t>
      </w:r>
      <w:proofErr w:type="spellEnd"/>
      <w:r w:rsidR="005E1B32">
        <w:t xml:space="preserve">() command and found a couple issues: first, the </w:t>
      </w:r>
      <w:r w:rsidR="008E71D5">
        <w:t xml:space="preserve">posterior predicted model distributions predicted values below zero and had a </w:t>
      </w:r>
      <w:r w:rsidR="008E71D5">
        <w:lastRenderedPageBreak/>
        <w:t>normal shape (as expected for this model), but the observed data were peaked around 0</w:t>
      </w:r>
      <w:r w:rsidR="00304F03">
        <w:t xml:space="preserve"> and did not fall below that value. Second, there </w:t>
      </w:r>
      <w:r w:rsidR="0025315C">
        <w:t>were</w:t>
      </w:r>
      <w:r w:rsidR="00304F03">
        <w:t xml:space="preserve"> severe multicollinearity issues for the quadratic, interaction, </w:t>
      </w:r>
      <w:r w:rsidR="0025315C">
        <w:t>and even the ratio term.</w:t>
      </w:r>
      <w:r w:rsidR="002A0D9D">
        <w:t xml:space="preserve"> Lastly, the error terms were not normally distributed and showed heterogeneity </w:t>
      </w:r>
      <w:r w:rsidR="0032580A">
        <w:t xml:space="preserve">along the predicted values of the outcome. </w:t>
      </w:r>
    </w:p>
    <w:p w14:paraId="01E75294" w14:textId="5359EEAF" w:rsidR="008A6330" w:rsidRPr="008A6330" w:rsidRDefault="008A6330" w:rsidP="008A6330">
      <w:pPr>
        <w:rPr>
          <w:i/>
          <w:iCs/>
        </w:rPr>
      </w:pPr>
      <w:r>
        <w:rPr>
          <w:i/>
          <w:iCs/>
        </w:rPr>
        <w:t xml:space="preserve">Part Four </w:t>
      </w:r>
      <w:proofErr w:type="spellStart"/>
      <w:r>
        <w:rPr>
          <w:i/>
          <w:iCs/>
        </w:rPr>
        <w:t>cont</w:t>
      </w:r>
      <w:proofErr w:type="spellEnd"/>
      <w:r>
        <w:rPr>
          <w:i/>
          <w:iCs/>
        </w:rPr>
        <w:t>…</w:t>
      </w:r>
    </w:p>
    <w:p w14:paraId="51D02EE0" w14:textId="0564AA56" w:rsidR="00BE38E3" w:rsidRDefault="0032580A" w:rsidP="006741DC">
      <w:pPr>
        <w:ind w:firstLine="720"/>
      </w:pPr>
      <w:r>
        <w:t>To address these issues with the linear model, I opted to log transform the outcome of sum</w:t>
      </w:r>
      <w:r w:rsidR="00474079">
        <w:t xml:space="preserve">med stop responses (adding 1 to prevent issues with zero values) and center the predictors. </w:t>
      </w:r>
      <w:r w:rsidR="006664D9">
        <w:t xml:space="preserve">I reran the adjusted </w:t>
      </w:r>
      <w:r w:rsidR="00A16C39">
        <w:t>model,</w:t>
      </w:r>
      <w:r w:rsidR="006664D9">
        <w:t xml:space="preserve"> and the results are summarized in Table 4. </w:t>
      </w:r>
      <w:r w:rsidR="0025315C">
        <w:t xml:space="preserve"> </w:t>
      </w:r>
      <w:r w:rsidR="00C02479">
        <w:t xml:space="preserve">Each of the predictors aside from the interaction term were significant. </w:t>
      </w:r>
      <w:r w:rsidR="002318A7">
        <w:t>For every millisecond of inter-trial interval (ITI)</w:t>
      </w:r>
      <w:r w:rsidR="00E449AE">
        <w:t xml:space="preserve">, fewer stop responses were predicted by the model. This was the opposite for the ratio term, which </w:t>
      </w:r>
      <w:r w:rsidR="005F558A">
        <w:t xml:space="preserve">an increase of ratio of stop to go trials predicted an increase of </w:t>
      </w:r>
      <w:r w:rsidR="002F2AE4">
        <w:t>stop responses in that trial</w:t>
      </w:r>
      <w:r w:rsidR="006550BE">
        <w:t xml:space="preserve"> (Figure 4)</w:t>
      </w:r>
      <w:r w:rsidR="002F2AE4">
        <w:t xml:space="preserve">. </w:t>
      </w:r>
    </w:p>
    <w:p w14:paraId="1B192EFC" w14:textId="64865D29" w:rsidR="002F2AE4" w:rsidRDefault="002F2AE4" w:rsidP="00714B24">
      <w:r>
        <w:tab/>
      </w:r>
      <w:r w:rsidR="000F0595">
        <w:t xml:space="preserve">Upon second inspection of the assumptions, this model addressed most issues including multicollinearity, normality of errors, and homogeneity of errors. The only issue that remained was the posterior predictive check revealed a bimodal distribution of </w:t>
      </w:r>
      <w:r w:rsidR="003F603A">
        <w:t xml:space="preserve">observed data with a small peak still appearing around 0. This is likely due to the fact that this is not the proper model for the </w:t>
      </w:r>
      <w:r w:rsidR="001E2DA6">
        <w:t xml:space="preserve">type of outcome that is being measured here. </w:t>
      </w:r>
      <w:r w:rsidR="00093D36">
        <w:t xml:space="preserve">To bring home this point, I plotted the </w:t>
      </w:r>
      <w:r w:rsidR="00A57594">
        <w:t xml:space="preserve">relationship between </w:t>
      </w:r>
      <w:r w:rsidR="00FB2064">
        <w:t>different values of ratio of go to stop trials and the inter-trial interval</w:t>
      </w:r>
      <w:r w:rsidR="002D3380">
        <w:t xml:space="preserve"> in Figure 4. There are still a lot of values </w:t>
      </w:r>
      <w:r w:rsidR="008F3953">
        <w:t xml:space="preserve">that pile around zero </w:t>
      </w:r>
      <w:r w:rsidR="005415EB">
        <w:t xml:space="preserve">that will be hard to address with the linear model. </w:t>
      </w:r>
    </w:p>
    <w:p w14:paraId="0321EEDB" w14:textId="3294A70A" w:rsidR="006664D9" w:rsidRDefault="006664D9" w:rsidP="00714B24">
      <w:pPr>
        <w:rPr>
          <w:b/>
          <w:bCs/>
        </w:rPr>
      </w:pPr>
      <w:r>
        <w:rPr>
          <w:b/>
          <w:bCs/>
        </w:rPr>
        <w:t>Table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288"/>
        <w:gridCol w:w="1489"/>
        <w:gridCol w:w="1489"/>
        <w:gridCol w:w="1489"/>
      </w:tblGrid>
      <w:tr w:rsidR="008F4D54" w:rsidRPr="009E0AA6" w14:paraId="04538AD6" w14:textId="77777777" w:rsidTr="008F4D54">
        <w:trPr>
          <w:trHeight w:val="458"/>
        </w:trPr>
        <w:tc>
          <w:tcPr>
            <w:tcW w:w="2070" w:type="dxa"/>
            <w:tcBorders>
              <w:top w:val="single" w:sz="4" w:space="0" w:color="auto"/>
              <w:bottom w:val="single" w:sz="4" w:space="0" w:color="auto"/>
            </w:tcBorders>
            <w:vAlign w:val="center"/>
          </w:tcPr>
          <w:p w14:paraId="577668E5" w14:textId="77777777" w:rsidR="008F4D54" w:rsidRPr="00964EF8" w:rsidRDefault="008F4D54" w:rsidP="00D92A18">
            <w:r w:rsidRPr="00964EF8">
              <w:t>Term</w:t>
            </w:r>
          </w:p>
        </w:tc>
        <w:tc>
          <w:tcPr>
            <w:tcW w:w="1288" w:type="dxa"/>
            <w:tcBorders>
              <w:top w:val="single" w:sz="4" w:space="0" w:color="auto"/>
              <w:bottom w:val="single" w:sz="4" w:space="0" w:color="auto"/>
            </w:tcBorders>
            <w:vAlign w:val="center"/>
          </w:tcPr>
          <w:p w14:paraId="74A2EAA3" w14:textId="77777777" w:rsidR="008F4D54" w:rsidRPr="00964EF8" w:rsidRDefault="008F4D54" w:rsidP="00D92A18">
            <w:pPr>
              <w:jc w:val="center"/>
            </w:pPr>
            <w:r>
              <w:t>B</w:t>
            </w:r>
          </w:p>
        </w:tc>
        <w:tc>
          <w:tcPr>
            <w:tcW w:w="1489" w:type="dxa"/>
            <w:tcBorders>
              <w:top w:val="single" w:sz="4" w:space="0" w:color="auto"/>
              <w:bottom w:val="single" w:sz="4" w:space="0" w:color="auto"/>
            </w:tcBorders>
            <w:vAlign w:val="center"/>
          </w:tcPr>
          <w:p w14:paraId="29105A10" w14:textId="77777777" w:rsidR="008F4D54" w:rsidRPr="00964EF8" w:rsidRDefault="008F4D54" w:rsidP="00D92A18">
            <w:pPr>
              <w:jc w:val="center"/>
            </w:pPr>
            <w:r>
              <w:t>SE</w:t>
            </w:r>
          </w:p>
        </w:tc>
        <w:tc>
          <w:tcPr>
            <w:tcW w:w="1489" w:type="dxa"/>
            <w:tcBorders>
              <w:top w:val="single" w:sz="4" w:space="0" w:color="auto"/>
              <w:bottom w:val="single" w:sz="4" w:space="0" w:color="auto"/>
            </w:tcBorders>
            <w:vAlign w:val="center"/>
          </w:tcPr>
          <w:p w14:paraId="735BF28C" w14:textId="77777777" w:rsidR="008F4D54" w:rsidRPr="009E0AA6" w:rsidRDefault="008F4D54" w:rsidP="00D92A18">
            <w:pPr>
              <w:jc w:val="center"/>
            </w:pPr>
            <w:r>
              <w:t>t</w:t>
            </w:r>
          </w:p>
        </w:tc>
        <w:tc>
          <w:tcPr>
            <w:tcW w:w="1489" w:type="dxa"/>
            <w:tcBorders>
              <w:top w:val="single" w:sz="4" w:space="0" w:color="auto"/>
              <w:bottom w:val="single" w:sz="4" w:space="0" w:color="auto"/>
            </w:tcBorders>
            <w:vAlign w:val="center"/>
          </w:tcPr>
          <w:p w14:paraId="2974E3CA" w14:textId="77777777" w:rsidR="008F4D54" w:rsidRPr="009E0AA6" w:rsidRDefault="008F4D54" w:rsidP="00D92A18">
            <w:pPr>
              <w:jc w:val="center"/>
            </w:pPr>
            <w:r>
              <w:t>p</w:t>
            </w:r>
          </w:p>
        </w:tc>
      </w:tr>
      <w:tr w:rsidR="008F4D54" w:rsidRPr="00DC38EF" w14:paraId="6555EC55" w14:textId="77777777" w:rsidTr="008F4D54">
        <w:trPr>
          <w:trHeight w:val="351"/>
        </w:trPr>
        <w:tc>
          <w:tcPr>
            <w:tcW w:w="2070" w:type="dxa"/>
            <w:tcBorders>
              <w:top w:val="single" w:sz="4" w:space="0" w:color="auto"/>
            </w:tcBorders>
            <w:vAlign w:val="center"/>
          </w:tcPr>
          <w:p w14:paraId="1401EE0A" w14:textId="77777777" w:rsidR="008F4D54" w:rsidRPr="00DC38EF" w:rsidRDefault="008F4D54" w:rsidP="00D92A18">
            <w:r w:rsidRPr="00DC38EF">
              <w:t>Intercept</w:t>
            </w:r>
          </w:p>
        </w:tc>
        <w:tc>
          <w:tcPr>
            <w:tcW w:w="1288" w:type="dxa"/>
            <w:tcBorders>
              <w:top w:val="single" w:sz="4" w:space="0" w:color="auto"/>
            </w:tcBorders>
            <w:vAlign w:val="center"/>
          </w:tcPr>
          <w:p w14:paraId="2915B540" w14:textId="0CBF76D2" w:rsidR="008F4D54" w:rsidRPr="00DC38EF" w:rsidRDefault="009D3C3A" w:rsidP="0047154D">
            <w:pPr>
              <w:tabs>
                <w:tab w:val="decimal" w:pos="0"/>
              </w:tabs>
              <w:jc w:val="center"/>
            </w:pPr>
            <w:r>
              <w:t>4.68</w:t>
            </w:r>
          </w:p>
        </w:tc>
        <w:tc>
          <w:tcPr>
            <w:tcW w:w="1489" w:type="dxa"/>
            <w:tcBorders>
              <w:top w:val="single" w:sz="4" w:space="0" w:color="auto"/>
            </w:tcBorders>
            <w:vAlign w:val="center"/>
          </w:tcPr>
          <w:p w14:paraId="40D713E5" w14:textId="71EC34A3" w:rsidR="008F4D54" w:rsidRPr="00DC38EF" w:rsidRDefault="008E384A" w:rsidP="00235FA8">
            <w:pPr>
              <w:tabs>
                <w:tab w:val="decimal" w:pos="131"/>
              </w:tabs>
              <w:jc w:val="center"/>
            </w:pPr>
            <w:r>
              <w:t>.07</w:t>
            </w:r>
            <w:r w:rsidR="009D3C3A">
              <w:t>8</w:t>
            </w:r>
          </w:p>
        </w:tc>
        <w:tc>
          <w:tcPr>
            <w:tcW w:w="1489" w:type="dxa"/>
            <w:tcBorders>
              <w:top w:val="single" w:sz="4" w:space="0" w:color="auto"/>
            </w:tcBorders>
            <w:vAlign w:val="center"/>
          </w:tcPr>
          <w:p w14:paraId="16230226" w14:textId="565E14A0" w:rsidR="008F4D54" w:rsidRPr="00DC38EF" w:rsidRDefault="008E384A" w:rsidP="00235FA8">
            <w:pPr>
              <w:tabs>
                <w:tab w:val="decimal" w:pos="441"/>
              </w:tabs>
              <w:jc w:val="center"/>
            </w:pPr>
            <w:r>
              <w:t>23.2</w:t>
            </w:r>
          </w:p>
        </w:tc>
        <w:tc>
          <w:tcPr>
            <w:tcW w:w="1489" w:type="dxa"/>
            <w:tcBorders>
              <w:top w:val="single" w:sz="4" w:space="0" w:color="auto"/>
            </w:tcBorders>
            <w:vAlign w:val="center"/>
          </w:tcPr>
          <w:p w14:paraId="581629FE" w14:textId="6FC4DBFF" w:rsidR="008F4D54" w:rsidRPr="00DC38EF" w:rsidRDefault="00435E39" w:rsidP="00D92A18">
            <w:pPr>
              <w:tabs>
                <w:tab w:val="decimal" w:pos="150"/>
              </w:tabs>
              <w:jc w:val="center"/>
            </w:pPr>
            <w:r>
              <w:t>&lt;.001</w:t>
            </w:r>
          </w:p>
        </w:tc>
      </w:tr>
      <w:tr w:rsidR="008F4D54" w:rsidRPr="00DC38EF" w14:paraId="012C6E31" w14:textId="77777777" w:rsidTr="008F4D54">
        <w:trPr>
          <w:trHeight w:val="351"/>
        </w:trPr>
        <w:tc>
          <w:tcPr>
            <w:tcW w:w="2070" w:type="dxa"/>
            <w:vAlign w:val="center"/>
          </w:tcPr>
          <w:p w14:paraId="2C586AC5" w14:textId="4ABBD516" w:rsidR="008F4D54" w:rsidRPr="00DC38EF" w:rsidRDefault="008F4D54" w:rsidP="00D92A18">
            <w:r>
              <w:t xml:space="preserve">  I</w:t>
            </w:r>
            <w:r w:rsidR="000873B8">
              <w:t>TI</w:t>
            </w:r>
          </w:p>
        </w:tc>
        <w:tc>
          <w:tcPr>
            <w:tcW w:w="1288" w:type="dxa"/>
            <w:vAlign w:val="center"/>
          </w:tcPr>
          <w:p w14:paraId="5704E500" w14:textId="3C7F808C" w:rsidR="008F4D54" w:rsidRPr="00DC38EF" w:rsidRDefault="00435E39" w:rsidP="0047154D">
            <w:pPr>
              <w:tabs>
                <w:tab w:val="decimal" w:pos="341"/>
              </w:tabs>
              <w:jc w:val="center"/>
            </w:pPr>
            <w:r>
              <w:t>-.000</w:t>
            </w:r>
            <w:r w:rsidR="00645B12">
              <w:t>5</w:t>
            </w:r>
          </w:p>
        </w:tc>
        <w:tc>
          <w:tcPr>
            <w:tcW w:w="1489" w:type="dxa"/>
            <w:vAlign w:val="center"/>
          </w:tcPr>
          <w:p w14:paraId="71D21E3E" w14:textId="79D5A911" w:rsidR="008F4D54" w:rsidRPr="00DC38EF" w:rsidRDefault="00E500DE" w:rsidP="00235FA8">
            <w:pPr>
              <w:tabs>
                <w:tab w:val="decimal" w:pos="221"/>
              </w:tabs>
              <w:jc w:val="center"/>
            </w:pPr>
            <w:r>
              <w:t>.0002</w:t>
            </w:r>
          </w:p>
        </w:tc>
        <w:tc>
          <w:tcPr>
            <w:tcW w:w="1489" w:type="dxa"/>
            <w:vAlign w:val="center"/>
          </w:tcPr>
          <w:p w14:paraId="24DF2A49" w14:textId="09241584" w:rsidR="008F4D54" w:rsidRPr="00DC38EF" w:rsidRDefault="00E500DE" w:rsidP="00235FA8">
            <w:pPr>
              <w:tabs>
                <w:tab w:val="decimal" w:pos="531"/>
              </w:tabs>
              <w:jc w:val="center"/>
            </w:pPr>
            <w:r>
              <w:t>-2.57</w:t>
            </w:r>
          </w:p>
        </w:tc>
        <w:tc>
          <w:tcPr>
            <w:tcW w:w="1489" w:type="dxa"/>
            <w:vAlign w:val="center"/>
          </w:tcPr>
          <w:p w14:paraId="2065EC71" w14:textId="21DC5A23" w:rsidR="008F4D54" w:rsidRPr="00DC38EF" w:rsidRDefault="00645B12" w:rsidP="00D92A18">
            <w:pPr>
              <w:tabs>
                <w:tab w:val="decimal" w:pos="150"/>
              </w:tabs>
              <w:jc w:val="center"/>
            </w:pPr>
            <w:r>
              <w:t>.011</w:t>
            </w:r>
          </w:p>
        </w:tc>
      </w:tr>
      <w:tr w:rsidR="008F4D54" w:rsidRPr="00DC38EF" w14:paraId="3C4D5AC5" w14:textId="77777777" w:rsidTr="008F4D54">
        <w:trPr>
          <w:trHeight w:val="351"/>
        </w:trPr>
        <w:tc>
          <w:tcPr>
            <w:tcW w:w="2070" w:type="dxa"/>
            <w:vAlign w:val="center"/>
          </w:tcPr>
          <w:p w14:paraId="208BF7B0" w14:textId="59AF0676" w:rsidR="008F4D54" w:rsidRPr="00DC38EF" w:rsidRDefault="008F4D54" w:rsidP="00D92A18">
            <w:r>
              <w:t xml:space="preserve">  Ratio</w:t>
            </w:r>
          </w:p>
        </w:tc>
        <w:tc>
          <w:tcPr>
            <w:tcW w:w="1288" w:type="dxa"/>
            <w:vAlign w:val="center"/>
          </w:tcPr>
          <w:p w14:paraId="34A9E305" w14:textId="54BB759C" w:rsidR="008F4D54" w:rsidRPr="00DC38EF" w:rsidRDefault="00645B12" w:rsidP="0047154D">
            <w:pPr>
              <w:tabs>
                <w:tab w:val="decimal" w:pos="251"/>
              </w:tabs>
              <w:jc w:val="center"/>
            </w:pPr>
            <w:r>
              <w:t>.04</w:t>
            </w:r>
            <w:r w:rsidR="000E0323">
              <w:t>0</w:t>
            </w:r>
          </w:p>
        </w:tc>
        <w:tc>
          <w:tcPr>
            <w:tcW w:w="1489" w:type="dxa"/>
            <w:vAlign w:val="center"/>
          </w:tcPr>
          <w:p w14:paraId="7477121D" w14:textId="1B1B7ABA" w:rsidR="008F4D54" w:rsidRPr="00DC38EF" w:rsidRDefault="000E0323" w:rsidP="00235FA8">
            <w:pPr>
              <w:tabs>
                <w:tab w:val="decimal" w:pos="131"/>
              </w:tabs>
              <w:jc w:val="center"/>
            </w:pPr>
            <w:r>
              <w:t>.017</w:t>
            </w:r>
          </w:p>
        </w:tc>
        <w:tc>
          <w:tcPr>
            <w:tcW w:w="1489" w:type="dxa"/>
            <w:vAlign w:val="center"/>
          </w:tcPr>
          <w:p w14:paraId="16FEDC2F" w14:textId="1B57E114" w:rsidR="008F4D54" w:rsidRPr="00DC38EF" w:rsidRDefault="000E0323" w:rsidP="00235FA8">
            <w:pPr>
              <w:tabs>
                <w:tab w:val="decimal" w:pos="531"/>
              </w:tabs>
              <w:jc w:val="center"/>
            </w:pPr>
            <w:r>
              <w:t>2.38</w:t>
            </w:r>
          </w:p>
        </w:tc>
        <w:tc>
          <w:tcPr>
            <w:tcW w:w="1489" w:type="dxa"/>
            <w:vAlign w:val="center"/>
          </w:tcPr>
          <w:p w14:paraId="4A51B9AF" w14:textId="6FE2A68D" w:rsidR="008F4D54" w:rsidRPr="00DC38EF" w:rsidRDefault="000E0323" w:rsidP="00D92A18">
            <w:pPr>
              <w:tabs>
                <w:tab w:val="decimal" w:pos="150"/>
              </w:tabs>
              <w:jc w:val="center"/>
            </w:pPr>
            <w:r>
              <w:t>.018</w:t>
            </w:r>
          </w:p>
        </w:tc>
      </w:tr>
      <w:tr w:rsidR="008F4D54" w:rsidRPr="00DC38EF" w14:paraId="42BBC0EB" w14:textId="77777777" w:rsidTr="008F4D54">
        <w:trPr>
          <w:trHeight w:val="351"/>
        </w:trPr>
        <w:tc>
          <w:tcPr>
            <w:tcW w:w="2070" w:type="dxa"/>
            <w:vAlign w:val="center"/>
          </w:tcPr>
          <w:p w14:paraId="7EA01C7E" w14:textId="731B0D88" w:rsidR="008F4D54" w:rsidRPr="00DC38EF" w:rsidRDefault="008F4D54" w:rsidP="00D92A18">
            <w:r>
              <w:t xml:space="preserve">  </w:t>
            </w:r>
            <w:r w:rsidR="000873B8">
              <w:t>Ratio*Ratio</w:t>
            </w:r>
          </w:p>
        </w:tc>
        <w:tc>
          <w:tcPr>
            <w:tcW w:w="1288" w:type="dxa"/>
            <w:vAlign w:val="center"/>
          </w:tcPr>
          <w:p w14:paraId="5F720150" w14:textId="55CBE821" w:rsidR="008F4D54" w:rsidRPr="00DC38EF" w:rsidRDefault="00CB4874" w:rsidP="0047154D">
            <w:pPr>
              <w:tabs>
                <w:tab w:val="decimal" w:pos="251"/>
              </w:tabs>
              <w:jc w:val="center"/>
            </w:pPr>
            <w:r>
              <w:t>-.015</w:t>
            </w:r>
          </w:p>
        </w:tc>
        <w:tc>
          <w:tcPr>
            <w:tcW w:w="1489" w:type="dxa"/>
            <w:vAlign w:val="center"/>
          </w:tcPr>
          <w:p w14:paraId="33A93780" w14:textId="54D331E5" w:rsidR="008F4D54" w:rsidRPr="00DC38EF" w:rsidRDefault="00CB4874" w:rsidP="00235FA8">
            <w:pPr>
              <w:tabs>
                <w:tab w:val="decimal" w:pos="131"/>
              </w:tabs>
              <w:jc w:val="center"/>
            </w:pPr>
            <w:r>
              <w:t>.006</w:t>
            </w:r>
          </w:p>
        </w:tc>
        <w:tc>
          <w:tcPr>
            <w:tcW w:w="1489" w:type="dxa"/>
            <w:vAlign w:val="center"/>
          </w:tcPr>
          <w:p w14:paraId="7DC2F061" w14:textId="15E1B931" w:rsidR="008F4D54" w:rsidRPr="00DC38EF" w:rsidRDefault="00CB4874" w:rsidP="00235FA8">
            <w:pPr>
              <w:tabs>
                <w:tab w:val="decimal" w:pos="531"/>
              </w:tabs>
              <w:jc w:val="center"/>
            </w:pPr>
            <w:r>
              <w:t>-2.29</w:t>
            </w:r>
          </w:p>
        </w:tc>
        <w:tc>
          <w:tcPr>
            <w:tcW w:w="1489" w:type="dxa"/>
            <w:vAlign w:val="center"/>
          </w:tcPr>
          <w:p w14:paraId="3A8CB2FF" w14:textId="48260135" w:rsidR="008F4D54" w:rsidRPr="00DC38EF" w:rsidRDefault="00CB4874" w:rsidP="00D92A18">
            <w:pPr>
              <w:tabs>
                <w:tab w:val="decimal" w:pos="150"/>
              </w:tabs>
              <w:jc w:val="center"/>
            </w:pPr>
            <w:r>
              <w:t>.023</w:t>
            </w:r>
          </w:p>
        </w:tc>
      </w:tr>
      <w:tr w:rsidR="008F4D54" w:rsidRPr="00DC38EF" w14:paraId="2A05EB72" w14:textId="77777777" w:rsidTr="008F4D54">
        <w:trPr>
          <w:trHeight w:val="351"/>
        </w:trPr>
        <w:tc>
          <w:tcPr>
            <w:tcW w:w="2070" w:type="dxa"/>
            <w:tcBorders>
              <w:bottom w:val="single" w:sz="4" w:space="0" w:color="auto"/>
            </w:tcBorders>
            <w:vAlign w:val="center"/>
          </w:tcPr>
          <w:p w14:paraId="37E4E0DF" w14:textId="38249024" w:rsidR="008F4D54" w:rsidRPr="00DC38EF" w:rsidRDefault="000873B8" w:rsidP="00D92A18">
            <w:r>
              <w:t xml:space="preserve">  Ratio*ITI</w:t>
            </w:r>
          </w:p>
        </w:tc>
        <w:tc>
          <w:tcPr>
            <w:tcW w:w="1288" w:type="dxa"/>
            <w:tcBorders>
              <w:bottom w:val="single" w:sz="4" w:space="0" w:color="auto"/>
            </w:tcBorders>
            <w:vAlign w:val="center"/>
          </w:tcPr>
          <w:p w14:paraId="62939B42" w14:textId="677BDDC9" w:rsidR="008F4D54" w:rsidRPr="00DC38EF" w:rsidRDefault="00CB4874" w:rsidP="0047154D">
            <w:pPr>
              <w:tabs>
                <w:tab w:val="decimal" w:pos="341"/>
              </w:tabs>
              <w:jc w:val="center"/>
            </w:pPr>
            <w:r>
              <w:t>-.0000</w:t>
            </w:r>
          </w:p>
        </w:tc>
        <w:tc>
          <w:tcPr>
            <w:tcW w:w="1489" w:type="dxa"/>
            <w:tcBorders>
              <w:bottom w:val="single" w:sz="4" w:space="0" w:color="auto"/>
            </w:tcBorders>
            <w:vAlign w:val="center"/>
          </w:tcPr>
          <w:p w14:paraId="53B8216C" w14:textId="4A48D1DE" w:rsidR="008F4D54" w:rsidRPr="00DC38EF" w:rsidRDefault="00235FA8" w:rsidP="00235FA8">
            <w:pPr>
              <w:tabs>
                <w:tab w:val="decimal" w:pos="221"/>
              </w:tabs>
              <w:jc w:val="center"/>
            </w:pPr>
            <w:r>
              <w:t>.0001</w:t>
            </w:r>
          </w:p>
        </w:tc>
        <w:tc>
          <w:tcPr>
            <w:tcW w:w="1489" w:type="dxa"/>
            <w:tcBorders>
              <w:bottom w:val="single" w:sz="4" w:space="0" w:color="auto"/>
            </w:tcBorders>
            <w:vAlign w:val="center"/>
          </w:tcPr>
          <w:p w14:paraId="59E6FC08" w14:textId="632D1B74" w:rsidR="008F4D54" w:rsidRPr="00DC38EF" w:rsidRDefault="00235FA8" w:rsidP="00235FA8">
            <w:pPr>
              <w:tabs>
                <w:tab w:val="decimal" w:pos="531"/>
              </w:tabs>
              <w:jc w:val="center"/>
            </w:pPr>
            <w:r>
              <w:t>-.69</w:t>
            </w:r>
          </w:p>
        </w:tc>
        <w:tc>
          <w:tcPr>
            <w:tcW w:w="1489" w:type="dxa"/>
            <w:tcBorders>
              <w:bottom w:val="single" w:sz="4" w:space="0" w:color="auto"/>
            </w:tcBorders>
            <w:vAlign w:val="center"/>
          </w:tcPr>
          <w:p w14:paraId="0D5FA9E8" w14:textId="5FF40420" w:rsidR="008F4D54" w:rsidRPr="00DC38EF" w:rsidRDefault="00235FA8" w:rsidP="00D92A18">
            <w:pPr>
              <w:tabs>
                <w:tab w:val="decimal" w:pos="150"/>
              </w:tabs>
              <w:jc w:val="center"/>
            </w:pPr>
            <w:r>
              <w:t>.492</w:t>
            </w:r>
          </w:p>
        </w:tc>
      </w:tr>
    </w:tbl>
    <w:p w14:paraId="20B29A71" w14:textId="2B0A8B14" w:rsidR="006664D9" w:rsidRDefault="0047154D" w:rsidP="006615B4">
      <w:pPr>
        <w:ind w:right="1440"/>
      </w:pPr>
      <w:r>
        <w:rPr>
          <w:i/>
          <w:iCs/>
        </w:rPr>
        <w:t xml:space="preserve">Note. </w:t>
      </w:r>
      <w:r w:rsidR="00767B31">
        <w:t xml:space="preserve">Model results using the above predictors to </w:t>
      </w:r>
      <w:r w:rsidR="006615B4">
        <w:t xml:space="preserve">predict log-transformed summed stop responses in a go-no-go task. </w:t>
      </w:r>
      <w:r w:rsidR="009441B3">
        <w:t xml:space="preserve">The </w:t>
      </w:r>
      <w:r w:rsidR="009749AE">
        <w:t xml:space="preserve">estimates and standard errors have been back transformed back into summed stop responses. </w:t>
      </w:r>
    </w:p>
    <w:p w14:paraId="7184D7C4" w14:textId="3E4382F8" w:rsidR="00D43701" w:rsidRPr="000C1BEE" w:rsidRDefault="00D43701" w:rsidP="006615B4">
      <w:pPr>
        <w:ind w:right="1440"/>
        <w:rPr>
          <w:b/>
          <w:bCs/>
        </w:rPr>
      </w:pPr>
      <w:r>
        <w:rPr>
          <w:b/>
          <w:bCs/>
        </w:rPr>
        <w:lastRenderedPageBreak/>
        <w:t>Figure 4</w:t>
      </w:r>
      <w:r>
        <w:rPr>
          <w:noProof/>
        </w:rPr>
        <w:drawing>
          <wp:inline distT="0" distB="0" distL="0" distR="0" wp14:anchorId="0ABFF3D3" wp14:editId="5F63CA5A">
            <wp:extent cx="4762500" cy="3162300"/>
            <wp:effectExtent l="0" t="0" r="0" b="0"/>
            <wp:docPr id="1330110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pic:spPr>
                </pic:pic>
              </a:graphicData>
            </a:graphic>
          </wp:inline>
        </w:drawing>
      </w:r>
    </w:p>
    <w:p w14:paraId="104BEA65" w14:textId="7B503A5B" w:rsidR="00406295" w:rsidRDefault="00406295" w:rsidP="006615B4">
      <w:pPr>
        <w:ind w:right="1440"/>
      </w:pPr>
      <w:r>
        <w:rPr>
          <w:noProof/>
        </w:rPr>
        <w:drawing>
          <wp:inline distT="0" distB="0" distL="0" distR="0" wp14:anchorId="67BC8F18" wp14:editId="3A44C542">
            <wp:extent cx="4762500" cy="3162300"/>
            <wp:effectExtent l="0" t="0" r="0" b="0"/>
            <wp:docPr id="842521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pic:spPr>
                </pic:pic>
              </a:graphicData>
            </a:graphic>
          </wp:inline>
        </w:drawing>
      </w:r>
    </w:p>
    <w:p w14:paraId="73BC3F15" w14:textId="4E086A2D" w:rsidR="00E23AC9" w:rsidRDefault="00E23AC9" w:rsidP="006615B4">
      <w:pPr>
        <w:ind w:right="1440"/>
      </w:pPr>
      <w:r>
        <w:rPr>
          <w:i/>
          <w:iCs/>
        </w:rPr>
        <w:t>Figure 4</w:t>
      </w:r>
      <w:r>
        <w:t xml:space="preserve"> </w:t>
      </w:r>
      <w:r w:rsidR="00ED79DB">
        <w:t>–</w:t>
      </w:r>
      <w:r>
        <w:t xml:space="preserve"> </w:t>
      </w:r>
      <w:r w:rsidR="00ED79DB">
        <w:t xml:space="preserve">Two plots of four panels representing various continuous or sliced breaks along </w:t>
      </w:r>
      <w:r w:rsidR="00263029">
        <w:t xml:space="preserve">ratio </w:t>
      </w:r>
      <w:r w:rsidR="00C83EDC">
        <w:t xml:space="preserve">by inter-trial interval to predict the number of stop responses. The upper plot includes the original data with </w:t>
      </w:r>
      <w:r w:rsidR="004C5A4B">
        <w:t xml:space="preserve">model fits along continuous bins of breaks. The lower plot uses specific </w:t>
      </w:r>
      <w:r w:rsidR="00EC3A55">
        <w:t xml:space="preserve">breaks of ratio (1, 3, 7, 9) and includes error ribbons to model uncertainty. </w:t>
      </w:r>
    </w:p>
    <w:p w14:paraId="1E420899" w14:textId="77777777" w:rsidR="000C1BEE" w:rsidRDefault="000C1BEE" w:rsidP="006615B4">
      <w:pPr>
        <w:ind w:right="1440"/>
      </w:pPr>
    </w:p>
    <w:p w14:paraId="33686739" w14:textId="77777777" w:rsidR="0055397C" w:rsidRDefault="0055397C" w:rsidP="006615B4">
      <w:pPr>
        <w:ind w:right="1440"/>
      </w:pPr>
    </w:p>
    <w:p w14:paraId="66F1547B" w14:textId="44D9E907" w:rsidR="0055397C" w:rsidRDefault="0055397C" w:rsidP="006615B4">
      <w:pPr>
        <w:ind w:right="1440"/>
        <w:rPr>
          <w:i/>
          <w:iCs/>
        </w:rPr>
      </w:pPr>
      <w:r>
        <w:rPr>
          <w:i/>
          <w:iCs/>
        </w:rPr>
        <w:lastRenderedPageBreak/>
        <w:t>Part Five</w:t>
      </w:r>
    </w:p>
    <w:p w14:paraId="44217A87" w14:textId="0C409377" w:rsidR="0055397C" w:rsidRDefault="0055397C" w:rsidP="00DB658E">
      <w:r>
        <w:tab/>
      </w:r>
      <w:r w:rsidR="00A61620">
        <w:t>In order to properly model the sum of stop responses</w:t>
      </w:r>
      <w:r w:rsidR="006270FF">
        <w:t xml:space="preserve"> (count data)</w:t>
      </w:r>
      <w:r w:rsidR="00A61620">
        <w:t xml:space="preserve">, I need to use a Poisson regression. </w:t>
      </w:r>
      <w:r w:rsidR="006270FF">
        <w:t>So, using the same predictors and outcome as the previous model, I ran the Poisson regression</w:t>
      </w:r>
      <w:r w:rsidR="006F618A">
        <w:t xml:space="preserve">, and the results are summarized in </w:t>
      </w:r>
      <w:r w:rsidR="00AF7BA9">
        <w:t>Table 5</w:t>
      </w:r>
      <w:r w:rsidR="00AC7E05">
        <w:t xml:space="preserve"> below. </w:t>
      </w:r>
      <w:r w:rsidR="00022B80">
        <w:t xml:space="preserve">The main difference between this and the previous model was the individual </w:t>
      </w:r>
      <w:r w:rsidR="00A32C8D">
        <w:t>weight</w:t>
      </w:r>
      <w:r w:rsidR="00022B80">
        <w:t xml:space="preserve"> ratio fell out of significance (</w:t>
      </w:r>
      <w:r w:rsidR="00724788">
        <w:rPr>
          <w:i/>
          <w:iCs/>
        </w:rPr>
        <w:t>B</w:t>
      </w:r>
      <w:r w:rsidR="00724788">
        <w:t xml:space="preserve"> = </w:t>
      </w:r>
      <w:r w:rsidR="00356F11">
        <w:t xml:space="preserve">.014, </w:t>
      </w:r>
      <w:r w:rsidR="00356F11">
        <w:rPr>
          <w:i/>
          <w:iCs/>
        </w:rPr>
        <w:t>SE</w:t>
      </w:r>
      <w:r w:rsidR="00356F11">
        <w:t xml:space="preserve"> = .019, </w:t>
      </w:r>
      <w:r w:rsidR="00356F11">
        <w:rPr>
          <w:i/>
          <w:iCs/>
        </w:rPr>
        <w:t>p</w:t>
      </w:r>
      <w:r w:rsidR="00356F11">
        <w:t xml:space="preserve"> = .462)</w:t>
      </w:r>
      <w:r w:rsidR="00C56E2D">
        <w:t xml:space="preserve">, while the other predictors and their weights and errors remained relatively unchanged. </w:t>
      </w:r>
      <w:r w:rsidR="00B72D77">
        <w:t>Before I</w:t>
      </w:r>
      <w:r w:rsidR="00E82D66">
        <w:t xml:space="preserve"> continued down this path, I needed to check my assumptions for this model. </w:t>
      </w:r>
      <w:r w:rsidR="00C927A1">
        <w:t xml:space="preserve">After using the </w:t>
      </w:r>
      <w:proofErr w:type="spellStart"/>
      <w:r w:rsidR="00C927A1">
        <w:t>check_model</w:t>
      </w:r>
      <w:proofErr w:type="spellEnd"/>
      <w:r w:rsidR="00C927A1">
        <w:t xml:space="preserve">() command, I noticed two issues: one with the posterior predictive check </w:t>
      </w:r>
      <w:r w:rsidR="00003B00">
        <w:t>showing an inflation of zeroes for the observed data compared to the predicted Poisson distribution</w:t>
      </w:r>
      <w:r w:rsidR="0025706A">
        <w:t xml:space="preserve">, and two, there appeared to be an issue with the dispersion. I conducted a follow-up overdispersion test with the </w:t>
      </w:r>
      <w:proofErr w:type="spellStart"/>
      <w:r w:rsidR="0025706A">
        <w:t>check_overdispersion</w:t>
      </w:r>
      <w:proofErr w:type="spellEnd"/>
      <w:r w:rsidR="0025706A">
        <w:t xml:space="preserve">() command from the performance library and </w:t>
      </w:r>
      <w:r w:rsidR="004057D2">
        <w:t>found significant overdispersion (ratio = 4.</w:t>
      </w:r>
      <w:r w:rsidR="00435491">
        <w:t xml:space="preserve">64, </w:t>
      </w:r>
      <w:r w:rsidR="00435491">
        <w:rPr>
          <w:i/>
          <w:iCs/>
        </w:rPr>
        <w:t>p</w:t>
      </w:r>
      <w:r w:rsidR="00435491">
        <w:t xml:space="preserve"> &lt; .001). </w:t>
      </w:r>
    </w:p>
    <w:p w14:paraId="7556682C" w14:textId="39B9EA07" w:rsidR="00435491" w:rsidRDefault="00435491" w:rsidP="00DB658E">
      <w:r>
        <w:tab/>
        <w:t>So, instead of continuing with this model, I created another model using the same predictor and outcome</w:t>
      </w:r>
      <w:r w:rsidR="00DE3DE6">
        <w:t>, but r</w:t>
      </w:r>
      <w:r w:rsidR="00E5714D">
        <w:t xml:space="preserve">un with a negative binomial distribution, which has been recommended to deal with </w:t>
      </w:r>
      <w:proofErr w:type="spellStart"/>
      <w:r w:rsidR="00E5714D">
        <w:t>overdispersed</w:t>
      </w:r>
      <w:proofErr w:type="spellEnd"/>
      <w:r w:rsidR="00E5714D">
        <w:t xml:space="preserve"> Poisson models. </w:t>
      </w:r>
      <w:r w:rsidR="00FB7BE2">
        <w:t xml:space="preserve">The results of the model are summarized in Table 6. This model outperformed the previous model in terms of fit and </w:t>
      </w:r>
      <w:r w:rsidR="004D59E2">
        <w:t>overdispersion</w:t>
      </w:r>
      <w:r w:rsidR="004A6D02">
        <w:t>. T</w:t>
      </w:r>
      <w:r w:rsidR="00E6483A">
        <w:t xml:space="preserve">he main difference is that the interaction I got the general direction of before </w:t>
      </w:r>
      <w:r w:rsidR="007239FD">
        <w:t xml:space="preserve">has </w:t>
      </w:r>
      <w:r w:rsidR="00E6483A">
        <w:t xml:space="preserve">now </w:t>
      </w:r>
      <w:r w:rsidR="00C04A64">
        <w:t>been found to be significant (</w:t>
      </w:r>
      <w:r w:rsidR="00C04A64">
        <w:rPr>
          <w:i/>
          <w:iCs/>
        </w:rPr>
        <w:t>B</w:t>
      </w:r>
      <w:r w:rsidR="00C04A64">
        <w:t xml:space="preserve"> = -.0001, </w:t>
      </w:r>
      <w:r w:rsidR="00C04A64">
        <w:rPr>
          <w:i/>
          <w:iCs/>
        </w:rPr>
        <w:t>SE</w:t>
      </w:r>
      <w:r w:rsidR="00C04A64">
        <w:t xml:space="preserve"> = .0001</w:t>
      </w:r>
      <w:r w:rsidR="004A6D02">
        <w:t xml:space="preserve">, </w:t>
      </w:r>
      <w:r w:rsidR="004A6D02">
        <w:rPr>
          <w:i/>
          <w:iCs/>
        </w:rPr>
        <w:t>p</w:t>
      </w:r>
      <w:r w:rsidR="004A6D02">
        <w:t xml:space="preserve"> = .029</w:t>
      </w:r>
      <w:r w:rsidR="00C04A64">
        <w:t>)</w:t>
      </w:r>
      <w:r w:rsidR="004D59E2">
        <w:t xml:space="preserve">. </w:t>
      </w:r>
      <w:r w:rsidR="007239FD">
        <w:t>The weight is</w:t>
      </w:r>
      <w:r w:rsidR="00C85E31">
        <w:t xml:space="preserve"> small like the weight for the ITI predictor, but it is likely the result of the scale units being so small (</w:t>
      </w:r>
      <w:proofErr w:type="spellStart"/>
      <w:r w:rsidR="00C85E31">
        <w:t>ms</w:t>
      </w:r>
      <w:proofErr w:type="spellEnd"/>
      <w:r w:rsidR="00C85E31">
        <w:t xml:space="preserve">). </w:t>
      </w:r>
      <w:r w:rsidR="002363F2">
        <w:t>When plotted over 100</w:t>
      </w:r>
      <w:r w:rsidR="005C098F">
        <w:t xml:space="preserve">s of milliseconds, the relationship becomes clear (see Figure 5). </w:t>
      </w:r>
      <w:r w:rsidR="004D59E2">
        <w:t xml:space="preserve">The </w:t>
      </w:r>
      <w:r w:rsidR="00732A18">
        <w:t>posterior predicted negative binomial distribution matched the observed data much better</w:t>
      </w:r>
      <w:r w:rsidR="004600CA">
        <w:t xml:space="preserve"> than before, and a test of overdispersion indicated there was none detected (ratio = 1.23, </w:t>
      </w:r>
      <w:r w:rsidR="004600CA">
        <w:rPr>
          <w:i/>
          <w:iCs/>
        </w:rPr>
        <w:t>p</w:t>
      </w:r>
      <w:r w:rsidR="004600CA">
        <w:t xml:space="preserve"> = .168). </w:t>
      </w:r>
      <w:r w:rsidR="00DB658E">
        <w:t xml:space="preserve">AIC and BIC values for each of the models are compared in Table 6, with this model vastly outperforming the previous model. </w:t>
      </w:r>
    </w:p>
    <w:p w14:paraId="68CCC3C5" w14:textId="420E364F" w:rsidR="00AC0D91" w:rsidRPr="004600CA" w:rsidRDefault="00AC0D91" w:rsidP="00DB658E">
      <w:r>
        <w:tab/>
        <w:t xml:space="preserve">To </w:t>
      </w:r>
      <w:r w:rsidR="00AC4C56">
        <w:t xml:space="preserve">visualize the relationship between the predictors and outcome, I </w:t>
      </w:r>
    </w:p>
    <w:p w14:paraId="44025CE7" w14:textId="1AC3815A" w:rsidR="00AC7E05" w:rsidRDefault="00AC7E05" w:rsidP="006615B4">
      <w:pPr>
        <w:ind w:right="1440"/>
        <w:rPr>
          <w:b/>
          <w:bCs/>
        </w:rPr>
      </w:pPr>
      <w:r>
        <w:rPr>
          <w:b/>
          <w:bCs/>
        </w:rPr>
        <w:t>Table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288"/>
        <w:gridCol w:w="1489"/>
        <w:gridCol w:w="1489"/>
        <w:gridCol w:w="1489"/>
      </w:tblGrid>
      <w:tr w:rsidR="002E6DF1" w:rsidRPr="009E0AA6" w14:paraId="17DF6CC6" w14:textId="77777777" w:rsidTr="00D92A18">
        <w:trPr>
          <w:trHeight w:val="458"/>
        </w:trPr>
        <w:tc>
          <w:tcPr>
            <w:tcW w:w="2070" w:type="dxa"/>
            <w:tcBorders>
              <w:top w:val="single" w:sz="4" w:space="0" w:color="auto"/>
              <w:bottom w:val="single" w:sz="4" w:space="0" w:color="auto"/>
            </w:tcBorders>
            <w:vAlign w:val="center"/>
          </w:tcPr>
          <w:p w14:paraId="355B0B20" w14:textId="77777777" w:rsidR="002E6DF1" w:rsidRPr="00964EF8" w:rsidRDefault="002E6DF1" w:rsidP="00D92A18">
            <w:r w:rsidRPr="00964EF8">
              <w:t>Term</w:t>
            </w:r>
          </w:p>
        </w:tc>
        <w:tc>
          <w:tcPr>
            <w:tcW w:w="1288" w:type="dxa"/>
            <w:tcBorders>
              <w:top w:val="single" w:sz="4" w:space="0" w:color="auto"/>
              <w:bottom w:val="single" w:sz="4" w:space="0" w:color="auto"/>
            </w:tcBorders>
            <w:vAlign w:val="center"/>
          </w:tcPr>
          <w:p w14:paraId="00C69016" w14:textId="77777777" w:rsidR="002E6DF1" w:rsidRPr="00964EF8" w:rsidRDefault="002E6DF1" w:rsidP="00D92A18">
            <w:pPr>
              <w:jc w:val="center"/>
            </w:pPr>
            <w:r>
              <w:t>B</w:t>
            </w:r>
          </w:p>
        </w:tc>
        <w:tc>
          <w:tcPr>
            <w:tcW w:w="1489" w:type="dxa"/>
            <w:tcBorders>
              <w:top w:val="single" w:sz="4" w:space="0" w:color="auto"/>
              <w:bottom w:val="single" w:sz="4" w:space="0" w:color="auto"/>
            </w:tcBorders>
            <w:vAlign w:val="center"/>
          </w:tcPr>
          <w:p w14:paraId="5C925E14" w14:textId="77777777" w:rsidR="002E6DF1" w:rsidRPr="00964EF8" w:rsidRDefault="002E6DF1" w:rsidP="00D92A18">
            <w:pPr>
              <w:jc w:val="center"/>
            </w:pPr>
            <w:r>
              <w:t>SE</w:t>
            </w:r>
          </w:p>
        </w:tc>
        <w:tc>
          <w:tcPr>
            <w:tcW w:w="1489" w:type="dxa"/>
            <w:tcBorders>
              <w:top w:val="single" w:sz="4" w:space="0" w:color="auto"/>
              <w:bottom w:val="single" w:sz="4" w:space="0" w:color="auto"/>
            </w:tcBorders>
            <w:vAlign w:val="center"/>
          </w:tcPr>
          <w:p w14:paraId="7630070C" w14:textId="77777777" w:rsidR="002E6DF1" w:rsidRPr="009E0AA6" w:rsidRDefault="002E6DF1" w:rsidP="00D92A18">
            <w:pPr>
              <w:jc w:val="center"/>
            </w:pPr>
            <w:r>
              <w:t>t</w:t>
            </w:r>
          </w:p>
        </w:tc>
        <w:tc>
          <w:tcPr>
            <w:tcW w:w="1489" w:type="dxa"/>
            <w:tcBorders>
              <w:top w:val="single" w:sz="4" w:space="0" w:color="auto"/>
              <w:bottom w:val="single" w:sz="4" w:space="0" w:color="auto"/>
            </w:tcBorders>
            <w:vAlign w:val="center"/>
          </w:tcPr>
          <w:p w14:paraId="2B8B3E3D" w14:textId="77777777" w:rsidR="002E6DF1" w:rsidRPr="009E0AA6" w:rsidRDefault="002E6DF1" w:rsidP="00D92A18">
            <w:pPr>
              <w:jc w:val="center"/>
            </w:pPr>
            <w:r>
              <w:t>p</w:t>
            </w:r>
          </w:p>
        </w:tc>
      </w:tr>
      <w:tr w:rsidR="002E6DF1" w:rsidRPr="00DC38EF" w14:paraId="28128C92" w14:textId="77777777" w:rsidTr="00D92A18">
        <w:trPr>
          <w:trHeight w:val="351"/>
        </w:trPr>
        <w:tc>
          <w:tcPr>
            <w:tcW w:w="2070" w:type="dxa"/>
            <w:tcBorders>
              <w:top w:val="single" w:sz="4" w:space="0" w:color="auto"/>
            </w:tcBorders>
            <w:vAlign w:val="center"/>
          </w:tcPr>
          <w:p w14:paraId="715CADC3" w14:textId="77777777" w:rsidR="002E6DF1" w:rsidRPr="00DC38EF" w:rsidRDefault="002E6DF1" w:rsidP="00D92A18">
            <w:r w:rsidRPr="00DC38EF">
              <w:t>Intercept</w:t>
            </w:r>
          </w:p>
        </w:tc>
        <w:tc>
          <w:tcPr>
            <w:tcW w:w="1288" w:type="dxa"/>
            <w:tcBorders>
              <w:top w:val="single" w:sz="4" w:space="0" w:color="auto"/>
            </w:tcBorders>
            <w:vAlign w:val="center"/>
          </w:tcPr>
          <w:p w14:paraId="0B82F6C6" w14:textId="6041553C" w:rsidR="002E6DF1" w:rsidRPr="00DC38EF" w:rsidRDefault="00013BDA" w:rsidP="00D92A18">
            <w:pPr>
              <w:tabs>
                <w:tab w:val="decimal" w:pos="0"/>
              </w:tabs>
              <w:jc w:val="center"/>
            </w:pPr>
            <w:r>
              <w:t>1.81</w:t>
            </w:r>
          </w:p>
        </w:tc>
        <w:tc>
          <w:tcPr>
            <w:tcW w:w="1489" w:type="dxa"/>
            <w:tcBorders>
              <w:top w:val="single" w:sz="4" w:space="0" w:color="auto"/>
            </w:tcBorders>
            <w:vAlign w:val="center"/>
          </w:tcPr>
          <w:p w14:paraId="3A41B0D1" w14:textId="76340982" w:rsidR="002E6DF1" w:rsidRPr="00DC38EF" w:rsidRDefault="00013BDA" w:rsidP="00D92A18">
            <w:pPr>
              <w:tabs>
                <w:tab w:val="decimal" w:pos="131"/>
              </w:tabs>
              <w:jc w:val="center"/>
            </w:pPr>
            <w:r>
              <w:t>.084</w:t>
            </w:r>
          </w:p>
        </w:tc>
        <w:tc>
          <w:tcPr>
            <w:tcW w:w="1489" w:type="dxa"/>
            <w:tcBorders>
              <w:top w:val="single" w:sz="4" w:space="0" w:color="auto"/>
            </w:tcBorders>
            <w:vAlign w:val="center"/>
          </w:tcPr>
          <w:p w14:paraId="0529262F" w14:textId="414379AB" w:rsidR="002E6DF1" w:rsidRPr="00DC38EF" w:rsidRDefault="00013BDA" w:rsidP="00D92A18">
            <w:pPr>
              <w:tabs>
                <w:tab w:val="decimal" w:pos="441"/>
              </w:tabs>
              <w:jc w:val="center"/>
            </w:pPr>
            <w:r>
              <w:t>21.5</w:t>
            </w:r>
          </w:p>
        </w:tc>
        <w:tc>
          <w:tcPr>
            <w:tcW w:w="1489" w:type="dxa"/>
            <w:tcBorders>
              <w:top w:val="single" w:sz="4" w:space="0" w:color="auto"/>
            </w:tcBorders>
            <w:vAlign w:val="center"/>
          </w:tcPr>
          <w:p w14:paraId="16AA8DE7" w14:textId="1F4C5783" w:rsidR="002E6DF1" w:rsidRPr="00DC38EF" w:rsidRDefault="00013BDA" w:rsidP="00D92A18">
            <w:pPr>
              <w:tabs>
                <w:tab w:val="decimal" w:pos="150"/>
              </w:tabs>
              <w:jc w:val="center"/>
            </w:pPr>
            <w:r>
              <w:t>&lt;.001</w:t>
            </w:r>
          </w:p>
        </w:tc>
      </w:tr>
      <w:tr w:rsidR="002E6DF1" w:rsidRPr="00DC38EF" w14:paraId="79E76096" w14:textId="77777777" w:rsidTr="00D92A18">
        <w:trPr>
          <w:trHeight w:val="351"/>
        </w:trPr>
        <w:tc>
          <w:tcPr>
            <w:tcW w:w="2070" w:type="dxa"/>
            <w:vAlign w:val="center"/>
          </w:tcPr>
          <w:p w14:paraId="6AA7729C" w14:textId="77777777" w:rsidR="002E6DF1" w:rsidRPr="00DC38EF" w:rsidRDefault="002E6DF1" w:rsidP="00D92A18">
            <w:r>
              <w:t xml:space="preserve">  ITI</w:t>
            </w:r>
          </w:p>
        </w:tc>
        <w:tc>
          <w:tcPr>
            <w:tcW w:w="1288" w:type="dxa"/>
            <w:vAlign w:val="center"/>
          </w:tcPr>
          <w:p w14:paraId="34E4C601" w14:textId="27089929" w:rsidR="002E6DF1" w:rsidRPr="00DC38EF" w:rsidRDefault="00013BDA" w:rsidP="00D92A18">
            <w:pPr>
              <w:tabs>
                <w:tab w:val="decimal" w:pos="341"/>
              </w:tabs>
              <w:jc w:val="center"/>
            </w:pPr>
            <w:r>
              <w:t>-.0004</w:t>
            </w:r>
          </w:p>
        </w:tc>
        <w:tc>
          <w:tcPr>
            <w:tcW w:w="1489" w:type="dxa"/>
            <w:vAlign w:val="center"/>
          </w:tcPr>
          <w:p w14:paraId="478CED74" w14:textId="34D92063" w:rsidR="002E6DF1" w:rsidRPr="00DC38EF" w:rsidRDefault="006D4BB6" w:rsidP="00D92A18">
            <w:pPr>
              <w:tabs>
                <w:tab w:val="decimal" w:pos="221"/>
              </w:tabs>
              <w:jc w:val="center"/>
            </w:pPr>
            <w:r>
              <w:t>.000</w:t>
            </w:r>
            <w:r w:rsidR="005B7DB6">
              <w:t>1</w:t>
            </w:r>
          </w:p>
        </w:tc>
        <w:tc>
          <w:tcPr>
            <w:tcW w:w="1489" w:type="dxa"/>
            <w:vAlign w:val="center"/>
          </w:tcPr>
          <w:p w14:paraId="047E53DC" w14:textId="76ADB41C" w:rsidR="002E6DF1" w:rsidRPr="00DC38EF" w:rsidRDefault="006D4BB6" w:rsidP="00D92A18">
            <w:pPr>
              <w:tabs>
                <w:tab w:val="decimal" w:pos="531"/>
              </w:tabs>
              <w:jc w:val="center"/>
            </w:pPr>
            <w:r>
              <w:t>-</w:t>
            </w:r>
            <w:r w:rsidR="005B7DB6">
              <w:t>3.62</w:t>
            </w:r>
          </w:p>
        </w:tc>
        <w:tc>
          <w:tcPr>
            <w:tcW w:w="1489" w:type="dxa"/>
            <w:vAlign w:val="center"/>
          </w:tcPr>
          <w:p w14:paraId="7D63D4CB" w14:textId="1750FFF3" w:rsidR="002E6DF1" w:rsidRPr="00DC38EF" w:rsidRDefault="00F9347A" w:rsidP="00D92A18">
            <w:pPr>
              <w:tabs>
                <w:tab w:val="decimal" w:pos="150"/>
              </w:tabs>
              <w:jc w:val="center"/>
            </w:pPr>
            <w:r>
              <w:t>&lt;.001</w:t>
            </w:r>
          </w:p>
        </w:tc>
      </w:tr>
      <w:tr w:rsidR="002E6DF1" w:rsidRPr="00DC38EF" w14:paraId="7370E47E" w14:textId="77777777" w:rsidTr="00D92A18">
        <w:trPr>
          <w:trHeight w:val="351"/>
        </w:trPr>
        <w:tc>
          <w:tcPr>
            <w:tcW w:w="2070" w:type="dxa"/>
            <w:vAlign w:val="center"/>
          </w:tcPr>
          <w:p w14:paraId="3C71499D" w14:textId="77777777" w:rsidR="002E6DF1" w:rsidRPr="00DC38EF" w:rsidRDefault="002E6DF1" w:rsidP="00D92A18">
            <w:r>
              <w:t xml:space="preserve">  Ratio</w:t>
            </w:r>
          </w:p>
        </w:tc>
        <w:tc>
          <w:tcPr>
            <w:tcW w:w="1288" w:type="dxa"/>
            <w:vAlign w:val="center"/>
          </w:tcPr>
          <w:p w14:paraId="6121CDE5" w14:textId="4805E824" w:rsidR="002E6DF1" w:rsidRPr="00DC38EF" w:rsidRDefault="006D4BB6" w:rsidP="00D92A18">
            <w:pPr>
              <w:tabs>
                <w:tab w:val="decimal" w:pos="251"/>
              </w:tabs>
              <w:jc w:val="center"/>
            </w:pPr>
            <w:r>
              <w:t>.01</w:t>
            </w:r>
            <w:r w:rsidR="001B3F88">
              <w:t>2</w:t>
            </w:r>
          </w:p>
        </w:tc>
        <w:tc>
          <w:tcPr>
            <w:tcW w:w="1489" w:type="dxa"/>
            <w:vAlign w:val="center"/>
          </w:tcPr>
          <w:p w14:paraId="68E4BD6E" w14:textId="5C6918D6" w:rsidR="002E6DF1" w:rsidRPr="00DC38EF" w:rsidRDefault="006D4BB6" w:rsidP="00D92A18">
            <w:pPr>
              <w:tabs>
                <w:tab w:val="decimal" w:pos="131"/>
              </w:tabs>
              <w:jc w:val="center"/>
            </w:pPr>
            <w:r>
              <w:t>.01</w:t>
            </w:r>
            <w:r w:rsidR="00B20DFE">
              <w:t>1</w:t>
            </w:r>
          </w:p>
        </w:tc>
        <w:tc>
          <w:tcPr>
            <w:tcW w:w="1489" w:type="dxa"/>
            <w:vAlign w:val="center"/>
          </w:tcPr>
          <w:p w14:paraId="2A440CBD" w14:textId="1B69DEB7" w:rsidR="002E6DF1" w:rsidRPr="00DC38EF" w:rsidRDefault="00B20DFE" w:rsidP="00B20DFE">
            <w:pPr>
              <w:tabs>
                <w:tab w:val="decimal" w:pos="531"/>
              </w:tabs>
              <w:jc w:val="center"/>
            </w:pPr>
            <w:r>
              <w:t>1.14</w:t>
            </w:r>
          </w:p>
        </w:tc>
        <w:tc>
          <w:tcPr>
            <w:tcW w:w="1489" w:type="dxa"/>
            <w:vAlign w:val="center"/>
          </w:tcPr>
          <w:p w14:paraId="0FA97818" w14:textId="6E5FD709" w:rsidR="002E6DF1" w:rsidRPr="00DC38EF" w:rsidRDefault="00F06EEE" w:rsidP="00D92A18">
            <w:pPr>
              <w:tabs>
                <w:tab w:val="decimal" w:pos="150"/>
              </w:tabs>
              <w:jc w:val="center"/>
            </w:pPr>
            <w:r>
              <w:t>.</w:t>
            </w:r>
            <w:r w:rsidR="00F9347A">
              <w:t>256</w:t>
            </w:r>
          </w:p>
        </w:tc>
      </w:tr>
      <w:tr w:rsidR="002E6DF1" w:rsidRPr="00DC38EF" w14:paraId="0AD0A07D" w14:textId="77777777" w:rsidTr="00D92A18">
        <w:trPr>
          <w:trHeight w:val="351"/>
        </w:trPr>
        <w:tc>
          <w:tcPr>
            <w:tcW w:w="2070" w:type="dxa"/>
            <w:vAlign w:val="center"/>
          </w:tcPr>
          <w:p w14:paraId="4CFAA351" w14:textId="77777777" w:rsidR="002E6DF1" w:rsidRPr="00DC38EF" w:rsidRDefault="002E6DF1" w:rsidP="00D92A18">
            <w:r>
              <w:t xml:space="preserve">  Ratio*Ratio</w:t>
            </w:r>
          </w:p>
        </w:tc>
        <w:tc>
          <w:tcPr>
            <w:tcW w:w="1288" w:type="dxa"/>
            <w:vAlign w:val="center"/>
          </w:tcPr>
          <w:p w14:paraId="465849D8" w14:textId="3854B148" w:rsidR="002E6DF1" w:rsidRPr="00DC38EF" w:rsidRDefault="00F06EEE" w:rsidP="00D92A18">
            <w:pPr>
              <w:tabs>
                <w:tab w:val="decimal" w:pos="251"/>
              </w:tabs>
              <w:jc w:val="center"/>
            </w:pPr>
            <w:r>
              <w:t>-.01</w:t>
            </w:r>
            <w:r w:rsidR="005B7DB6">
              <w:t>5</w:t>
            </w:r>
          </w:p>
        </w:tc>
        <w:tc>
          <w:tcPr>
            <w:tcW w:w="1489" w:type="dxa"/>
            <w:vAlign w:val="center"/>
          </w:tcPr>
          <w:p w14:paraId="4415C121" w14:textId="44373312" w:rsidR="002E6DF1" w:rsidRPr="00DC38EF" w:rsidRDefault="00F06EEE" w:rsidP="00D92A18">
            <w:pPr>
              <w:tabs>
                <w:tab w:val="decimal" w:pos="131"/>
              </w:tabs>
              <w:jc w:val="center"/>
            </w:pPr>
            <w:r>
              <w:t>.00</w:t>
            </w:r>
            <w:r w:rsidR="005B7DB6">
              <w:t>4</w:t>
            </w:r>
          </w:p>
        </w:tc>
        <w:tc>
          <w:tcPr>
            <w:tcW w:w="1489" w:type="dxa"/>
            <w:vAlign w:val="center"/>
          </w:tcPr>
          <w:p w14:paraId="119EEAC7" w14:textId="249DB0CE" w:rsidR="002E6DF1" w:rsidRPr="00DC38EF" w:rsidRDefault="00211B0C" w:rsidP="00D92A18">
            <w:pPr>
              <w:tabs>
                <w:tab w:val="decimal" w:pos="531"/>
              </w:tabs>
              <w:jc w:val="center"/>
            </w:pPr>
            <w:r>
              <w:t>-</w:t>
            </w:r>
            <w:r w:rsidR="005B7DB6">
              <w:t>3.80</w:t>
            </w:r>
          </w:p>
        </w:tc>
        <w:tc>
          <w:tcPr>
            <w:tcW w:w="1489" w:type="dxa"/>
            <w:vAlign w:val="center"/>
          </w:tcPr>
          <w:p w14:paraId="18A19B54" w14:textId="49E19F37" w:rsidR="002E6DF1" w:rsidRPr="00DC38EF" w:rsidRDefault="00F9347A" w:rsidP="00D92A18">
            <w:pPr>
              <w:tabs>
                <w:tab w:val="decimal" w:pos="150"/>
              </w:tabs>
              <w:jc w:val="center"/>
            </w:pPr>
            <w:r>
              <w:t>&lt;.001</w:t>
            </w:r>
          </w:p>
        </w:tc>
      </w:tr>
      <w:tr w:rsidR="002E6DF1" w:rsidRPr="00DC38EF" w14:paraId="46E6660E" w14:textId="77777777" w:rsidTr="00D92A18">
        <w:trPr>
          <w:trHeight w:val="351"/>
        </w:trPr>
        <w:tc>
          <w:tcPr>
            <w:tcW w:w="2070" w:type="dxa"/>
            <w:tcBorders>
              <w:bottom w:val="single" w:sz="4" w:space="0" w:color="auto"/>
            </w:tcBorders>
            <w:vAlign w:val="center"/>
          </w:tcPr>
          <w:p w14:paraId="00A98D04" w14:textId="77777777" w:rsidR="002E6DF1" w:rsidRPr="00DC38EF" w:rsidRDefault="002E6DF1" w:rsidP="00D92A18">
            <w:r>
              <w:t xml:space="preserve">  Ratio*ITI</w:t>
            </w:r>
          </w:p>
        </w:tc>
        <w:tc>
          <w:tcPr>
            <w:tcW w:w="1288" w:type="dxa"/>
            <w:tcBorders>
              <w:bottom w:val="single" w:sz="4" w:space="0" w:color="auto"/>
            </w:tcBorders>
            <w:vAlign w:val="center"/>
          </w:tcPr>
          <w:p w14:paraId="03938F60" w14:textId="4FA2F6E2" w:rsidR="002E6DF1" w:rsidRPr="00DC38EF" w:rsidRDefault="00211B0C" w:rsidP="00D92A18">
            <w:pPr>
              <w:tabs>
                <w:tab w:val="decimal" w:pos="341"/>
              </w:tabs>
              <w:jc w:val="center"/>
            </w:pPr>
            <w:r>
              <w:t>-.0001</w:t>
            </w:r>
          </w:p>
        </w:tc>
        <w:tc>
          <w:tcPr>
            <w:tcW w:w="1489" w:type="dxa"/>
            <w:tcBorders>
              <w:bottom w:val="single" w:sz="4" w:space="0" w:color="auto"/>
            </w:tcBorders>
            <w:vAlign w:val="center"/>
          </w:tcPr>
          <w:p w14:paraId="4EEFFCD7" w14:textId="1C8CB238" w:rsidR="002E6DF1" w:rsidRPr="00DC38EF" w:rsidRDefault="002339CE" w:rsidP="00D92A18">
            <w:pPr>
              <w:tabs>
                <w:tab w:val="decimal" w:pos="221"/>
              </w:tabs>
              <w:jc w:val="center"/>
            </w:pPr>
            <w:r>
              <w:t>.000</w:t>
            </w:r>
            <w:r w:rsidR="006965F5">
              <w:t>0</w:t>
            </w:r>
          </w:p>
        </w:tc>
        <w:tc>
          <w:tcPr>
            <w:tcW w:w="1489" w:type="dxa"/>
            <w:tcBorders>
              <w:bottom w:val="single" w:sz="4" w:space="0" w:color="auto"/>
            </w:tcBorders>
            <w:vAlign w:val="center"/>
          </w:tcPr>
          <w:p w14:paraId="67C39476" w14:textId="79067A51" w:rsidR="002E6DF1" w:rsidRPr="00DC38EF" w:rsidRDefault="002339CE" w:rsidP="00D92A18">
            <w:pPr>
              <w:tabs>
                <w:tab w:val="decimal" w:pos="531"/>
              </w:tabs>
              <w:jc w:val="center"/>
            </w:pPr>
            <w:r>
              <w:t>-1.</w:t>
            </w:r>
            <w:r w:rsidR="00F9347A">
              <w:t>83</w:t>
            </w:r>
          </w:p>
        </w:tc>
        <w:tc>
          <w:tcPr>
            <w:tcW w:w="1489" w:type="dxa"/>
            <w:tcBorders>
              <w:bottom w:val="single" w:sz="4" w:space="0" w:color="auto"/>
            </w:tcBorders>
            <w:vAlign w:val="center"/>
          </w:tcPr>
          <w:p w14:paraId="552350FA" w14:textId="431794D2" w:rsidR="002E6DF1" w:rsidRPr="00DC38EF" w:rsidRDefault="002339CE" w:rsidP="00D92A18">
            <w:pPr>
              <w:tabs>
                <w:tab w:val="decimal" w:pos="150"/>
              </w:tabs>
              <w:jc w:val="center"/>
            </w:pPr>
            <w:r>
              <w:t>.</w:t>
            </w:r>
            <w:r w:rsidR="00F9347A">
              <w:t>068</w:t>
            </w:r>
          </w:p>
        </w:tc>
      </w:tr>
    </w:tbl>
    <w:p w14:paraId="73B591A4" w14:textId="19E0D6EE" w:rsidR="00AC7E05" w:rsidRDefault="00A75580" w:rsidP="006615B4">
      <w:pPr>
        <w:ind w:right="1440"/>
      </w:pPr>
      <w:r>
        <w:rPr>
          <w:i/>
          <w:iCs/>
        </w:rPr>
        <w:t xml:space="preserve">Note. </w:t>
      </w:r>
      <w:r>
        <w:t xml:space="preserve">Model results for the standard Poisson regression ran using </w:t>
      </w:r>
      <w:r w:rsidR="00ED687C">
        <w:t xml:space="preserve">inter-trial interval, ratio, ratio quadratic, and the interaction between ITI and ratio to predict the number of stop responses. </w:t>
      </w:r>
      <w:r w:rsidR="00D52FBD">
        <w:t xml:space="preserve">Weights and errors represent summed stop responses. </w:t>
      </w:r>
    </w:p>
    <w:p w14:paraId="79D10484" w14:textId="77777777" w:rsidR="00EF1248" w:rsidRDefault="00EF1248" w:rsidP="006615B4">
      <w:pPr>
        <w:ind w:right="1440"/>
        <w:rPr>
          <w:b/>
          <w:bCs/>
        </w:rPr>
      </w:pPr>
    </w:p>
    <w:p w14:paraId="4528D75D" w14:textId="77777777" w:rsidR="00EF1248" w:rsidRDefault="00EF1248" w:rsidP="006615B4">
      <w:pPr>
        <w:ind w:right="1440"/>
        <w:rPr>
          <w:b/>
          <w:bCs/>
        </w:rPr>
      </w:pPr>
    </w:p>
    <w:p w14:paraId="4B02F9FA" w14:textId="77777777" w:rsidR="00EF1248" w:rsidRDefault="00EF1248" w:rsidP="006615B4">
      <w:pPr>
        <w:ind w:right="1440"/>
        <w:rPr>
          <w:b/>
          <w:bCs/>
        </w:rPr>
      </w:pPr>
    </w:p>
    <w:p w14:paraId="535ACBD9" w14:textId="77777777" w:rsidR="00EF1248" w:rsidRDefault="00EF1248" w:rsidP="006615B4">
      <w:pPr>
        <w:ind w:right="1440"/>
        <w:rPr>
          <w:b/>
          <w:bCs/>
        </w:rPr>
      </w:pPr>
    </w:p>
    <w:p w14:paraId="28A0DFEC" w14:textId="77777777" w:rsidR="00EF1248" w:rsidRDefault="00EF1248" w:rsidP="006615B4">
      <w:pPr>
        <w:ind w:right="1440"/>
        <w:rPr>
          <w:b/>
          <w:bCs/>
        </w:rPr>
      </w:pPr>
    </w:p>
    <w:p w14:paraId="1A3B851B" w14:textId="5D4B30ED" w:rsidR="00EF1248" w:rsidRDefault="00EF1248" w:rsidP="006615B4">
      <w:pPr>
        <w:ind w:right="1440"/>
        <w:rPr>
          <w:b/>
          <w:bCs/>
        </w:rPr>
      </w:pPr>
      <w:r>
        <w:rPr>
          <w:b/>
          <w:bCs/>
        </w:rPr>
        <w:t>Table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288"/>
        <w:gridCol w:w="1489"/>
        <w:gridCol w:w="1489"/>
        <w:gridCol w:w="1489"/>
      </w:tblGrid>
      <w:tr w:rsidR="00EF1248" w:rsidRPr="009E0AA6" w14:paraId="752DA495" w14:textId="77777777" w:rsidTr="00D92A18">
        <w:trPr>
          <w:trHeight w:val="458"/>
        </w:trPr>
        <w:tc>
          <w:tcPr>
            <w:tcW w:w="2070" w:type="dxa"/>
            <w:tcBorders>
              <w:top w:val="single" w:sz="4" w:space="0" w:color="auto"/>
              <w:bottom w:val="single" w:sz="4" w:space="0" w:color="auto"/>
            </w:tcBorders>
            <w:vAlign w:val="center"/>
          </w:tcPr>
          <w:p w14:paraId="63FD35E2" w14:textId="77777777" w:rsidR="00EF1248" w:rsidRPr="00964EF8" w:rsidRDefault="00EF1248" w:rsidP="00D92A18">
            <w:r w:rsidRPr="00964EF8">
              <w:t>Term</w:t>
            </w:r>
          </w:p>
        </w:tc>
        <w:tc>
          <w:tcPr>
            <w:tcW w:w="1288" w:type="dxa"/>
            <w:tcBorders>
              <w:top w:val="single" w:sz="4" w:space="0" w:color="auto"/>
              <w:bottom w:val="single" w:sz="4" w:space="0" w:color="auto"/>
            </w:tcBorders>
            <w:vAlign w:val="center"/>
          </w:tcPr>
          <w:p w14:paraId="0409180A" w14:textId="77777777" w:rsidR="00EF1248" w:rsidRPr="00964EF8" w:rsidRDefault="00EF1248" w:rsidP="00D92A18">
            <w:pPr>
              <w:jc w:val="center"/>
            </w:pPr>
            <w:r>
              <w:t>B</w:t>
            </w:r>
          </w:p>
        </w:tc>
        <w:tc>
          <w:tcPr>
            <w:tcW w:w="1489" w:type="dxa"/>
            <w:tcBorders>
              <w:top w:val="single" w:sz="4" w:space="0" w:color="auto"/>
              <w:bottom w:val="single" w:sz="4" w:space="0" w:color="auto"/>
            </w:tcBorders>
            <w:vAlign w:val="center"/>
          </w:tcPr>
          <w:p w14:paraId="6BEBF18D" w14:textId="77777777" w:rsidR="00EF1248" w:rsidRPr="00964EF8" w:rsidRDefault="00EF1248" w:rsidP="00D92A18">
            <w:pPr>
              <w:jc w:val="center"/>
            </w:pPr>
            <w:r>
              <w:t>SE</w:t>
            </w:r>
          </w:p>
        </w:tc>
        <w:tc>
          <w:tcPr>
            <w:tcW w:w="1489" w:type="dxa"/>
            <w:tcBorders>
              <w:top w:val="single" w:sz="4" w:space="0" w:color="auto"/>
              <w:bottom w:val="single" w:sz="4" w:space="0" w:color="auto"/>
            </w:tcBorders>
            <w:vAlign w:val="center"/>
          </w:tcPr>
          <w:p w14:paraId="559E97B8" w14:textId="77777777" w:rsidR="00EF1248" w:rsidRPr="009E0AA6" w:rsidRDefault="00EF1248" w:rsidP="00D92A18">
            <w:pPr>
              <w:jc w:val="center"/>
            </w:pPr>
            <w:r>
              <w:t>t</w:t>
            </w:r>
          </w:p>
        </w:tc>
        <w:tc>
          <w:tcPr>
            <w:tcW w:w="1489" w:type="dxa"/>
            <w:tcBorders>
              <w:top w:val="single" w:sz="4" w:space="0" w:color="auto"/>
              <w:bottom w:val="single" w:sz="4" w:space="0" w:color="auto"/>
            </w:tcBorders>
            <w:vAlign w:val="center"/>
          </w:tcPr>
          <w:p w14:paraId="402F6475" w14:textId="77777777" w:rsidR="00EF1248" w:rsidRPr="009E0AA6" w:rsidRDefault="00EF1248" w:rsidP="00D92A18">
            <w:pPr>
              <w:jc w:val="center"/>
            </w:pPr>
            <w:r>
              <w:t>p</w:t>
            </w:r>
          </w:p>
        </w:tc>
      </w:tr>
      <w:tr w:rsidR="00EF1248" w:rsidRPr="00DC38EF" w14:paraId="34E099CE" w14:textId="77777777" w:rsidTr="00D92A18">
        <w:trPr>
          <w:trHeight w:val="351"/>
        </w:trPr>
        <w:tc>
          <w:tcPr>
            <w:tcW w:w="2070" w:type="dxa"/>
            <w:tcBorders>
              <w:top w:val="single" w:sz="4" w:space="0" w:color="auto"/>
            </w:tcBorders>
            <w:vAlign w:val="center"/>
          </w:tcPr>
          <w:p w14:paraId="730FDE4A" w14:textId="77777777" w:rsidR="00EF1248" w:rsidRPr="00DC38EF" w:rsidRDefault="00EF1248" w:rsidP="00D92A18">
            <w:r w:rsidRPr="00DC38EF">
              <w:t>Intercept</w:t>
            </w:r>
          </w:p>
        </w:tc>
        <w:tc>
          <w:tcPr>
            <w:tcW w:w="1288" w:type="dxa"/>
            <w:tcBorders>
              <w:top w:val="single" w:sz="4" w:space="0" w:color="auto"/>
            </w:tcBorders>
            <w:vAlign w:val="center"/>
          </w:tcPr>
          <w:p w14:paraId="42CFA7F5" w14:textId="77777777" w:rsidR="00EF1248" w:rsidRPr="00DC38EF" w:rsidRDefault="00EF1248" w:rsidP="00D92A18">
            <w:pPr>
              <w:tabs>
                <w:tab w:val="decimal" w:pos="0"/>
              </w:tabs>
              <w:jc w:val="center"/>
            </w:pPr>
            <w:r>
              <w:t>1.81</w:t>
            </w:r>
          </w:p>
        </w:tc>
        <w:tc>
          <w:tcPr>
            <w:tcW w:w="1489" w:type="dxa"/>
            <w:tcBorders>
              <w:top w:val="single" w:sz="4" w:space="0" w:color="auto"/>
            </w:tcBorders>
            <w:vAlign w:val="center"/>
          </w:tcPr>
          <w:p w14:paraId="336B2B36" w14:textId="77777777" w:rsidR="00EF1248" w:rsidRPr="00DC38EF" w:rsidRDefault="00EF1248" w:rsidP="00D92A18">
            <w:pPr>
              <w:tabs>
                <w:tab w:val="decimal" w:pos="131"/>
              </w:tabs>
              <w:jc w:val="center"/>
            </w:pPr>
            <w:r>
              <w:t>.084</w:t>
            </w:r>
          </w:p>
        </w:tc>
        <w:tc>
          <w:tcPr>
            <w:tcW w:w="1489" w:type="dxa"/>
            <w:tcBorders>
              <w:top w:val="single" w:sz="4" w:space="0" w:color="auto"/>
            </w:tcBorders>
            <w:vAlign w:val="center"/>
          </w:tcPr>
          <w:p w14:paraId="31657BDA" w14:textId="77777777" w:rsidR="00EF1248" w:rsidRPr="00DC38EF" w:rsidRDefault="00EF1248" w:rsidP="00D92A18">
            <w:pPr>
              <w:tabs>
                <w:tab w:val="decimal" w:pos="441"/>
              </w:tabs>
              <w:jc w:val="center"/>
            </w:pPr>
            <w:r>
              <w:t>21.5</w:t>
            </w:r>
          </w:p>
        </w:tc>
        <w:tc>
          <w:tcPr>
            <w:tcW w:w="1489" w:type="dxa"/>
            <w:tcBorders>
              <w:top w:val="single" w:sz="4" w:space="0" w:color="auto"/>
            </w:tcBorders>
            <w:vAlign w:val="center"/>
          </w:tcPr>
          <w:p w14:paraId="1D4D2DBE" w14:textId="77777777" w:rsidR="00EF1248" w:rsidRPr="00DC38EF" w:rsidRDefault="00EF1248" w:rsidP="00D92A18">
            <w:pPr>
              <w:tabs>
                <w:tab w:val="decimal" w:pos="150"/>
              </w:tabs>
              <w:jc w:val="center"/>
            </w:pPr>
            <w:r>
              <w:t>&lt;.001</w:t>
            </w:r>
          </w:p>
        </w:tc>
      </w:tr>
      <w:tr w:rsidR="00EF1248" w:rsidRPr="00DC38EF" w14:paraId="56F5E57E" w14:textId="77777777" w:rsidTr="00D92A18">
        <w:trPr>
          <w:trHeight w:val="351"/>
        </w:trPr>
        <w:tc>
          <w:tcPr>
            <w:tcW w:w="2070" w:type="dxa"/>
            <w:vAlign w:val="center"/>
          </w:tcPr>
          <w:p w14:paraId="27794E20" w14:textId="77777777" w:rsidR="00EF1248" w:rsidRPr="00DC38EF" w:rsidRDefault="00EF1248" w:rsidP="00D92A18">
            <w:r>
              <w:t xml:space="preserve">  ITI</w:t>
            </w:r>
          </w:p>
        </w:tc>
        <w:tc>
          <w:tcPr>
            <w:tcW w:w="1288" w:type="dxa"/>
            <w:vAlign w:val="center"/>
          </w:tcPr>
          <w:p w14:paraId="73B6F6BE" w14:textId="77777777" w:rsidR="00EF1248" w:rsidRPr="00DC38EF" w:rsidRDefault="00EF1248" w:rsidP="00D92A18">
            <w:pPr>
              <w:tabs>
                <w:tab w:val="decimal" w:pos="341"/>
              </w:tabs>
              <w:jc w:val="center"/>
            </w:pPr>
            <w:r>
              <w:t>-.0004</w:t>
            </w:r>
          </w:p>
        </w:tc>
        <w:tc>
          <w:tcPr>
            <w:tcW w:w="1489" w:type="dxa"/>
            <w:vAlign w:val="center"/>
          </w:tcPr>
          <w:p w14:paraId="4D24BE0D" w14:textId="1565FF62" w:rsidR="00EF1248" w:rsidRPr="00DC38EF" w:rsidRDefault="00EF1248" w:rsidP="00D92A18">
            <w:pPr>
              <w:tabs>
                <w:tab w:val="decimal" w:pos="221"/>
              </w:tabs>
              <w:jc w:val="center"/>
            </w:pPr>
            <w:r>
              <w:t>.000</w:t>
            </w:r>
            <w:r w:rsidR="00415A74">
              <w:t>2</w:t>
            </w:r>
          </w:p>
        </w:tc>
        <w:tc>
          <w:tcPr>
            <w:tcW w:w="1489" w:type="dxa"/>
            <w:vAlign w:val="center"/>
          </w:tcPr>
          <w:p w14:paraId="159BC946" w14:textId="409BEBF0" w:rsidR="00EF1248" w:rsidRPr="00DC38EF" w:rsidRDefault="00EF1248" w:rsidP="00D92A18">
            <w:pPr>
              <w:tabs>
                <w:tab w:val="decimal" w:pos="531"/>
              </w:tabs>
              <w:jc w:val="center"/>
            </w:pPr>
            <w:r>
              <w:t>-</w:t>
            </w:r>
            <w:r w:rsidR="00415A74">
              <w:t>1.99</w:t>
            </w:r>
          </w:p>
        </w:tc>
        <w:tc>
          <w:tcPr>
            <w:tcW w:w="1489" w:type="dxa"/>
            <w:vAlign w:val="center"/>
          </w:tcPr>
          <w:p w14:paraId="14854006" w14:textId="458FE762" w:rsidR="00EF1248" w:rsidRPr="00DC38EF" w:rsidRDefault="00415A74" w:rsidP="00D92A18">
            <w:pPr>
              <w:tabs>
                <w:tab w:val="decimal" w:pos="150"/>
              </w:tabs>
              <w:jc w:val="center"/>
            </w:pPr>
            <w:r>
              <w:t>.047</w:t>
            </w:r>
          </w:p>
        </w:tc>
      </w:tr>
      <w:tr w:rsidR="00EF1248" w:rsidRPr="00DC38EF" w14:paraId="55C4620E" w14:textId="77777777" w:rsidTr="00D92A18">
        <w:trPr>
          <w:trHeight w:val="351"/>
        </w:trPr>
        <w:tc>
          <w:tcPr>
            <w:tcW w:w="2070" w:type="dxa"/>
            <w:vAlign w:val="center"/>
          </w:tcPr>
          <w:p w14:paraId="3271FF45" w14:textId="77777777" w:rsidR="00EF1248" w:rsidRPr="00DC38EF" w:rsidRDefault="00EF1248" w:rsidP="00D92A18">
            <w:r>
              <w:t xml:space="preserve">  Ratio</w:t>
            </w:r>
          </w:p>
        </w:tc>
        <w:tc>
          <w:tcPr>
            <w:tcW w:w="1288" w:type="dxa"/>
            <w:vAlign w:val="center"/>
          </w:tcPr>
          <w:p w14:paraId="5A5AD481" w14:textId="4196C6B8" w:rsidR="00EF1248" w:rsidRPr="00DC38EF" w:rsidRDefault="00EF1248" w:rsidP="00D92A18">
            <w:pPr>
              <w:tabs>
                <w:tab w:val="decimal" w:pos="251"/>
              </w:tabs>
              <w:jc w:val="center"/>
            </w:pPr>
            <w:r>
              <w:t>.01</w:t>
            </w:r>
            <w:r w:rsidR="00415A74">
              <w:t>4</w:t>
            </w:r>
          </w:p>
        </w:tc>
        <w:tc>
          <w:tcPr>
            <w:tcW w:w="1489" w:type="dxa"/>
            <w:vAlign w:val="center"/>
          </w:tcPr>
          <w:p w14:paraId="69973BEB" w14:textId="02CF78DA" w:rsidR="00EF1248" w:rsidRPr="00DC38EF" w:rsidRDefault="00EF1248" w:rsidP="00D92A18">
            <w:pPr>
              <w:tabs>
                <w:tab w:val="decimal" w:pos="131"/>
              </w:tabs>
              <w:jc w:val="center"/>
            </w:pPr>
            <w:r>
              <w:t>.01</w:t>
            </w:r>
            <w:r w:rsidR="00415A74">
              <w:t>9</w:t>
            </w:r>
          </w:p>
        </w:tc>
        <w:tc>
          <w:tcPr>
            <w:tcW w:w="1489" w:type="dxa"/>
            <w:vAlign w:val="center"/>
          </w:tcPr>
          <w:p w14:paraId="69E28527" w14:textId="0A2B2B7A" w:rsidR="00EF1248" w:rsidRPr="00DC38EF" w:rsidRDefault="00415A74" w:rsidP="00D92A18">
            <w:pPr>
              <w:tabs>
                <w:tab w:val="decimal" w:pos="531"/>
              </w:tabs>
              <w:jc w:val="center"/>
            </w:pPr>
            <w:r>
              <w:t>.735</w:t>
            </w:r>
          </w:p>
        </w:tc>
        <w:tc>
          <w:tcPr>
            <w:tcW w:w="1489" w:type="dxa"/>
            <w:vAlign w:val="center"/>
          </w:tcPr>
          <w:p w14:paraId="321B20C1" w14:textId="443C9502" w:rsidR="00EF1248" w:rsidRPr="00DC38EF" w:rsidRDefault="00EF1248" w:rsidP="00D92A18">
            <w:pPr>
              <w:tabs>
                <w:tab w:val="decimal" w:pos="150"/>
              </w:tabs>
              <w:jc w:val="center"/>
            </w:pPr>
            <w:r>
              <w:t>.</w:t>
            </w:r>
            <w:r w:rsidR="00415A74">
              <w:t>462</w:t>
            </w:r>
          </w:p>
        </w:tc>
      </w:tr>
      <w:tr w:rsidR="00EF1248" w:rsidRPr="00DC38EF" w14:paraId="0664350C" w14:textId="77777777" w:rsidTr="00D92A18">
        <w:trPr>
          <w:trHeight w:val="351"/>
        </w:trPr>
        <w:tc>
          <w:tcPr>
            <w:tcW w:w="2070" w:type="dxa"/>
            <w:vAlign w:val="center"/>
          </w:tcPr>
          <w:p w14:paraId="69F29A09" w14:textId="77777777" w:rsidR="00EF1248" w:rsidRPr="00DC38EF" w:rsidRDefault="00EF1248" w:rsidP="00D92A18">
            <w:r>
              <w:t xml:space="preserve">  Ratio*Ratio</w:t>
            </w:r>
          </w:p>
        </w:tc>
        <w:tc>
          <w:tcPr>
            <w:tcW w:w="1288" w:type="dxa"/>
            <w:vAlign w:val="center"/>
          </w:tcPr>
          <w:p w14:paraId="1B0C3B24" w14:textId="09BDABBE" w:rsidR="00EF1248" w:rsidRPr="00DC38EF" w:rsidRDefault="00EF1248" w:rsidP="00D92A18">
            <w:pPr>
              <w:tabs>
                <w:tab w:val="decimal" w:pos="251"/>
              </w:tabs>
              <w:jc w:val="center"/>
            </w:pPr>
            <w:r>
              <w:t>-.01</w:t>
            </w:r>
            <w:r w:rsidR="00371FAB">
              <w:t>6</w:t>
            </w:r>
          </w:p>
        </w:tc>
        <w:tc>
          <w:tcPr>
            <w:tcW w:w="1489" w:type="dxa"/>
            <w:vAlign w:val="center"/>
          </w:tcPr>
          <w:p w14:paraId="3F458ED3" w14:textId="5568BA75" w:rsidR="00EF1248" w:rsidRPr="00DC38EF" w:rsidRDefault="00EF1248" w:rsidP="00D92A18">
            <w:pPr>
              <w:tabs>
                <w:tab w:val="decimal" w:pos="131"/>
              </w:tabs>
              <w:jc w:val="center"/>
            </w:pPr>
            <w:r>
              <w:t>.00</w:t>
            </w:r>
            <w:r w:rsidR="00371FAB">
              <w:t>7</w:t>
            </w:r>
          </w:p>
        </w:tc>
        <w:tc>
          <w:tcPr>
            <w:tcW w:w="1489" w:type="dxa"/>
            <w:vAlign w:val="center"/>
          </w:tcPr>
          <w:p w14:paraId="6A84F7B6" w14:textId="2801B768" w:rsidR="00EF1248" w:rsidRPr="00DC38EF" w:rsidRDefault="00EF1248" w:rsidP="00D92A18">
            <w:pPr>
              <w:tabs>
                <w:tab w:val="decimal" w:pos="531"/>
              </w:tabs>
              <w:jc w:val="center"/>
            </w:pPr>
            <w:r>
              <w:t>-</w:t>
            </w:r>
            <w:r w:rsidR="00553385">
              <w:t>2.19</w:t>
            </w:r>
          </w:p>
        </w:tc>
        <w:tc>
          <w:tcPr>
            <w:tcW w:w="1489" w:type="dxa"/>
            <w:vAlign w:val="center"/>
          </w:tcPr>
          <w:p w14:paraId="0A1FF0C4" w14:textId="1C77AD4C" w:rsidR="00EF1248" w:rsidRPr="00DC38EF" w:rsidRDefault="00415A74" w:rsidP="00D92A18">
            <w:pPr>
              <w:tabs>
                <w:tab w:val="decimal" w:pos="150"/>
              </w:tabs>
              <w:jc w:val="center"/>
            </w:pPr>
            <w:r>
              <w:t>.</w:t>
            </w:r>
            <w:r w:rsidR="00D47AC8">
              <w:t>029</w:t>
            </w:r>
          </w:p>
        </w:tc>
      </w:tr>
      <w:tr w:rsidR="00EF1248" w:rsidRPr="00DC38EF" w14:paraId="0D704F21" w14:textId="77777777" w:rsidTr="00D92A18">
        <w:trPr>
          <w:trHeight w:val="351"/>
        </w:trPr>
        <w:tc>
          <w:tcPr>
            <w:tcW w:w="2070" w:type="dxa"/>
            <w:tcBorders>
              <w:bottom w:val="single" w:sz="4" w:space="0" w:color="auto"/>
            </w:tcBorders>
            <w:vAlign w:val="center"/>
          </w:tcPr>
          <w:p w14:paraId="4D53B66B" w14:textId="77777777" w:rsidR="00EF1248" w:rsidRPr="00DC38EF" w:rsidRDefault="00EF1248" w:rsidP="00D92A18">
            <w:r>
              <w:t xml:space="preserve">  Ratio*ITI</w:t>
            </w:r>
          </w:p>
        </w:tc>
        <w:tc>
          <w:tcPr>
            <w:tcW w:w="1288" w:type="dxa"/>
            <w:tcBorders>
              <w:bottom w:val="single" w:sz="4" w:space="0" w:color="auto"/>
            </w:tcBorders>
            <w:vAlign w:val="center"/>
          </w:tcPr>
          <w:p w14:paraId="1F8A1565" w14:textId="77777777" w:rsidR="00EF1248" w:rsidRPr="00DC38EF" w:rsidRDefault="00EF1248" w:rsidP="00D92A18">
            <w:pPr>
              <w:tabs>
                <w:tab w:val="decimal" w:pos="341"/>
              </w:tabs>
              <w:jc w:val="center"/>
            </w:pPr>
            <w:r>
              <w:t>-.0001</w:t>
            </w:r>
          </w:p>
        </w:tc>
        <w:tc>
          <w:tcPr>
            <w:tcW w:w="1489" w:type="dxa"/>
            <w:tcBorders>
              <w:bottom w:val="single" w:sz="4" w:space="0" w:color="auto"/>
            </w:tcBorders>
            <w:vAlign w:val="center"/>
          </w:tcPr>
          <w:p w14:paraId="0F637419" w14:textId="094E6098" w:rsidR="00EF1248" w:rsidRPr="00DC38EF" w:rsidRDefault="00EF1248" w:rsidP="00D92A18">
            <w:pPr>
              <w:tabs>
                <w:tab w:val="decimal" w:pos="221"/>
              </w:tabs>
              <w:jc w:val="center"/>
            </w:pPr>
            <w:r>
              <w:t>.000</w:t>
            </w:r>
            <w:r w:rsidR="00371FAB">
              <w:t>1</w:t>
            </w:r>
          </w:p>
        </w:tc>
        <w:tc>
          <w:tcPr>
            <w:tcW w:w="1489" w:type="dxa"/>
            <w:tcBorders>
              <w:bottom w:val="single" w:sz="4" w:space="0" w:color="auto"/>
            </w:tcBorders>
            <w:vAlign w:val="center"/>
          </w:tcPr>
          <w:p w14:paraId="7569A398" w14:textId="7560C9E4" w:rsidR="00EF1248" w:rsidRPr="00DC38EF" w:rsidRDefault="00EF1248" w:rsidP="00D92A18">
            <w:pPr>
              <w:tabs>
                <w:tab w:val="decimal" w:pos="531"/>
              </w:tabs>
              <w:jc w:val="center"/>
            </w:pPr>
            <w:r>
              <w:t>-1.</w:t>
            </w:r>
            <w:r w:rsidR="00553385">
              <w:t>06</w:t>
            </w:r>
          </w:p>
        </w:tc>
        <w:tc>
          <w:tcPr>
            <w:tcW w:w="1489" w:type="dxa"/>
            <w:tcBorders>
              <w:bottom w:val="single" w:sz="4" w:space="0" w:color="auto"/>
            </w:tcBorders>
            <w:vAlign w:val="center"/>
          </w:tcPr>
          <w:p w14:paraId="70B5E71E" w14:textId="101087D9" w:rsidR="00EF1248" w:rsidRPr="00DC38EF" w:rsidRDefault="00EF1248" w:rsidP="00D92A18">
            <w:pPr>
              <w:tabs>
                <w:tab w:val="decimal" w:pos="150"/>
              </w:tabs>
              <w:jc w:val="center"/>
            </w:pPr>
            <w:r>
              <w:t>.</w:t>
            </w:r>
            <w:r w:rsidR="00D47AC8">
              <w:t>029</w:t>
            </w:r>
          </w:p>
        </w:tc>
      </w:tr>
    </w:tbl>
    <w:p w14:paraId="3918C39F" w14:textId="03D39D61" w:rsidR="00EF1248" w:rsidRPr="00371FAB" w:rsidRDefault="00371FAB" w:rsidP="006615B4">
      <w:pPr>
        <w:ind w:right="1440"/>
      </w:pPr>
      <w:r>
        <w:rPr>
          <w:i/>
          <w:iCs/>
        </w:rPr>
        <w:t>Note.</w:t>
      </w:r>
      <w:r>
        <w:t xml:space="preserve"> Model results summarized for the negative binomial Poisson regression of the </w:t>
      </w:r>
      <w:r w:rsidR="000A5C66">
        <w:t xml:space="preserve">summed stop responses. </w:t>
      </w:r>
      <w:r w:rsidR="00CA776E">
        <w:t xml:space="preserve">Weights and errors should be interpreted as summed stop responses. </w:t>
      </w:r>
    </w:p>
    <w:p w14:paraId="61861291" w14:textId="098069D0" w:rsidR="00DB658E" w:rsidRDefault="00DB658E" w:rsidP="006615B4">
      <w:pPr>
        <w:ind w:right="1440"/>
        <w:rPr>
          <w:b/>
          <w:bCs/>
        </w:rPr>
      </w:pPr>
      <w:r>
        <w:rPr>
          <w:b/>
          <w:bCs/>
        </w:rPr>
        <w:t xml:space="preserve">Table </w:t>
      </w:r>
      <w:r w:rsidR="00EF1248">
        <w:rPr>
          <w:b/>
          <w:bCs/>
        </w:rP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288"/>
        <w:gridCol w:w="1489"/>
      </w:tblGrid>
      <w:tr w:rsidR="0062005D" w:rsidRPr="009E0AA6" w14:paraId="79BC833A" w14:textId="77777777" w:rsidTr="00D92A18">
        <w:trPr>
          <w:trHeight w:val="458"/>
        </w:trPr>
        <w:tc>
          <w:tcPr>
            <w:tcW w:w="2070" w:type="dxa"/>
            <w:tcBorders>
              <w:top w:val="single" w:sz="4" w:space="0" w:color="auto"/>
              <w:bottom w:val="single" w:sz="4" w:space="0" w:color="auto"/>
            </w:tcBorders>
            <w:vAlign w:val="center"/>
          </w:tcPr>
          <w:p w14:paraId="784771EC" w14:textId="3EF4428F" w:rsidR="0062005D" w:rsidRPr="00964EF8" w:rsidRDefault="0062005D" w:rsidP="00D92A18">
            <w:r>
              <w:t>Model</w:t>
            </w:r>
          </w:p>
        </w:tc>
        <w:tc>
          <w:tcPr>
            <w:tcW w:w="1288" w:type="dxa"/>
            <w:tcBorders>
              <w:top w:val="single" w:sz="4" w:space="0" w:color="auto"/>
              <w:bottom w:val="single" w:sz="4" w:space="0" w:color="auto"/>
            </w:tcBorders>
            <w:vAlign w:val="center"/>
          </w:tcPr>
          <w:p w14:paraId="67EA6BFC" w14:textId="6B94C7CB" w:rsidR="0062005D" w:rsidRPr="00964EF8" w:rsidRDefault="0062005D" w:rsidP="00D92A18">
            <w:pPr>
              <w:jc w:val="center"/>
            </w:pPr>
            <w:r>
              <w:t>AIC</w:t>
            </w:r>
          </w:p>
        </w:tc>
        <w:tc>
          <w:tcPr>
            <w:tcW w:w="1489" w:type="dxa"/>
            <w:tcBorders>
              <w:top w:val="single" w:sz="4" w:space="0" w:color="auto"/>
              <w:bottom w:val="single" w:sz="4" w:space="0" w:color="auto"/>
            </w:tcBorders>
            <w:vAlign w:val="center"/>
          </w:tcPr>
          <w:p w14:paraId="273D94AA" w14:textId="373BFECF" w:rsidR="0062005D" w:rsidRPr="00964EF8" w:rsidRDefault="0062005D" w:rsidP="00D92A18">
            <w:pPr>
              <w:jc w:val="center"/>
            </w:pPr>
            <w:r>
              <w:t>BIC</w:t>
            </w:r>
          </w:p>
        </w:tc>
      </w:tr>
      <w:tr w:rsidR="0062005D" w:rsidRPr="00DC38EF" w14:paraId="2DCC9FBC" w14:textId="77777777" w:rsidTr="00DB658E">
        <w:trPr>
          <w:trHeight w:val="351"/>
        </w:trPr>
        <w:tc>
          <w:tcPr>
            <w:tcW w:w="2070" w:type="dxa"/>
            <w:tcBorders>
              <w:top w:val="single" w:sz="4" w:space="0" w:color="auto"/>
            </w:tcBorders>
            <w:vAlign w:val="center"/>
          </w:tcPr>
          <w:p w14:paraId="50034F8A" w14:textId="535F0345" w:rsidR="0062005D" w:rsidRPr="00DC38EF" w:rsidRDefault="0062005D" w:rsidP="00D92A18">
            <w:r>
              <w:t>Poisson</w:t>
            </w:r>
          </w:p>
        </w:tc>
        <w:tc>
          <w:tcPr>
            <w:tcW w:w="1288" w:type="dxa"/>
            <w:tcBorders>
              <w:top w:val="single" w:sz="4" w:space="0" w:color="auto"/>
            </w:tcBorders>
            <w:vAlign w:val="center"/>
          </w:tcPr>
          <w:p w14:paraId="2A0F4A8F" w14:textId="2E2A4833" w:rsidR="0062005D" w:rsidRPr="00DC38EF" w:rsidRDefault="0062005D" w:rsidP="00D92A18">
            <w:pPr>
              <w:tabs>
                <w:tab w:val="decimal" w:pos="0"/>
              </w:tabs>
              <w:jc w:val="center"/>
            </w:pPr>
            <w:r>
              <w:t>1407</w:t>
            </w:r>
          </w:p>
        </w:tc>
        <w:tc>
          <w:tcPr>
            <w:tcW w:w="1489" w:type="dxa"/>
            <w:tcBorders>
              <w:top w:val="single" w:sz="4" w:space="0" w:color="auto"/>
            </w:tcBorders>
            <w:vAlign w:val="center"/>
          </w:tcPr>
          <w:p w14:paraId="27AC193B" w14:textId="3641C800" w:rsidR="0062005D" w:rsidRPr="00DC38EF" w:rsidRDefault="00631BAA" w:rsidP="00D92A18">
            <w:pPr>
              <w:tabs>
                <w:tab w:val="decimal" w:pos="131"/>
              </w:tabs>
              <w:jc w:val="center"/>
            </w:pPr>
            <w:r>
              <w:t>1423</w:t>
            </w:r>
          </w:p>
        </w:tc>
      </w:tr>
      <w:tr w:rsidR="0062005D" w:rsidRPr="00DC38EF" w14:paraId="6E6D273E" w14:textId="77777777" w:rsidTr="00DB658E">
        <w:trPr>
          <w:trHeight w:val="351"/>
        </w:trPr>
        <w:tc>
          <w:tcPr>
            <w:tcW w:w="2070" w:type="dxa"/>
            <w:tcBorders>
              <w:bottom w:val="single" w:sz="4" w:space="0" w:color="auto"/>
            </w:tcBorders>
            <w:vAlign w:val="center"/>
          </w:tcPr>
          <w:p w14:paraId="1E18C611" w14:textId="0797EC3F" w:rsidR="0062005D" w:rsidRPr="00DC38EF" w:rsidRDefault="0062005D" w:rsidP="00D92A18">
            <w:r>
              <w:t>Negative Binomial</w:t>
            </w:r>
          </w:p>
        </w:tc>
        <w:tc>
          <w:tcPr>
            <w:tcW w:w="1288" w:type="dxa"/>
            <w:tcBorders>
              <w:bottom w:val="single" w:sz="4" w:space="0" w:color="auto"/>
            </w:tcBorders>
            <w:vAlign w:val="center"/>
          </w:tcPr>
          <w:p w14:paraId="37733AB1" w14:textId="7404AEA4" w:rsidR="0062005D" w:rsidRPr="00DC38EF" w:rsidRDefault="00631BAA" w:rsidP="00D92A18">
            <w:pPr>
              <w:tabs>
                <w:tab w:val="decimal" w:pos="341"/>
              </w:tabs>
              <w:jc w:val="center"/>
            </w:pPr>
            <w:r>
              <w:t>1136</w:t>
            </w:r>
          </w:p>
        </w:tc>
        <w:tc>
          <w:tcPr>
            <w:tcW w:w="1489" w:type="dxa"/>
            <w:tcBorders>
              <w:bottom w:val="single" w:sz="4" w:space="0" w:color="auto"/>
            </w:tcBorders>
            <w:vAlign w:val="center"/>
          </w:tcPr>
          <w:p w14:paraId="5A9F5AD6" w14:textId="1639B98F" w:rsidR="0062005D" w:rsidRPr="00DC38EF" w:rsidRDefault="00631BAA" w:rsidP="00D92A18">
            <w:pPr>
              <w:tabs>
                <w:tab w:val="decimal" w:pos="221"/>
              </w:tabs>
              <w:jc w:val="center"/>
            </w:pPr>
            <w:r>
              <w:t>1155</w:t>
            </w:r>
          </w:p>
        </w:tc>
      </w:tr>
    </w:tbl>
    <w:p w14:paraId="5DD68D5C" w14:textId="6E68CD72" w:rsidR="00DB658E" w:rsidRDefault="00631BAA" w:rsidP="00631BAA">
      <w:pPr>
        <w:ind w:right="4320"/>
      </w:pPr>
      <w:r>
        <w:rPr>
          <w:i/>
          <w:iCs/>
        </w:rPr>
        <w:t xml:space="preserve">Note. </w:t>
      </w:r>
      <w:r>
        <w:t xml:space="preserve">Comparison of model fit indices between the </w:t>
      </w:r>
      <w:r w:rsidR="006F0F09">
        <w:t xml:space="preserve">generalized linear regressions ran with different distributional assumptions for the go-no-go data. </w:t>
      </w:r>
    </w:p>
    <w:p w14:paraId="057ACAF5" w14:textId="3A628722" w:rsidR="0046736B" w:rsidRPr="0046736B" w:rsidRDefault="0046736B" w:rsidP="00631BAA">
      <w:pPr>
        <w:ind w:right="4320"/>
        <w:rPr>
          <w:b/>
          <w:bCs/>
        </w:rPr>
      </w:pPr>
      <w:r>
        <w:rPr>
          <w:b/>
          <w:bCs/>
        </w:rPr>
        <w:t>Figure 5</w:t>
      </w:r>
    </w:p>
    <w:p w14:paraId="1ECA29E3" w14:textId="322230C4" w:rsidR="0046736B" w:rsidRDefault="0074614D" w:rsidP="0046736B">
      <w:r>
        <w:rPr>
          <w:noProof/>
        </w:rPr>
        <w:drawing>
          <wp:inline distT="0" distB="0" distL="0" distR="0" wp14:anchorId="381868AD" wp14:editId="4B70C8FB">
            <wp:extent cx="4762500" cy="3162300"/>
            <wp:effectExtent l="0" t="0" r="0" b="0"/>
            <wp:docPr id="1234693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pic:spPr>
                </pic:pic>
              </a:graphicData>
            </a:graphic>
          </wp:inline>
        </w:drawing>
      </w:r>
    </w:p>
    <w:p w14:paraId="5ACBEEE0" w14:textId="2289022A" w:rsidR="00F96551" w:rsidRDefault="00F96551" w:rsidP="0046736B">
      <w:r>
        <w:rPr>
          <w:noProof/>
        </w:rPr>
        <w:lastRenderedPageBreak/>
        <w:drawing>
          <wp:inline distT="0" distB="0" distL="0" distR="0" wp14:anchorId="075C5CD3" wp14:editId="24927B18">
            <wp:extent cx="4762500" cy="3162300"/>
            <wp:effectExtent l="0" t="0" r="0" b="0"/>
            <wp:docPr id="1292341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pic:spPr>
                </pic:pic>
              </a:graphicData>
            </a:graphic>
          </wp:inline>
        </w:drawing>
      </w:r>
    </w:p>
    <w:p w14:paraId="6877F360" w14:textId="00522607" w:rsidR="0046736B" w:rsidRDefault="00F21F9D" w:rsidP="0046736B">
      <w:r>
        <w:rPr>
          <w:i/>
          <w:iCs/>
        </w:rPr>
        <w:t>Figure 5</w:t>
      </w:r>
      <w:r>
        <w:t xml:space="preserve"> </w:t>
      </w:r>
      <w:r w:rsidR="00DD2242">
        <w:t>–</w:t>
      </w:r>
      <w:r>
        <w:t xml:space="preserve"> </w:t>
      </w:r>
      <w:r w:rsidR="00DD2242">
        <w:t xml:space="preserve">Model results for the negative binomial Poisson regression predicting stop responses. Same formatting as the previous figure for the original log-transformed linear model results </w:t>
      </w:r>
      <w:r w:rsidR="00324C1E">
        <w:t xml:space="preserve">(Figure 3). There does not appear to be much of difference </w:t>
      </w:r>
      <w:r w:rsidR="00AC1CB9">
        <w:t>between these results and the previous model</w:t>
      </w:r>
      <w:r w:rsidR="00511565">
        <w:t xml:space="preserve">, as ratio increases, there is a steeper drop in stop responses as ITI increases. </w:t>
      </w:r>
    </w:p>
    <w:p w14:paraId="0F5A22DD" w14:textId="77777777" w:rsidR="000E7497" w:rsidRPr="000E7497" w:rsidRDefault="000E7497" w:rsidP="000E7497">
      <w:pPr>
        <w:rPr>
          <w:rFonts w:ascii="Lucida Console" w:hAnsi="Lucida Console"/>
        </w:rPr>
      </w:pPr>
      <w:r w:rsidRPr="000E7497">
        <w:rPr>
          <w:rFonts w:ascii="Lucida Console" w:hAnsi="Lucida Console"/>
        </w:rPr>
        <w:t xml:space="preserve"># </w:t>
      </w:r>
      <w:proofErr w:type="gramStart"/>
      <w:r w:rsidRPr="000E7497">
        <w:rPr>
          <w:rFonts w:ascii="Lucida Console" w:hAnsi="Lucida Console"/>
        </w:rPr>
        <w:t>predict</w:t>
      </w:r>
      <w:proofErr w:type="gramEnd"/>
      <w:r w:rsidRPr="000E7497">
        <w:rPr>
          <w:rFonts w:ascii="Lucida Console" w:hAnsi="Lucida Console"/>
        </w:rPr>
        <w:t xml:space="preserve"> stop responses</w:t>
      </w:r>
    </w:p>
    <w:p w14:paraId="0FF83368" w14:textId="77777777" w:rsidR="000E7497" w:rsidRPr="000E7497" w:rsidRDefault="000E7497" w:rsidP="000E7497">
      <w:pPr>
        <w:rPr>
          <w:rFonts w:ascii="Lucida Console" w:hAnsi="Lucida Console"/>
        </w:rPr>
      </w:pPr>
      <w:r w:rsidRPr="000E7497">
        <w:rPr>
          <w:rFonts w:ascii="Lucida Console" w:hAnsi="Lucida Console"/>
        </w:rPr>
        <w:t xml:space="preserve"># </w:t>
      </w:r>
    </w:p>
    <w:p w14:paraId="3FD8DC52" w14:textId="77777777" w:rsidR="000E7497" w:rsidRPr="000E7497" w:rsidRDefault="000E7497" w:rsidP="000E7497">
      <w:pPr>
        <w:rPr>
          <w:rFonts w:ascii="Lucida Console" w:hAnsi="Lucida Console"/>
        </w:rPr>
      </w:pPr>
      <w:r w:rsidRPr="000E7497">
        <w:rPr>
          <w:rFonts w:ascii="Lucida Console" w:hAnsi="Lucida Console"/>
        </w:rPr>
        <w:t># E(</w:t>
      </w:r>
      <w:proofErr w:type="spellStart"/>
      <w:r w:rsidRPr="000E7497">
        <w:rPr>
          <w:rFonts w:ascii="Lucida Console" w:hAnsi="Lucida Console"/>
        </w:rPr>
        <w:t>sum_stop</w:t>
      </w:r>
      <w:proofErr w:type="spellEnd"/>
      <w:r w:rsidRPr="000E7497">
        <w:rPr>
          <w:rFonts w:ascii="Lucida Console" w:hAnsi="Lucida Console"/>
        </w:rPr>
        <w:t xml:space="preserve">) = </w:t>
      </w:r>
    </w:p>
    <w:p w14:paraId="7D8910D3" w14:textId="77777777" w:rsidR="000E7497" w:rsidRPr="000E7497" w:rsidRDefault="000E7497" w:rsidP="000E7497">
      <w:pPr>
        <w:rPr>
          <w:rFonts w:ascii="Lucida Console" w:hAnsi="Lucida Console"/>
        </w:rPr>
      </w:pPr>
      <w:r w:rsidRPr="000E7497">
        <w:rPr>
          <w:rFonts w:ascii="Lucida Console" w:hAnsi="Lucida Console"/>
        </w:rPr>
        <w:t>#   1.81 - .0004*</w:t>
      </w:r>
      <w:proofErr w:type="spellStart"/>
      <w:r w:rsidRPr="000E7497">
        <w:rPr>
          <w:rFonts w:ascii="Lucida Console" w:hAnsi="Lucida Console"/>
        </w:rPr>
        <w:t>c.iti</w:t>
      </w:r>
      <w:proofErr w:type="spellEnd"/>
      <w:r w:rsidRPr="000E7497">
        <w:rPr>
          <w:rFonts w:ascii="Lucida Console" w:hAnsi="Lucida Console"/>
        </w:rPr>
        <w:t xml:space="preserve"> + .014*</w:t>
      </w:r>
      <w:proofErr w:type="spellStart"/>
      <w:r w:rsidRPr="000E7497">
        <w:rPr>
          <w:rFonts w:ascii="Lucida Console" w:hAnsi="Lucida Console"/>
        </w:rPr>
        <w:t>c.ratio</w:t>
      </w:r>
      <w:proofErr w:type="spellEnd"/>
      <w:r w:rsidRPr="000E7497">
        <w:rPr>
          <w:rFonts w:ascii="Lucida Console" w:hAnsi="Lucida Console"/>
        </w:rPr>
        <w:t xml:space="preserve"> - .016*ratio2 - .0001 * </w:t>
      </w:r>
      <w:proofErr w:type="spellStart"/>
      <w:r w:rsidRPr="000E7497">
        <w:rPr>
          <w:rFonts w:ascii="Lucida Console" w:hAnsi="Lucida Console"/>
        </w:rPr>
        <w:t>c.iti</w:t>
      </w:r>
      <w:proofErr w:type="spellEnd"/>
      <w:r w:rsidRPr="000E7497">
        <w:rPr>
          <w:rFonts w:ascii="Lucida Console" w:hAnsi="Lucida Console"/>
        </w:rPr>
        <w:t xml:space="preserve"> * </w:t>
      </w:r>
      <w:proofErr w:type="spellStart"/>
      <w:r w:rsidRPr="000E7497">
        <w:rPr>
          <w:rFonts w:ascii="Lucida Console" w:hAnsi="Lucida Console"/>
        </w:rPr>
        <w:t>c.ratio</w:t>
      </w:r>
      <w:proofErr w:type="spellEnd"/>
    </w:p>
    <w:p w14:paraId="0E576318" w14:textId="77777777" w:rsidR="000E7497" w:rsidRPr="000E7497" w:rsidRDefault="000E7497" w:rsidP="000E7497">
      <w:pPr>
        <w:rPr>
          <w:rFonts w:ascii="Lucida Console" w:hAnsi="Lucida Console"/>
        </w:rPr>
      </w:pPr>
      <w:r w:rsidRPr="000E7497">
        <w:rPr>
          <w:rFonts w:ascii="Lucida Console" w:hAnsi="Lucida Console"/>
        </w:rPr>
        <w:t xml:space="preserve">#   </w:t>
      </w:r>
    </w:p>
    <w:p w14:paraId="49814DAF" w14:textId="77777777" w:rsidR="000E7497" w:rsidRPr="000E7497" w:rsidRDefault="000E7497" w:rsidP="000E7497">
      <w:pPr>
        <w:rPr>
          <w:rFonts w:ascii="Lucida Console" w:hAnsi="Lucida Console"/>
        </w:rPr>
      </w:pPr>
      <w:proofErr w:type="spellStart"/>
      <w:r w:rsidRPr="000E7497">
        <w:rPr>
          <w:rFonts w:ascii="Lucida Console" w:hAnsi="Lucida Console"/>
        </w:rPr>
        <w:t>pred_sum_stop</w:t>
      </w:r>
      <w:proofErr w:type="spellEnd"/>
      <w:r w:rsidRPr="000E7497">
        <w:rPr>
          <w:rFonts w:ascii="Lucida Console" w:hAnsi="Lucida Console"/>
        </w:rPr>
        <w:t xml:space="preserve"> &lt;- 1.81 - </w:t>
      </w:r>
    </w:p>
    <w:p w14:paraId="008E14BC" w14:textId="77777777" w:rsidR="000E7497" w:rsidRPr="000E7497" w:rsidRDefault="000E7497" w:rsidP="000E7497">
      <w:pPr>
        <w:rPr>
          <w:rFonts w:ascii="Lucida Console" w:hAnsi="Lucida Console"/>
        </w:rPr>
      </w:pPr>
      <w:r w:rsidRPr="000E7497">
        <w:rPr>
          <w:rFonts w:ascii="Lucida Console" w:hAnsi="Lucida Console"/>
        </w:rPr>
        <w:t xml:space="preserve">  .0004*(1000 - mean(</w:t>
      </w:r>
      <w:proofErr w:type="spellStart"/>
      <w:r w:rsidRPr="000E7497">
        <w:rPr>
          <w:rFonts w:ascii="Lucida Console" w:hAnsi="Lucida Console"/>
        </w:rPr>
        <w:t>go_no_go_summed_resp$iti</w:t>
      </w:r>
      <w:proofErr w:type="spellEnd"/>
      <w:r w:rsidRPr="000E7497">
        <w:rPr>
          <w:rFonts w:ascii="Lucida Console" w:hAnsi="Lucida Console"/>
        </w:rPr>
        <w:t xml:space="preserve">)) + </w:t>
      </w:r>
    </w:p>
    <w:p w14:paraId="65BE21D3" w14:textId="77777777" w:rsidR="000E7497" w:rsidRPr="000E7497" w:rsidRDefault="000E7497" w:rsidP="000E7497">
      <w:pPr>
        <w:rPr>
          <w:rFonts w:ascii="Lucida Console" w:hAnsi="Lucida Console"/>
        </w:rPr>
      </w:pPr>
      <w:r w:rsidRPr="000E7497">
        <w:rPr>
          <w:rFonts w:ascii="Lucida Console" w:hAnsi="Lucida Console"/>
        </w:rPr>
        <w:t xml:space="preserve">  .014*(3 - mean(</w:t>
      </w:r>
      <w:proofErr w:type="spellStart"/>
      <w:r w:rsidRPr="000E7497">
        <w:rPr>
          <w:rFonts w:ascii="Lucida Console" w:hAnsi="Lucida Console"/>
        </w:rPr>
        <w:t>go_no_go_summed_resp$ratio</w:t>
      </w:r>
      <w:proofErr w:type="spellEnd"/>
      <w:r w:rsidRPr="000E7497">
        <w:rPr>
          <w:rFonts w:ascii="Lucida Console" w:hAnsi="Lucida Console"/>
        </w:rPr>
        <w:t xml:space="preserve">)) - </w:t>
      </w:r>
    </w:p>
    <w:p w14:paraId="4A2477F7" w14:textId="77777777" w:rsidR="000E7497" w:rsidRPr="000E7497" w:rsidRDefault="000E7497" w:rsidP="000E7497">
      <w:pPr>
        <w:rPr>
          <w:rFonts w:ascii="Lucida Console" w:hAnsi="Lucida Console"/>
        </w:rPr>
      </w:pPr>
      <w:r w:rsidRPr="000E7497">
        <w:rPr>
          <w:rFonts w:ascii="Lucida Console" w:hAnsi="Lucida Console"/>
        </w:rPr>
        <w:t xml:space="preserve">  .016*(3 - mean(</w:t>
      </w:r>
      <w:proofErr w:type="spellStart"/>
      <w:r w:rsidRPr="000E7497">
        <w:rPr>
          <w:rFonts w:ascii="Lucida Console" w:hAnsi="Lucida Console"/>
        </w:rPr>
        <w:t>go_no_go_summed_resp$ratio</w:t>
      </w:r>
      <w:proofErr w:type="spellEnd"/>
      <w:r w:rsidRPr="000E7497">
        <w:rPr>
          <w:rFonts w:ascii="Lucida Console" w:hAnsi="Lucida Console"/>
        </w:rPr>
        <w:t xml:space="preserve">))^2 - </w:t>
      </w:r>
    </w:p>
    <w:p w14:paraId="741B1BA4" w14:textId="77777777" w:rsidR="000E7497" w:rsidRPr="000E7497" w:rsidRDefault="000E7497" w:rsidP="000E7497">
      <w:pPr>
        <w:rPr>
          <w:rFonts w:ascii="Lucida Console" w:hAnsi="Lucida Console"/>
        </w:rPr>
      </w:pPr>
      <w:r w:rsidRPr="000E7497">
        <w:rPr>
          <w:rFonts w:ascii="Lucida Console" w:hAnsi="Lucida Console"/>
        </w:rPr>
        <w:t xml:space="preserve">  .0001*(1000 - mean(</w:t>
      </w:r>
      <w:proofErr w:type="spellStart"/>
      <w:r w:rsidRPr="000E7497">
        <w:rPr>
          <w:rFonts w:ascii="Lucida Console" w:hAnsi="Lucida Console"/>
        </w:rPr>
        <w:t>go_no_go_summed_resp$iti</w:t>
      </w:r>
      <w:proofErr w:type="spellEnd"/>
      <w:r w:rsidRPr="000E7497">
        <w:rPr>
          <w:rFonts w:ascii="Lucida Console" w:hAnsi="Lucida Console"/>
        </w:rPr>
        <w:t>))*(3 - mean(</w:t>
      </w:r>
      <w:proofErr w:type="spellStart"/>
      <w:r w:rsidRPr="000E7497">
        <w:rPr>
          <w:rFonts w:ascii="Lucida Console" w:hAnsi="Lucida Console"/>
        </w:rPr>
        <w:t>go_no_go_summed_resp$ratio</w:t>
      </w:r>
      <w:proofErr w:type="spellEnd"/>
      <w:r w:rsidRPr="000E7497">
        <w:rPr>
          <w:rFonts w:ascii="Lucida Console" w:hAnsi="Lucida Console"/>
        </w:rPr>
        <w:t>))</w:t>
      </w:r>
    </w:p>
    <w:p w14:paraId="4F004568" w14:textId="77777777" w:rsidR="000E7497" w:rsidRPr="000E7497" w:rsidRDefault="000E7497" w:rsidP="000E7497">
      <w:pPr>
        <w:rPr>
          <w:rFonts w:ascii="Lucida Console" w:hAnsi="Lucida Console"/>
        </w:rPr>
      </w:pPr>
    </w:p>
    <w:p w14:paraId="3B17E403" w14:textId="58739719" w:rsidR="00CF360B" w:rsidRPr="000E7497" w:rsidRDefault="000E7497" w:rsidP="000E7497">
      <w:pPr>
        <w:rPr>
          <w:rFonts w:ascii="Lucida Console" w:hAnsi="Lucida Console"/>
        </w:rPr>
      </w:pPr>
      <w:r w:rsidRPr="000E7497">
        <w:rPr>
          <w:rFonts w:ascii="Lucida Console" w:hAnsi="Lucida Console"/>
        </w:rPr>
        <w:t xml:space="preserve"># </w:t>
      </w:r>
      <w:proofErr w:type="gramStart"/>
      <w:r w:rsidRPr="000E7497">
        <w:rPr>
          <w:rFonts w:ascii="Lucida Console" w:hAnsi="Lucida Console"/>
        </w:rPr>
        <w:t>stop</w:t>
      </w:r>
      <w:proofErr w:type="gramEnd"/>
      <w:r w:rsidRPr="000E7497">
        <w:rPr>
          <w:rFonts w:ascii="Lucida Console" w:hAnsi="Lucida Console"/>
        </w:rPr>
        <w:t xml:space="preserve"> responses = 1.66 -&gt; 2</w:t>
      </w:r>
    </w:p>
    <w:sectPr w:rsidR="00CF360B" w:rsidRPr="000E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CF"/>
    <w:rsid w:val="00003B00"/>
    <w:rsid w:val="000105BB"/>
    <w:rsid w:val="00010AB5"/>
    <w:rsid w:val="00013BDA"/>
    <w:rsid w:val="00022B80"/>
    <w:rsid w:val="000332E2"/>
    <w:rsid w:val="00052EE6"/>
    <w:rsid w:val="00063BB5"/>
    <w:rsid w:val="00066457"/>
    <w:rsid w:val="0006697D"/>
    <w:rsid w:val="000721EE"/>
    <w:rsid w:val="00082EF8"/>
    <w:rsid w:val="000873B8"/>
    <w:rsid w:val="00093D36"/>
    <w:rsid w:val="000A3537"/>
    <w:rsid w:val="000A5C66"/>
    <w:rsid w:val="000C021A"/>
    <w:rsid w:val="000C1BEE"/>
    <w:rsid w:val="000D4B3A"/>
    <w:rsid w:val="000E0323"/>
    <w:rsid w:val="000E7497"/>
    <w:rsid w:val="000E7A99"/>
    <w:rsid w:val="000F0595"/>
    <w:rsid w:val="000F2D1B"/>
    <w:rsid w:val="00100958"/>
    <w:rsid w:val="0011196E"/>
    <w:rsid w:val="0012351B"/>
    <w:rsid w:val="00141705"/>
    <w:rsid w:val="00144398"/>
    <w:rsid w:val="00154C7B"/>
    <w:rsid w:val="001669FA"/>
    <w:rsid w:val="00177B72"/>
    <w:rsid w:val="00192323"/>
    <w:rsid w:val="001A2ACF"/>
    <w:rsid w:val="001B3F88"/>
    <w:rsid w:val="001E2DA6"/>
    <w:rsid w:val="00201E7C"/>
    <w:rsid w:val="00207AD4"/>
    <w:rsid w:val="00211B0C"/>
    <w:rsid w:val="00211CBF"/>
    <w:rsid w:val="002163A1"/>
    <w:rsid w:val="002318A7"/>
    <w:rsid w:val="002339CE"/>
    <w:rsid w:val="00234E7D"/>
    <w:rsid w:val="00235336"/>
    <w:rsid w:val="00235F14"/>
    <w:rsid w:val="00235FA8"/>
    <w:rsid w:val="002363F2"/>
    <w:rsid w:val="00237103"/>
    <w:rsid w:val="0025315C"/>
    <w:rsid w:val="0025706A"/>
    <w:rsid w:val="00263029"/>
    <w:rsid w:val="002646D4"/>
    <w:rsid w:val="00274CA8"/>
    <w:rsid w:val="00292B3A"/>
    <w:rsid w:val="002A0D9D"/>
    <w:rsid w:val="002A1A29"/>
    <w:rsid w:val="002B2ACE"/>
    <w:rsid w:val="002B6D61"/>
    <w:rsid w:val="002D08C2"/>
    <w:rsid w:val="002D1FA5"/>
    <w:rsid w:val="002D3380"/>
    <w:rsid w:val="002E6DF1"/>
    <w:rsid w:val="002E7958"/>
    <w:rsid w:val="002F2AE4"/>
    <w:rsid w:val="002F66BA"/>
    <w:rsid w:val="00304F03"/>
    <w:rsid w:val="003156B0"/>
    <w:rsid w:val="0031577B"/>
    <w:rsid w:val="00321217"/>
    <w:rsid w:val="00324C1E"/>
    <w:rsid w:val="0032580A"/>
    <w:rsid w:val="00337CE2"/>
    <w:rsid w:val="00337CE8"/>
    <w:rsid w:val="00341858"/>
    <w:rsid w:val="00345E17"/>
    <w:rsid w:val="00356F11"/>
    <w:rsid w:val="00371690"/>
    <w:rsid w:val="00371FAB"/>
    <w:rsid w:val="003855EF"/>
    <w:rsid w:val="003A004F"/>
    <w:rsid w:val="003C02E9"/>
    <w:rsid w:val="003C18A2"/>
    <w:rsid w:val="003D1DC6"/>
    <w:rsid w:val="003D4FFD"/>
    <w:rsid w:val="003F603A"/>
    <w:rsid w:val="00404C41"/>
    <w:rsid w:val="004057D2"/>
    <w:rsid w:val="00406295"/>
    <w:rsid w:val="00406A9C"/>
    <w:rsid w:val="00415A74"/>
    <w:rsid w:val="00416A84"/>
    <w:rsid w:val="00421D74"/>
    <w:rsid w:val="004232D3"/>
    <w:rsid w:val="004250FD"/>
    <w:rsid w:val="0043548A"/>
    <w:rsid w:val="00435491"/>
    <w:rsid w:val="00435E39"/>
    <w:rsid w:val="004509B4"/>
    <w:rsid w:val="004574FC"/>
    <w:rsid w:val="004600CA"/>
    <w:rsid w:val="00462131"/>
    <w:rsid w:val="0046736B"/>
    <w:rsid w:val="0047154D"/>
    <w:rsid w:val="00474079"/>
    <w:rsid w:val="004A6D02"/>
    <w:rsid w:val="004B5616"/>
    <w:rsid w:val="004C5A4B"/>
    <w:rsid w:val="004C6684"/>
    <w:rsid w:val="004D4E92"/>
    <w:rsid w:val="004D59E2"/>
    <w:rsid w:val="004E267A"/>
    <w:rsid w:val="00501089"/>
    <w:rsid w:val="00511565"/>
    <w:rsid w:val="00520A7B"/>
    <w:rsid w:val="005415EB"/>
    <w:rsid w:val="00546EFA"/>
    <w:rsid w:val="00553385"/>
    <w:rsid w:val="0055397C"/>
    <w:rsid w:val="00557EAC"/>
    <w:rsid w:val="00575154"/>
    <w:rsid w:val="00582847"/>
    <w:rsid w:val="00597E0A"/>
    <w:rsid w:val="005B7DB6"/>
    <w:rsid w:val="005C098F"/>
    <w:rsid w:val="005C1BC0"/>
    <w:rsid w:val="005E1B32"/>
    <w:rsid w:val="005E3BA0"/>
    <w:rsid w:val="005F558A"/>
    <w:rsid w:val="00617C4F"/>
    <w:rsid w:val="0062005D"/>
    <w:rsid w:val="00624A16"/>
    <w:rsid w:val="006270FF"/>
    <w:rsid w:val="00631BAA"/>
    <w:rsid w:val="00645B12"/>
    <w:rsid w:val="006550BE"/>
    <w:rsid w:val="006615B4"/>
    <w:rsid w:val="006664D9"/>
    <w:rsid w:val="006741DC"/>
    <w:rsid w:val="006965F5"/>
    <w:rsid w:val="006972A6"/>
    <w:rsid w:val="006A6B0D"/>
    <w:rsid w:val="006B2A60"/>
    <w:rsid w:val="006D4BB6"/>
    <w:rsid w:val="006F0F09"/>
    <w:rsid w:val="006F455C"/>
    <w:rsid w:val="006F52B7"/>
    <w:rsid w:val="006F618A"/>
    <w:rsid w:val="007134D9"/>
    <w:rsid w:val="00714B24"/>
    <w:rsid w:val="007239FD"/>
    <w:rsid w:val="00724788"/>
    <w:rsid w:val="007251AA"/>
    <w:rsid w:val="00732A18"/>
    <w:rsid w:val="0074614D"/>
    <w:rsid w:val="007539FE"/>
    <w:rsid w:val="0075661A"/>
    <w:rsid w:val="00756EC9"/>
    <w:rsid w:val="007665EA"/>
    <w:rsid w:val="00767B31"/>
    <w:rsid w:val="0077206B"/>
    <w:rsid w:val="00792F2A"/>
    <w:rsid w:val="007A194A"/>
    <w:rsid w:val="007A1B2E"/>
    <w:rsid w:val="007A46FC"/>
    <w:rsid w:val="007C6BFD"/>
    <w:rsid w:val="007E3251"/>
    <w:rsid w:val="007E467C"/>
    <w:rsid w:val="007E70B8"/>
    <w:rsid w:val="008041A4"/>
    <w:rsid w:val="00806723"/>
    <w:rsid w:val="008142ED"/>
    <w:rsid w:val="008345D8"/>
    <w:rsid w:val="008512C9"/>
    <w:rsid w:val="00857D20"/>
    <w:rsid w:val="0086040D"/>
    <w:rsid w:val="00866A30"/>
    <w:rsid w:val="00873450"/>
    <w:rsid w:val="008859E6"/>
    <w:rsid w:val="008A6330"/>
    <w:rsid w:val="008B4191"/>
    <w:rsid w:val="008C65D0"/>
    <w:rsid w:val="008D6DC9"/>
    <w:rsid w:val="008E384A"/>
    <w:rsid w:val="008E71D5"/>
    <w:rsid w:val="008F3953"/>
    <w:rsid w:val="008F4D54"/>
    <w:rsid w:val="008F572F"/>
    <w:rsid w:val="00903CA0"/>
    <w:rsid w:val="00904789"/>
    <w:rsid w:val="00924C7B"/>
    <w:rsid w:val="009441B3"/>
    <w:rsid w:val="009563AE"/>
    <w:rsid w:val="00964EF8"/>
    <w:rsid w:val="009749AE"/>
    <w:rsid w:val="009808DF"/>
    <w:rsid w:val="00985402"/>
    <w:rsid w:val="009A102C"/>
    <w:rsid w:val="009B655F"/>
    <w:rsid w:val="009C658E"/>
    <w:rsid w:val="009D083C"/>
    <w:rsid w:val="009D3C3A"/>
    <w:rsid w:val="009E09BA"/>
    <w:rsid w:val="009E0AA6"/>
    <w:rsid w:val="009E36C8"/>
    <w:rsid w:val="009F6E8D"/>
    <w:rsid w:val="00A11580"/>
    <w:rsid w:val="00A16C39"/>
    <w:rsid w:val="00A32C8D"/>
    <w:rsid w:val="00A352C1"/>
    <w:rsid w:val="00A5501B"/>
    <w:rsid w:val="00A57594"/>
    <w:rsid w:val="00A61620"/>
    <w:rsid w:val="00A739CC"/>
    <w:rsid w:val="00A75580"/>
    <w:rsid w:val="00A77B4C"/>
    <w:rsid w:val="00A91DC0"/>
    <w:rsid w:val="00AA00C6"/>
    <w:rsid w:val="00AA0835"/>
    <w:rsid w:val="00AA3228"/>
    <w:rsid w:val="00AB4986"/>
    <w:rsid w:val="00AC0D91"/>
    <w:rsid w:val="00AC1CB9"/>
    <w:rsid w:val="00AC358D"/>
    <w:rsid w:val="00AC4C56"/>
    <w:rsid w:val="00AC7E05"/>
    <w:rsid w:val="00AF7BA9"/>
    <w:rsid w:val="00B043F5"/>
    <w:rsid w:val="00B20DFE"/>
    <w:rsid w:val="00B211B4"/>
    <w:rsid w:val="00B33A8D"/>
    <w:rsid w:val="00B72A6A"/>
    <w:rsid w:val="00B72D77"/>
    <w:rsid w:val="00B77DDF"/>
    <w:rsid w:val="00B85F83"/>
    <w:rsid w:val="00B93868"/>
    <w:rsid w:val="00BB0BA9"/>
    <w:rsid w:val="00BB52B4"/>
    <w:rsid w:val="00BC253D"/>
    <w:rsid w:val="00BE38E3"/>
    <w:rsid w:val="00BE492F"/>
    <w:rsid w:val="00C02479"/>
    <w:rsid w:val="00C04A64"/>
    <w:rsid w:val="00C20CBE"/>
    <w:rsid w:val="00C50594"/>
    <w:rsid w:val="00C5533F"/>
    <w:rsid w:val="00C56E2D"/>
    <w:rsid w:val="00C57646"/>
    <w:rsid w:val="00C83EDC"/>
    <w:rsid w:val="00C85E31"/>
    <w:rsid w:val="00C927A1"/>
    <w:rsid w:val="00CA0881"/>
    <w:rsid w:val="00CA0F0D"/>
    <w:rsid w:val="00CA4EB0"/>
    <w:rsid w:val="00CA776E"/>
    <w:rsid w:val="00CA7E99"/>
    <w:rsid w:val="00CB4874"/>
    <w:rsid w:val="00CC274A"/>
    <w:rsid w:val="00CE6FBD"/>
    <w:rsid w:val="00CF09A7"/>
    <w:rsid w:val="00CF360B"/>
    <w:rsid w:val="00D157E3"/>
    <w:rsid w:val="00D23569"/>
    <w:rsid w:val="00D43701"/>
    <w:rsid w:val="00D47AC8"/>
    <w:rsid w:val="00D52FBD"/>
    <w:rsid w:val="00D53227"/>
    <w:rsid w:val="00D64F5F"/>
    <w:rsid w:val="00D9443E"/>
    <w:rsid w:val="00DB0A9F"/>
    <w:rsid w:val="00DB658E"/>
    <w:rsid w:val="00DC38EF"/>
    <w:rsid w:val="00DD2242"/>
    <w:rsid w:val="00DE3DE6"/>
    <w:rsid w:val="00DE55A5"/>
    <w:rsid w:val="00E147BB"/>
    <w:rsid w:val="00E23AC9"/>
    <w:rsid w:val="00E30FCC"/>
    <w:rsid w:val="00E449AE"/>
    <w:rsid w:val="00E500DE"/>
    <w:rsid w:val="00E5714D"/>
    <w:rsid w:val="00E6483A"/>
    <w:rsid w:val="00E8013E"/>
    <w:rsid w:val="00E80D50"/>
    <w:rsid w:val="00E82D66"/>
    <w:rsid w:val="00E93C56"/>
    <w:rsid w:val="00E94DB6"/>
    <w:rsid w:val="00EA5745"/>
    <w:rsid w:val="00EB0613"/>
    <w:rsid w:val="00EB257A"/>
    <w:rsid w:val="00EB32F6"/>
    <w:rsid w:val="00EC3A55"/>
    <w:rsid w:val="00ED687C"/>
    <w:rsid w:val="00ED79DB"/>
    <w:rsid w:val="00EF1248"/>
    <w:rsid w:val="00F03FF1"/>
    <w:rsid w:val="00F06EEE"/>
    <w:rsid w:val="00F21F9D"/>
    <w:rsid w:val="00F274EB"/>
    <w:rsid w:val="00F35DE5"/>
    <w:rsid w:val="00F44C5E"/>
    <w:rsid w:val="00F7295C"/>
    <w:rsid w:val="00F9347A"/>
    <w:rsid w:val="00F95D71"/>
    <w:rsid w:val="00F96551"/>
    <w:rsid w:val="00FA7D59"/>
    <w:rsid w:val="00FB2064"/>
    <w:rsid w:val="00FB44F0"/>
    <w:rsid w:val="00FB7BE2"/>
    <w:rsid w:val="00FC4B47"/>
    <w:rsid w:val="00FD58F6"/>
    <w:rsid w:val="00FD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B7FC"/>
  <w15:chartTrackingRefBased/>
  <w15:docId w15:val="{4E1B38FE-D54F-4E73-9C5C-705F9179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58E"/>
  </w:style>
  <w:style w:type="paragraph" w:styleId="Heading1">
    <w:name w:val="heading 1"/>
    <w:basedOn w:val="Normal"/>
    <w:next w:val="Normal"/>
    <w:link w:val="Heading1Char"/>
    <w:uiPriority w:val="9"/>
    <w:qFormat/>
    <w:rsid w:val="001A2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ACF"/>
    <w:rPr>
      <w:rFonts w:eastAsiaTheme="majorEastAsia" w:cstheme="majorBidi"/>
      <w:color w:val="272727" w:themeColor="text1" w:themeTint="D8"/>
    </w:rPr>
  </w:style>
  <w:style w:type="paragraph" w:styleId="Title">
    <w:name w:val="Title"/>
    <w:basedOn w:val="Normal"/>
    <w:next w:val="Normal"/>
    <w:link w:val="TitleChar"/>
    <w:uiPriority w:val="10"/>
    <w:qFormat/>
    <w:rsid w:val="001A2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ACF"/>
    <w:pPr>
      <w:spacing w:before="160"/>
      <w:jc w:val="center"/>
    </w:pPr>
    <w:rPr>
      <w:i/>
      <w:iCs/>
      <w:color w:val="404040" w:themeColor="text1" w:themeTint="BF"/>
    </w:rPr>
  </w:style>
  <w:style w:type="character" w:customStyle="1" w:styleId="QuoteChar">
    <w:name w:val="Quote Char"/>
    <w:basedOn w:val="DefaultParagraphFont"/>
    <w:link w:val="Quote"/>
    <w:uiPriority w:val="29"/>
    <w:rsid w:val="001A2ACF"/>
    <w:rPr>
      <w:i/>
      <w:iCs/>
      <w:color w:val="404040" w:themeColor="text1" w:themeTint="BF"/>
    </w:rPr>
  </w:style>
  <w:style w:type="paragraph" w:styleId="ListParagraph">
    <w:name w:val="List Paragraph"/>
    <w:basedOn w:val="Normal"/>
    <w:uiPriority w:val="34"/>
    <w:qFormat/>
    <w:rsid w:val="001A2ACF"/>
    <w:pPr>
      <w:ind w:left="720"/>
      <w:contextualSpacing/>
    </w:pPr>
  </w:style>
  <w:style w:type="character" w:styleId="IntenseEmphasis">
    <w:name w:val="Intense Emphasis"/>
    <w:basedOn w:val="DefaultParagraphFont"/>
    <w:uiPriority w:val="21"/>
    <w:qFormat/>
    <w:rsid w:val="001A2ACF"/>
    <w:rPr>
      <w:i/>
      <w:iCs/>
      <w:color w:val="0F4761" w:themeColor="accent1" w:themeShade="BF"/>
    </w:rPr>
  </w:style>
  <w:style w:type="paragraph" w:styleId="IntenseQuote">
    <w:name w:val="Intense Quote"/>
    <w:basedOn w:val="Normal"/>
    <w:next w:val="Normal"/>
    <w:link w:val="IntenseQuoteChar"/>
    <w:uiPriority w:val="30"/>
    <w:qFormat/>
    <w:rsid w:val="001A2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ACF"/>
    <w:rPr>
      <w:i/>
      <w:iCs/>
      <w:color w:val="0F4761" w:themeColor="accent1" w:themeShade="BF"/>
    </w:rPr>
  </w:style>
  <w:style w:type="character" w:styleId="IntenseReference">
    <w:name w:val="Intense Reference"/>
    <w:basedOn w:val="DefaultParagraphFont"/>
    <w:uiPriority w:val="32"/>
    <w:qFormat/>
    <w:rsid w:val="001A2ACF"/>
    <w:rPr>
      <w:b/>
      <w:bCs/>
      <w:smallCaps/>
      <w:color w:val="0F4761" w:themeColor="accent1" w:themeShade="BF"/>
      <w:spacing w:val="5"/>
    </w:rPr>
  </w:style>
  <w:style w:type="table" w:styleId="TableGrid">
    <w:name w:val="Table Grid"/>
    <w:basedOn w:val="TableNormal"/>
    <w:uiPriority w:val="39"/>
    <w:rsid w:val="00B9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238059">
      <w:bodyDiv w:val="1"/>
      <w:marLeft w:val="0"/>
      <w:marRight w:val="0"/>
      <w:marTop w:val="0"/>
      <w:marBottom w:val="0"/>
      <w:divBdr>
        <w:top w:val="none" w:sz="0" w:space="0" w:color="auto"/>
        <w:left w:val="none" w:sz="0" w:space="0" w:color="auto"/>
        <w:bottom w:val="none" w:sz="0" w:space="0" w:color="auto"/>
        <w:right w:val="none" w:sz="0" w:space="0" w:color="auto"/>
      </w:divBdr>
    </w:div>
    <w:div w:id="20961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11</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Watson</dc:creator>
  <cp:keywords/>
  <dc:description/>
  <cp:lastModifiedBy>Luke Watson</cp:lastModifiedBy>
  <cp:revision>308</cp:revision>
  <dcterms:created xsi:type="dcterms:W3CDTF">2024-09-17T02:56:00Z</dcterms:created>
  <dcterms:modified xsi:type="dcterms:W3CDTF">2024-09-17T19:02:00Z</dcterms:modified>
</cp:coreProperties>
</file>