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40" w:line="300" w:lineRule="auto"/>
        <w:jc w:val="center"/>
      </w:pPr>
      <w:r>
        <w:rPr>
          <w:rFonts w:ascii="黑体" w:hAnsi="黑体" w:eastAsia="黑体"/>
          <w:b/>
          <w:color w:val="17365D"/>
          <w:sz w:val="48"/>
        </w:rPr>
        <w:t>基于FPGA的校园多场景</w:t>
        <w:br/>
        <w:t>音视频信息终端</w:t>
      </w:r>
    </w:p>
    <w:p>
      <w:pPr>
        <w:spacing w:before="320"/>
        <w:jc w:val="center"/>
      </w:pPr>
      <w:r>
        <w:rPr>
          <w:rFonts w:ascii="宋体" w:hAnsi="宋体" w:eastAsia="宋体"/>
          <w:b/>
          <w:sz w:val="32"/>
        </w:rPr>
        <w:t>作品设计报告（10-19稳定版）</w:t>
      </w:r>
    </w:p>
    <w:p/>
    <w:p>
      <w:pPr>
        <w:keepNext/>
        <w:spacing w:before="200" w:after="80"/>
      </w:pPr>
      <w:r>
        <w:rPr>
          <w:rFonts w:ascii="黑体" w:hAnsi="黑体" w:eastAsia="黑体"/>
          <w:b/>
          <w:color w:val="17365D"/>
          <w:sz w:val="32"/>
        </w:rPr>
        <w:t>摘  要</w:t>
      </w:r>
    </w:p>
    <w:p>
      <w:pPr>
        <w:spacing w:line="300" w:lineRule="auto"/>
        <w:jc w:val="both"/>
      </w:pPr>
      <w:r>
        <w:rPr>
          <w:rFonts w:ascii="宋体" w:hAnsi="宋体" w:eastAsia="宋体"/>
          <w:b w:val="0"/>
          <w:sz w:val="21"/>
        </w:rPr>
        <w:t>本作品面向迎新展示、会议公示、现场抢答和应急告警等校园信息发布需求，基于安路EG4S20BG256 FPGA构建一体化音视频终端。系统从TF卡读取BMP图片及WAV音频，采用FAT32文件名寻址、SDRAM帧缓存和640×480 HDMI输出；在统一像素流水线中完成图片缩放、马赛克、淡入淡出、场景OSD与音频可视化。控制层采用按键与UART双入口，通过帧边界原子提交、首帧有效门控、超时重试、坏图跳过和跨时钟域同步保证场景切换稳定。工程进一步使用活动使能、局部时钟使能、计数器位宽收敛及无效数据冻结降低无效翻转。最终种子59实现结果为LUT 17,288（88.20%）、REG 8,881（45.31%）、SWNS +0.134 ns、HWNS +0.020 ns，已完成实板烧录与核心功能复核。板级功耗、长稳和批量冷启动数据将在提交前按统一记录表补齐。</w:t>
      </w:r>
    </w:p>
    <w:p>
      <w:pPr>
        <w:spacing w:line="300" w:lineRule="auto"/>
        <w:jc w:val="both"/>
      </w:pPr>
      <w:r>
        <w:rPr>
          <w:rFonts w:ascii="宋体" w:hAnsi="宋体" w:eastAsia="宋体"/>
          <w:b/>
          <w:sz w:val="21"/>
        </w:rPr>
        <w:t>关键词：FPGA；HDMI；SDRAM帧缓存；FAT32；多场景OSD；低功耗；鲁棒性</w:t>
      </w:r>
    </w:p>
    <w:p>
      <w:r>
        <w:br w:type="page"/>
      </w:r>
    </w:p>
    <w:p>
      <w:pPr>
        <w:keepNext/>
        <w:spacing w:before="200" w:after="80"/>
      </w:pPr>
      <w:r>
        <w:rPr>
          <w:rFonts w:ascii="黑体" w:hAnsi="黑体" w:eastAsia="黑体"/>
          <w:b/>
          <w:color w:val="17365D"/>
          <w:sz w:val="32"/>
        </w:rPr>
        <w:t>第一部分  作品概述</w:t>
      </w:r>
    </w:p>
    <w:p>
      <w:pPr>
        <w:keepNext/>
        <w:spacing w:before="120" w:after="80"/>
      </w:pPr>
      <w:r>
        <w:rPr>
          <w:rFonts w:ascii="黑体" w:hAnsi="黑体" w:eastAsia="黑体"/>
          <w:b/>
          <w:color w:val="000000"/>
          <w:sz w:val="24"/>
        </w:rPr>
        <w:t>1.1 作品功能</w:t>
      </w:r>
    </w:p>
    <w:p>
      <w:pPr>
        <w:spacing w:line="300" w:lineRule="auto"/>
        <w:ind w:firstLine="420"/>
        <w:jc w:val="both"/>
      </w:pPr>
      <w:r>
        <w:rPr>
          <w:rFonts w:ascii="宋体" w:hAnsi="宋体" w:eastAsia="宋体"/>
          <w:b w:val="0"/>
          <w:sz w:val="21"/>
        </w:rPr>
        <w:t>系统形成“本地媒体读取—缓存管理—实时合成—HDMI音视频输出”的完整闭环，支持TF卡BMP自动读取与轮播、手动切图和启停控制、48 kHz音频输出、图片与音频联动，以及迎新、会议、抢答、应急四类场景。迎新场景支持流动字幕UART配置、分辨率常显、马赛克和亮度模式；会议场景支持状态OSD；抢答场景支持倒计时、计分和动态排名；应急场景支持方向箭头、告警信息与UART配置。</w:t>
      </w:r>
    </w:p>
    <w:p>
      <w:pPr>
        <w:keepNext/>
        <w:spacing w:before="120" w:after="80"/>
      </w:pPr>
      <w:r>
        <w:rPr>
          <w:rFonts w:ascii="黑体" w:hAnsi="黑体" w:eastAsia="黑体"/>
          <w:b/>
          <w:color w:val="000000"/>
          <w:sz w:val="24"/>
        </w:rPr>
        <w:t>1.2 应用场景</w:t>
      </w:r>
    </w:p>
    <w:p>
      <w:pPr>
        <w:spacing w:line="300" w:lineRule="auto"/>
        <w:ind w:firstLine="420"/>
        <w:jc w:val="both"/>
      </w:pPr>
      <w:r>
        <w:rPr>
          <w:rFonts w:ascii="宋体" w:hAnsi="宋体" w:eastAsia="宋体"/>
          <w:b w:val="0"/>
          <w:sz w:val="21"/>
        </w:rPr>
        <w:t>作品定位为可独立部署的校园多功能信息终端，可连接普通HDMI显示器用于新生报到、会议室状态牌、活动竞赛大屏和突发事件疏散指引。其核心媒体链路和可配置OSD也可迁移到展厅导览、楼宇信息发布和轻量数字标牌。</w:t>
      </w:r>
    </w:p>
    <w:p>
      <w:pPr>
        <w:keepNext/>
        <w:spacing w:before="120" w:after="80"/>
      </w:pPr>
      <w:r>
        <w:rPr>
          <w:rFonts w:ascii="黑体" w:hAnsi="黑体" w:eastAsia="黑体"/>
          <w:b/>
          <w:color w:val="000000"/>
          <w:sz w:val="24"/>
        </w:rPr>
        <w:t>1.3 技术特点</w:t>
      </w:r>
    </w:p>
    <w:p>
      <w:pPr>
        <w:spacing w:line="288" w:lineRule="auto"/>
        <w:ind w:left="454" w:hanging="198"/>
      </w:pPr>
      <w:r>
        <w:rPr>
          <w:rFonts w:ascii="宋体" w:hAnsi="宋体" w:eastAsia="宋体"/>
          <w:b w:val="0"/>
          <w:sz w:val="21"/>
        </w:rPr>
        <w:t>• 纯硬件并行像素流水线：视频时序、缩放、OSD、音频和控制互不阻塞。</w:t>
      </w:r>
    </w:p>
    <w:p>
      <w:pPr>
        <w:spacing w:line="288" w:lineRule="auto"/>
        <w:ind w:left="454" w:hanging="198"/>
      </w:pPr>
      <w:r>
        <w:rPr>
          <w:rFonts w:ascii="宋体" w:hAnsi="宋体" w:eastAsia="宋体"/>
          <w:b w:val="0"/>
          <w:sz w:val="21"/>
        </w:rPr>
        <w:t>• 稳定切换机制：场景请求在帧边界统一提交，首帧未有效前保持黑场，消除跨场景残影。</w:t>
      </w:r>
    </w:p>
    <w:p>
      <w:pPr>
        <w:spacing w:line="288" w:lineRule="auto"/>
        <w:ind w:left="454" w:hanging="198"/>
      </w:pPr>
      <w:r>
        <w:rPr>
          <w:rFonts w:ascii="宋体" w:hAnsi="宋体" w:eastAsia="宋体"/>
          <w:b w:val="0"/>
          <w:sz w:val="21"/>
        </w:rPr>
        <w:t>• 媒体鲁棒性：对坏图、尺寸不匹配和读取超时进行错误编码、重试与跳过，不阻塞轮播。</w:t>
      </w:r>
    </w:p>
    <w:p>
      <w:pPr>
        <w:spacing w:line="288" w:lineRule="auto"/>
        <w:ind w:left="454" w:hanging="198"/>
      </w:pPr>
      <w:r>
        <w:rPr>
          <w:rFonts w:ascii="宋体" w:hAnsi="宋体" w:eastAsia="宋体"/>
          <w:b w:val="0"/>
          <w:sz w:val="21"/>
        </w:rPr>
        <w:t>• 低功耗逻辑：以时钟使能和数据冻结替代逻辑门控时钟，按场景关闭无关计算链路。</w:t>
      </w:r>
    </w:p>
    <w:p>
      <w:pPr>
        <w:spacing w:line="288" w:lineRule="auto"/>
        <w:ind w:left="454" w:hanging="198"/>
      </w:pPr>
      <w:r>
        <w:rPr>
          <w:rFonts w:ascii="宋体" w:hAnsi="宋体" w:eastAsia="宋体"/>
          <w:b w:val="0"/>
          <w:sz w:val="21"/>
        </w:rPr>
        <w:t>• 产品化配置：按键完成离线操作，UART协议带帧头、长度与CRC，支持字幕配置和回读。</w:t>
      </w:r>
    </w:p>
    <w:p>
      <w:pPr>
        <w:keepNext/>
        <w:spacing w:before="120" w:after="80"/>
      </w:pPr>
      <w:r>
        <w:rPr>
          <w:rFonts w:ascii="黑体" w:hAnsi="黑体" w:eastAsia="黑体"/>
          <w:b/>
          <w:color w:val="000000"/>
          <w:sz w:val="24"/>
        </w:rPr>
        <w:t>1.4 性能指标</w:t>
      </w:r>
    </w:p>
    <w:tbl>
      <w:tblPr>
        <w:tblW w:type="auto" w:w="0"/>
        <w:jc w:val="center"/>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c>
          <w:tcPr>
            <w:tcW w:type="dxa" w:w="1984"/>
            <w:shd w:fill="1F4E78"/>
            <w:vAlign w:val="center"/>
          </w:tcPr>
          <w:p>
            <w:pPr>
              <w:jc w:val="center"/>
            </w:pPr>
            <w:r/>
            <w:r>
              <w:rPr>
                <w:rFonts w:ascii="宋体" w:hAnsi="宋体" w:eastAsia="宋体"/>
                <w:b/>
                <w:color w:val="FFFFFF"/>
                <w:sz w:val="18"/>
              </w:rPr>
              <w:t>指标</w:t>
            </w:r>
          </w:p>
        </w:tc>
        <w:tc>
          <w:tcPr>
            <w:tcW w:type="dxa" w:w="3969"/>
            <w:shd w:fill="1F4E78"/>
            <w:vAlign w:val="center"/>
          </w:tcPr>
          <w:p>
            <w:pPr>
              <w:jc w:val="center"/>
            </w:pPr>
            <w:r/>
            <w:r>
              <w:rPr>
                <w:rFonts w:ascii="宋体" w:hAnsi="宋体" w:eastAsia="宋体"/>
                <w:b/>
                <w:color w:val="FFFFFF"/>
                <w:sz w:val="18"/>
              </w:rPr>
              <w:t>当前结果</w:t>
            </w:r>
          </w:p>
        </w:tc>
        <w:tc>
          <w:tcPr>
            <w:tcW w:type="dxa" w:w="2835"/>
            <w:shd w:fill="1F4E78"/>
            <w:vAlign w:val="center"/>
          </w:tcPr>
          <w:p>
            <w:pPr>
              <w:jc w:val="center"/>
            </w:pPr>
            <w:r/>
            <w:r>
              <w:rPr>
                <w:rFonts w:ascii="宋体" w:hAnsi="宋体" w:eastAsia="宋体"/>
                <w:b/>
                <w:color w:val="FFFFFF"/>
                <w:sz w:val="18"/>
              </w:rPr>
              <w:t>证据/状态</w:t>
            </w:r>
          </w:p>
        </w:tc>
      </w:tr>
      <w:tr>
        <w:tc>
          <w:tcPr>
            <w:tcW w:type="dxa" w:w="1984"/>
            <w:vAlign w:val="center"/>
          </w:tcPr>
          <w:p>
            <w:pPr>
              <w:jc w:val="center"/>
            </w:pPr>
            <w:r/>
            <w:r>
              <w:rPr>
                <w:rFonts w:ascii="宋体" w:hAnsi="宋体" w:eastAsia="宋体"/>
                <w:b w:val="0"/>
                <w:color w:val="000000"/>
                <w:sz w:val="18"/>
              </w:rPr>
              <w:t>视频输出</w:t>
            </w:r>
          </w:p>
        </w:tc>
        <w:tc>
          <w:tcPr>
            <w:tcW w:type="dxa" w:w="3969"/>
            <w:vAlign w:val="center"/>
          </w:tcPr>
          <w:p>
            <w:pPr>
              <w:jc w:val="center"/>
            </w:pPr>
            <w:r/>
            <w:r>
              <w:rPr>
                <w:rFonts w:ascii="宋体" w:hAnsi="宋体" w:eastAsia="宋体"/>
                <w:b w:val="0"/>
                <w:color w:val="000000"/>
                <w:sz w:val="18"/>
              </w:rPr>
              <w:t>640×480，24-bit RGB</w:t>
            </w:r>
          </w:p>
        </w:tc>
        <w:tc>
          <w:tcPr>
            <w:tcW w:type="dxa" w:w="2835"/>
            <w:vAlign w:val="center"/>
          </w:tcPr>
          <w:p>
            <w:pPr>
              <w:jc w:val="center"/>
            </w:pPr>
            <w:r/>
            <w:r>
              <w:rPr>
                <w:rFonts w:ascii="宋体" w:hAnsi="宋体" w:eastAsia="宋体"/>
                <w:b w:val="0"/>
                <w:color w:val="000000"/>
                <w:sz w:val="18"/>
              </w:rPr>
              <w:t>HDMI实板显示</w:t>
            </w:r>
          </w:p>
        </w:tc>
      </w:tr>
      <w:tr>
        <w:tc>
          <w:tcPr>
            <w:tcW w:type="dxa" w:w="1984"/>
            <w:vAlign w:val="center"/>
          </w:tcPr>
          <w:p>
            <w:pPr>
              <w:jc w:val="center"/>
            </w:pPr>
            <w:r/>
            <w:r>
              <w:rPr>
                <w:rFonts w:ascii="宋体" w:hAnsi="宋体" w:eastAsia="宋体"/>
                <w:b w:val="0"/>
                <w:color w:val="000000"/>
                <w:sz w:val="18"/>
              </w:rPr>
              <w:t>音频输出</w:t>
            </w:r>
          </w:p>
        </w:tc>
        <w:tc>
          <w:tcPr>
            <w:tcW w:type="dxa" w:w="3969"/>
            <w:vAlign w:val="center"/>
          </w:tcPr>
          <w:p>
            <w:pPr>
              <w:jc w:val="center"/>
            </w:pPr>
            <w:r/>
            <w:r>
              <w:rPr>
                <w:rFonts w:ascii="宋体" w:hAnsi="宋体" w:eastAsia="宋体"/>
                <w:b w:val="0"/>
                <w:color w:val="000000"/>
                <w:sz w:val="18"/>
              </w:rPr>
              <w:t>48 kHz PCM</w:t>
            </w:r>
          </w:p>
        </w:tc>
        <w:tc>
          <w:tcPr>
            <w:tcW w:type="dxa" w:w="2835"/>
            <w:vAlign w:val="center"/>
          </w:tcPr>
          <w:p>
            <w:pPr>
              <w:jc w:val="center"/>
            </w:pPr>
            <w:r/>
            <w:r>
              <w:rPr>
                <w:rFonts w:ascii="宋体" w:hAnsi="宋体" w:eastAsia="宋体"/>
                <w:b w:val="0"/>
                <w:color w:val="000000"/>
                <w:sz w:val="18"/>
              </w:rPr>
              <w:t>HDMI音频实板验证</w:t>
            </w:r>
          </w:p>
        </w:tc>
      </w:tr>
      <w:tr>
        <w:tc>
          <w:tcPr>
            <w:tcW w:type="dxa" w:w="1984"/>
            <w:vAlign w:val="center"/>
          </w:tcPr>
          <w:p>
            <w:pPr>
              <w:jc w:val="center"/>
            </w:pPr>
            <w:r/>
            <w:r>
              <w:rPr>
                <w:rFonts w:ascii="宋体" w:hAnsi="宋体" w:eastAsia="宋体"/>
                <w:b w:val="0"/>
                <w:color w:val="000000"/>
                <w:sz w:val="18"/>
              </w:rPr>
              <w:t>逻辑资源</w:t>
            </w:r>
          </w:p>
        </w:tc>
        <w:tc>
          <w:tcPr>
            <w:tcW w:type="dxa" w:w="3969"/>
            <w:vAlign w:val="center"/>
          </w:tcPr>
          <w:p>
            <w:pPr>
              <w:jc w:val="center"/>
            </w:pPr>
            <w:r/>
            <w:r>
              <w:rPr>
                <w:rFonts w:ascii="宋体" w:hAnsi="宋体" w:eastAsia="宋体"/>
                <w:b w:val="0"/>
                <w:color w:val="000000"/>
                <w:sz w:val="18"/>
              </w:rPr>
              <w:t>LUT 17,288 / 19,600（88.20%）</w:t>
            </w:r>
          </w:p>
        </w:tc>
        <w:tc>
          <w:tcPr>
            <w:tcW w:type="dxa" w:w="2835"/>
            <w:vAlign w:val="center"/>
          </w:tcPr>
          <w:p>
            <w:pPr>
              <w:jc w:val="center"/>
            </w:pPr>
            <w:r/>
            <w:r>
              <w:rPr>
                <w:rFonts w:ascii="宋体" w:hAnsi="宋体" w:eastAsia="宋体"/>
                <w:b w:val="0"/>
                <w:color w:val="000000"/>
                <w:sz w:val="18"/>
              </w:rPr>
              <w:t>final_seed59.area</w:t>
            </w:r>
          </w:p>
        </w:tc>
      </w:tr>
      <w:tr>
        <w:tc>
          <w:tcPr>
            <w:tcW w:type="dxa" w:w="1984"/>
            <w:vAlign w:val="center"/>
          </w:tcPr>
          <w:p>
            <w:pPr>
              <w:jc w:val="center"/>
            </w:pPr>
            <w:r/>
            <w:r>
              <w:rPr>
                <w:rFonts w:ascii="宋体" w:hAnsi="宋体" w:eastAsia="宋体"/>
                <w:b w:val="0"/>
                <w:color w:val="000000"/>
                <w:sz w:val="18"/>
              </w:rPr>
              <w:t>寄存器</w:t>
            </w:r>
          </w:p>
        </w:tc>
        <w:tc>
          <w:tcPr>
            <w:tcW w:type="dxa" w:w="3969"/>
            <w:vAlign w:val="center"/>
          </w:tcPr>
          <w:p>
            <w:pPr>
              <w:jc w:val="center"/>
            </w:pPr>
            <w:r/>
            <w:r>
              <w:rPr>
                <w:rFonts w:ascii="宋体" w:hAnsi="宋体" w:eastAsia="宋体"/>
                <w:b w:val="0"/>
                <w:color w:val="000000"/>
                <w:sz w:val="18"/>
              </w:rPr>
              <w:t>REG 8,881 / 19,600（45.31%）</w:t>
            </w:r>
          </w:p>
        </w:tc>
        <w:tc>
          <w:tcPr>
            <w:tcW w:type="dxa" w:w="2835"/>
            <w:vAlign w:val="center"/>
          </w:tcPr>
          <w:p>
            <w:pPr>
              <w:jc w:val="center"/>
            </w:pPr>
            <w:r/>
            <w:r>
              <w:rPr>
                <w:rFonts w:ascii="宋体" w:hAnsi="宋体" w:eastAsia="宋体"/>
                <w:b w:val="0"/>
                <w:color w:val="000000"/>
                <w:sz w:val="18"/>
              </w:rPr>
              <w:t>final_seed59.area</w:t>
            </w:r>
          </w:p>
        </w:tc>
      </w:tr>
      <w:tr>
        <w:tc>
          <w:tcPr>
            <w:tcW w:type="dxa" w:w="1984"/>
            <w:vAlign w:val="center"/>
          </w:tcPr>
          <w:p>
            <w:pPr>
              <w:jc w:val="center"/>
            </w:pPr>
            <w:r/>
            <w:r>
              <w:rPr>
                <w:rFonts w:ascii="宋体" w:hAnsi="宋体" w:eastAsia="宋体"/>
                <w:b w:val="0"/>
                <w:color w:val="000000"/>
                <w:sz w:val="18"/>
              </w:rPr>
              <w:t>存储/乘法</w:t>
            </w:r>
          </w:p>
        </w:tc>
        <w:tc>
          <w:tcPr>
            <w:tcW w:type="dxa" w:w="3969"/>
            <w:vAlign w:val="center"/>
          </w:tcPr>
          <w:p>
            <w:pPr>
              <w:jc w:val="center"/>
            </w:pPr>
            <w:r/>
            <w:r>
              <w:rPr>
                <w:rFonts w:ascii="宋体" w:hAnsi="宋体" w:eastAsia="宋体"/>
                <w:b w:val="0"/>
                <w:color w:val="000000"/>
                <w:sz w:val="18"/>
              </w:rPr>
              <w:t>BRAM9K 52/64；BRAM32K 13/16；DSP 14/29</w:t>
            </w:r>
          </w:p>
        </w:tc>
        <w:tc>
          <w:tcPr>
            <w:tcW w:type="dxa" w:w="2835"/>
            <w:vAlign w:val="center"/>
          </w:tcPr>
          <w:p>
            <w:pPr>
              <w:jc w:val="center"/>
            </w:pPr>
            <w:r/>
            <w:r>
              <w:rPr>
                <w:rFonts w:ascii="宋体" w:hAnsi="宋体" w:eastAsia="宋体"/>
                <w:b w:val="0"/>
                <w:color w:val="000000"/>
                <w:sz w:val="18"/>
              </w:rPr>
              <w:t>final_seed59.area</w:t>
            </w:r>
          </w:p>
        </w:tc>
      </w:tr>
      <w:tr>
        <w:tc>
          <w:tcPr>
            <w:tcW w:type="dxa" w:w="1984"/>
            <w:vAlign w:val="center"/>
          </w:tcPr>
          <w:p>
            <w:pPr>
              <w:jc w:val="center"/>
            </w:pPr>
            <w:r/>
            <w:r>
              <w:rPr>
                <w:rFonts w:ascii="宋体" w:hAnsi="宋体" w:eastAsia="宋体"/>
                <w:b w:val="0"/>
                <w:color w:val="000000"/>
                <w:sz w:val="18"/>
              </w:rPr>
              <w:t>时序裕量</w:t>
            </w:r>
          </w:p>
        </w:tc>
        <w:tc>
          <w:tcPr>
            <w:tcW w:type="dxa" w:w="3969"/>
            <w:vAlign w:val="center"/>
          </w:tcPr>
          <w:p>
            <w:pPr>
              <w:jc w:val="center"/>
            </w:pPr>
            <w:r/>
            <w:r>
              <w:rPr>
                <w:rFonts w:ascii="宋体" w:hAnsi="宋体" w:eastAsia="宋体"/>
                <w:b w:val="0"/>
                <w:color w:val="000000"/>
                <w:sz w:val="18"/>
              </w:rPr>
              <w:t>SWNS +0.134 ns；HWNS +0.020 ns</w:t>
            </w:r>
          </w:p>
        </w:tc>
        <w:tc>
          <w:tcPr>
            <w:tcW w:type="dxa" w:w="2835"/>
            <w:vAlign w:val="center"/>
          </w:tcPr>
          <w:p>
            <w:pPr>
              <w:jc w:val="center"/>
            </w:pPr>
            <w:r/>
            <w:r>
              <w:rPr>
                <w:rFonts w:ascii="宋体" w:hAnsi="宋体" w:eastAsia="宋体"/>
                <w:b w:val="0"/>
                <w:color w:val="000000"/>
                <w:sz w:val="18"/>
              </w:rPr>
              <w:t>final_seed59.timing</w:t>
            </w:r>
          </w:p>
        </w:tc>
      </w:tr>
      <w:tr>
        <w:tc>
          <w:tcPr>
            <w:tcW w:type="dxa" w:w="1984"/>
            <w:vAlign w:val="center"/>
          </w:tcPr>
          <w:p>
            <w:pPr>
              <w:jc w:val="center"/>
            </w:pPr>
            <w:r/>
            <w:r>
              <w:rPr>
                <w:rFonts w:ascii="宋体" w:hAnsi="宋体" w:eastAsia="宋体"/>
                <w:b w:val="0"/>
                <w:color w:val="000000"/>
                <w:sz w:val="18"/>
              </w:rPr>
              <w:t>静态时序覆盖率</w:t>
            </w:r>
          </w:p>
        </w:tc>
        <w:tc>
          <w:tcPr>
            <w:tcW w:type="dxa" w:w="3969"/>
            <w:vAlign w:val="center"/>
          </w:tcPr>
          <w:p>
            <w:pPr>
              <w:jc w:val="center"/>
            </w:pPr>
            <w:r/>
            <w:r>
              <w:rPr>
                <w:rFonts w:ascii="宋体" w:hAnsi="宋体" w:eastAsia="宋体"/>
                <w:b w:val="0"/>
                <w:color w:val="000000"/>
                <w:sz w:val="18"/>
              </w:rPr>
              <w:t>99.84%</w:t>
            </w:r>
          </w:p>
        </w:tc>
        <w:tc>
          <w:tcPr>
            <w:tcW w:type="dxa" w:w="2835"/>
            <w:vAlign w:val="center"/>
          </w:tcPr>
          <w:p>
            <w:pPr>
              <w:jc w:val="center"/>
            </w:pPr>
            <w:r/>
            <w:r>
              <w:rPr>
                <w:rFonts w:ascii="宋体" w:hAnsi="宋体" w:eastAsia="宋体"/>
                <w:b w:val="0"/>
                <w:color w:val="000000"/>
                <w:sz w:val="18"/>
              </w:rPr>
              <w:t>final_timing_seed59.rpt</w:t>
            </w:r>
          </w:p>
        </w:tc>
      </w:tr>
      <w:tr>
        <w:tc>
          <w:tcPr>
            <w:tcW w:type="dxa" w:w="1984"/>
            <w:vAlign w:val="center"/>
          </w:tcPr>
          <w:p>
            <w:pPr>
              <w:jc w:val="center"/>
            </w:pPr>
            <w:r/>
            <w:r>
              <w:rPr>
                <w:rFonts w:ascii="宋体" w:hAnsi="宋体" w:eastAsia="宋体"/>
                <w:b w:val="0"/>
                <w:color w:val="000000"/>
                <w:sz w:val="18"/>
              </w:rPr>
              <w:t>板级功耗/长稳</w:t>
            </w:r>
          </w:p>
        </w:tc>
        <w:tc>
          <w:tcPr>
            <w:tcW w:type="dxa" w:w="3969"/>
            <w:vAlign w:val="center"/>
          </w:tcPr>
          <w:p>
            <w:pPr>
              <w:jc w:val="center"/>
            </w:pPr>
            <w:r/>
            <w:r>
              <w:rPr>
                <w:rFonts w:ascii="宋体" w:hAnsi="宋体" w:eastAsia="宋体"/>
                <w:b w:val="0"/>
                <w:color w:val="000000"/>
                <w:sz w:val="18"/>
              </w:rPr>
              <w:t>待补实测</w:t>
            </w:r>
          </w:p>
        </w:tc>
        <w:tc>
          <w:tcPr>
            <w:tcW w:type="dxa" w:w="2835"/>
            <w:vAlign w:val="center"/>
          </w:tcPr>
          <w:p>
            <w:pPr>
              <w:jc w:val="center"/>
            </w:pPr>
            <w:r/>
            <w:r>
              <w:rPr>
                <w:rFonts w:ascii="宋体" w:hAnsi="宋体" w:eastAsia="宋体"/>
                <w:b w:val="0"/>
                <w:color w:val="000000"/>
                <w:sz w:val="18"/>
              </w:rPr>
              <w:t>按数据采集记录模板执行</w:t>
            </w:r>
          </w:p>
        </w:tc>
      </w:tr>
    </w:tbl>
    <w:p/>
    <w:p>
      <w:pPr>
        <w:keepNext/>
        <w:spacing w:before="120" w:after="80"/>
      </w:pPr>
      <w:r>
        <w:rPr>
          <w:rFonts w:ascii="黑体" w:hAnsi="黑体" w:eastAsia="黑体"/>
          <w:b/>
          <w:color w:val="000000"/>
          <w:sz w:val="24"/>
        </w:rPr>
        <w:t>1.5 创新点</w:t>
      </w:r>
    </w:p>
    <w:p>
      <w:pPr>
        <w:spacing w:line="288" w:lineRule="auto"/>
        <w:ind w:left="454" w:hanging="198"/>
      </w:pPr>
      <w:r>
        <w:rPr>
          <w:rFonts w:ascii="宋体" w:hAnsi="宋体" w:eastAsia="宋体"/>
          <w:b w:val="0"/>
          <w:sz w:val="21"/>
        </w:rPr>
        <w:t>• 把校园四类典型场景统一到同一套可重构显示流水线，功能切换无需处理器重启。</w:t>
      </w:r>
    </w:p>
    <w:p>
      <w:pPr>
        <w:spacing w:line="288" w:lineRule="auto"/>
        <w:ind w:left="454" w:hanging="198"/>
      </w:pPr>
      <w:r>
        <w:rPr>
          <w:rFonts w:ascii="宋体" w:hAnsi="宋体" w:eastAsia="宋体"/>
          <w:b w:val="0"/>
          <w:sz w:val="21"/>
        </w:rPr>
        <w:t>• 采用“帧级事务提交+首帧门控”的硬件机制，使图片、OSD和音频事件保持一致。</w:t>
      </w:r>
    </w:p>
    <w:p>
      <w:pPr>
        <w:spacing w:line="288" w:lineRule="auto"/>
        <w:ind w:left="454" w:hanging="198"/>
      </w:pPr>
      <w:r>
        <w:rPr>
          <w:rFonts w:ascii="宋体" w:hAnsi="宋体" w:eastAsia="宋体"/>
          <w:b w:val="0"/>
          <w:sz w:val="21"/>
        </w:rPr>
        <w:t>• 在有限器件资源内实现动态马赛克、排序排名、抗锯齿字模、音频可视化和异常媒体恢复。</w:t>
      </w:r>
    </w:p>
    <w:p>
      <w:pPr>
        <w:keepNext/>
        <w:spacing w:before="120" w:after="80"/>
      </w:pPr>
      <w:r>
        <w:rPr>
          <w:rFonts w:ascii="黑体" w:hAnsi="黑体" w:eastAsia="黑体"/>
          <w:b/>
          <w:color w:val="000000"/>
          <w:sz w:val="24"/>
        </w:rPr>
        <w:t>1.6 设计过程</w:t>
      </w:r>
    </w:p>
    <w:p>
      <w:pPr>
        <w:spacing w:line="300" w:lineRule="auto"/>
        <w:ind w:firstLine="420"/>
        <w:jc w:val="both"/>
      </w:pPr>
      <w:r>
        <w:rPr>
          <w:rFonts w:ascii="宋体" w:hAnsi="宋体" w:eastAsia="宋体"/>
          <w:b w:val="0"/>
          <w:sz w:val="21"/>
        </w:rPr>
        <w:t>项目从基础图片轮播和HDMI输出起步，随后完成SDRAM帧缓存、音频链路与四场景状态机；针对上板出现的残影、分数提前、冷启动黑屏、字体锯齿和坏图阻塞等问题，逐项建立定向仿真；最终以12组回归、实现报告和实板复核闭环，并固定种子59为稳定交付版本。</w:t>
      </w:r>
    </w:p>
    <w:p>
      <w:pPr>
        <w:keepNext/>
        <w:spacing w:before="200" w:after="80"/>
      </w:pPr>
      <w:r>
        <w:rPr>
          <w:rFonts w:ascii="黑体" w:hAnsi="黑体" w:eastAsia="黑体"/>
          <w:b/>
          <w:color w:val="17365D"/>
          <w:sz w:val="32"/>
        </w:rPr>
        <w:t>第二部分  系统组成及功能实现</w:t>
      </w:r>
    </w:p>
    <w:p>
      <w:pPr>
        <w:keepNext/>
        <w:spacing w:before="120" w:after="80"/>
      </w:pPr>
      <w:r>
        <w:rPr>
          <w:rFonts w:ascii="黑体" w:hAnsi="黑体" w:eastAsia="黑体"/>
          <w:b/>
          <w:color w:val="000000"/>
          <w:sz w:val="24"/>
        </w:rPr>
        <w:t>2.1 总体架构</w:t>
      </w:r>
    </w:p>
    <w:p>
      <w:pPr>
        <w:jc w:val="center"/>
      </w:pPr>
      <w:r>
        <w:drawing>
          <wp:inline xmlns:a="http://schemas.openxmlformats.org/drawingml/2006/main" xmlns:pic="http://schemas.openxmlformats.org/drawingml/2006/picture">
            <wp:extent cx="5616000" cy="2708894"/>
            <wp:docPr id="1" name="Picture 1"/>
            <wp:cNvGraphicFramePr>
              <a:graphicFrameLocks noChangeAspect="1"/>
            </wp:cNvGraphicFramePr>
            <a:graphic>
              <a:graphicData uri="http://schemas.openxmlformats.org/drawingml/2006/picture">
                <pic:pic>
                  <pic:nvPicPr>
                    <pic:cNvPr id="0" name="系统架构图.png"/>
                    <pic:cNvPicPr/>
                  </pic:nvPicPr>
                  <pic:blipFill>
                    <a:blip r:embed="rId12"/>
                    <a:stretch>
                      <a:fillRect/>
                    </a:stretch>
                  </pic:blipFill>
                  <pic:spPr>
                    <a:xfrm>
                      <a:off x="0" y="0"/>
                      <a:ext cx="5616000" cy="2708894"/>
                    </a:xfrm>
                    <a:prstGeom prst="rect"/>
                  </pic:spPr>
                </pic:pic>
              </a:graphicData>
            </a:graphic>
          </wp:inline>
        </w:drawing>
      </w:r>
    </w:p>
    <w:p>
      <w:pPr>
        <w:spacing w:line="300" w:lineRule="auto"/>
        <w:ind w:firstLine="420"/>
        <w:jc w:val="both"/>
      </w:pPr>
      <w:r>
        <w:rPr>
          <w:rFonts w:ascii="宋体" w:hAnsi="宋体" w:eastAsia="宋体"/>
          <w:b w:val="0"/>
          <w:sz w:val="21"/>
        </w:rPr>
        <w:t>系统采用分层结构：媒体层负责TF卡、FAT32、BMP/WAV读取；缓存层以SDRAM完成图像解耦；显示合成层按像素时钟完成缩放、场景OSD、特效与色彩处理；控制层负责按键、UART、事件同步和场景事务提交；输出层完成HDMI视频与音频封装。各层通过valid/ready、事件脉冲及帧边界信号连接，便于局部验证和后续扩展。</w:t>
      </w:r>
    </w:p>
    <w:p>
      <w:pPr>
        <w:keepNext/>
        <w:spacing w:before="120" w:after="80"/>
      </w:pPr>
      <w:r>
        <w:rPr>
          <w:rFonts w:ascii="黑体" w:hAnsi="黑体" w:eastAsia="黑体"/>
          <w:b/>
          <w:color w:val="000000"/>
          <w:sz w:val="24"/>
        </w:rPr>
        <w:t>2.2 硬件平台与接口</w:t>
      </w:r>
    </w:p>
    <w:tbl>
      <w:tblPr>
        <w:tblW w:type="auto" w:w="0"/>
        <w:jc w:val="center"/>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c>
          <w:tcPr>
            <w:tcW w:type="dxa" w:w="2268"/>
            <w:shd w:fill="1F4E78"/>
            <w:vAlign w:val="center"/>
          </w:tcPr>
          <w:p>
            <w:pPr>
              <w:jc w:val="center"/>
            </w:pPr>
            <w:r/>
            <w:r>
              <w:rPr>
                <w:rFonts w:ascii="宋体" w:hAnsi="宋体" w:eastAsia="宋体"/>
                <w:b/>
                <w:color w:val="FFFFFF"/>
                <w:sz w:val="18"/>
              </w:rPr>
              <w:t>组成</w:t>
            </w:r>
          </w:p>
        </w:tc>
        <w:tc>
          <w:tcPr>
            <w:tcW w:type="dxa" w:w="3402"/>
            <w:shd w:fill="1F4E78"/>
            <w:vAlign w:val="center"/>
          </w:tcPr>
          <w:p>
            <w:pPr>
              <w:jc w:val="center"/>
            </w:pPr>
            <w:r/>
            <w:r>
              <w:rPr>
                <w:rFonts w:ascii="宋体" w:hAnsi="宋体" w:eastAsia="宋体"/>
                <w:b/>
                <w:color w:val="FFFFFF"/>
                <w:sz w:val="18"/>
              </w:rPr>
              <w:t>用途</w:t>
            </w:r>
          </w:p>
        </w:tc>
        <w:tc>
          <w:tcPr>
            <w:tcW w:type="dxa" w:w="3118"/>
            <w:shd w:fill="1F4E78"/>
            <w:vAlign w:val="center"/>
          </w:tcPr>
          <w:p>
            <w:pPr>
              <w:jc w:val="center"/>
            </w:pPr>
            <w:r/>
            <w:r>
              <w:rPr>
                <w:rFonts w:ascii="宋体" w:hAnsi="宋体" w:eastAsia="宋体"/>
                <w:b/>
                <w:color w:val="FFFFFF"/>
                <w:sz w:val="18"/>
              </w:rPr>
              <w:t>关键接口</w:t>
            </w:r>
          </w:p>
        </w:tc>
      </w:tr>
      <w:tr>
        <w:tc>
          <w:tcPr>
            <w:tcW w:type="dxa" w:w="2268"/>
            <w:vAlign w:val="center"/>
          </w:tcPr>
          <w:p>
            <w:pPr>
              <w:jc w:val="center"/>
            </w:pPr>
            <w:r/>
            <w:r>
              <w:rPr>
                <w:rFonts w:ascii="宋体" w:hAnsi="宋体" w:eastAsia="宋体"/>
                <w:b w:val="0"/>
                <w:color w:val="000000"/>
                <w:sz w:val="18"/>
              </w:rPr>
              <w:t>EG4S20BG256 FPGA</w:t>
            </w:r>
          </w:p>
        </w:tc>
        <w:tc>
          <w:tcPr>
            <w:tcW w:type="dxa" w:w="3402"/>
            <w:vAlign w:val="center"/>
          </w:tcPr>
          <w:p>
            <w:pPr>
              <w:jc w:val="center"/>
            </w:pPr>
            <w:r/>
            <w:r>
              <w:rPr>
                <w:rFonts w:ascii="宋体" w:hAnsi="宋体" w:eastAsia="宋体"/>
                <w:b w:val="0"/>
                <w:color w:val="000000"/>
                <w:sz w:val="18"/>
              </w:rPr>
              <w:t>主控制、媒体解析与实时合成</w:t>
            </w:r>
          </w:p>
        </w:tc>
        <w:tc>
          <w:tcPr>
            <w:tcW w:type="dxa" w:w="3118"/>
            <w:vAlign w:val="center"/>
          </w:tcPr>
          <w:p>
            <w:pPr>
              <w:jc w:val="center"/>
            </w:pPr>
            <w:r/>
            <w:r>
              <w:rPr>
                <w:rFonts w:ascii="宋体" w:hAnsi="宋体" w:eastAsia="宋体"/>
                <w:b w:val="0"/>
                <w:color w:val="000000"/>
                <w:sz w:val="18"/>
              </w:rPr>
              <w:t>系统时钟、PLL、GPIO</w:t>
            </w:r>
          </w:p>
        </w:tc>
      </w:tr>
      <w:tr>
        <w:tc>
          <w:tcPr>
            <w:tcW w:type="dxa" w:w="2268"/>
            <w:vAlign w:val="center"/>
          </w:tcPr>
          <w:p>
            <w:pPr>
              <w:jc w:val="center"/>
            </w:pPr>
            <w:r/>
            <w:r>
              <w:rPr>
                <w:rFonts w:ascii="宋体" w:hAnsi="宋体" w:eastAsia="宋体"/>
                <w:b w:val="0"/>
                <w:color w:val="000000"/>
                <w:sz w:val="18"/>
              </w:rPr>
              <w:t>板载SDRAM</w:t>
            </w:r>
          </w:p>
        </w:tc>
        <w:tc>
          <w:tcPr>
            <w:tcW w:type="dxa" w:w="3402"/>
            <w:vAlign w:val="center"/>
          </w:tcPr>
          <w:p>
            <w:pPr>
              <w:jc w:val="center"/>
            </w:pPr>
            <w:r/>
            <w:r>
              <w:rPr>
                <w:rFonts w:ascii="宋体" w:hAnsi="宋体" w:eastAsia="宋体"/>
                <w:b w:val="0"/>
                <w:color w:val="000000"/>
                <w:sz w:val="18"/>
              </w:rPr>
              <w:t>完整图像帧缓存</w:t>
            </w:r>
          </w:p>
        </w:tc>
        <w:tc>
          <w:tcPr>
            <w:tcW w:type="dxa" w:w="3118"/>
            <w:vAlign w:val="center"/>
          </w:tcPr>
          <w:p>
            <w:pPr>
              <w:jc w:val="center"/>
            </w:pPr>
            <w:r/>
            <w:r>
              <w:rPr>
                <w:rFonts w:ascii="宋体" w:hAnsi="宋体" w:eastAsia="宋体"/>
                <w:b w:val="0"/>
                <w:color w:val="000000"/>
                <w:sz w:val="18"/>
              </w:rPr>
              <w:t>地址/数据/控制总线</w:t>
            </w:r>
          </w:p>
        </w:tc>
      </w:tr>
      <w:tr>
        <w:tc>
          <w:tcPr>
            <w:tcW w:type="dxa" w:w="2268"/>
            <w:vAlign w:val="center"/>
          </w:tcPr>
          <w:p>
            <w:pPr>
              <w:jc w:val="center"/>
            </w:pPr>
            <w:r/>
            <w:r>
              <w:rPr>
                <w:rFonts w:ascii="宋体" w:hAnsi="宋体" w:eastAsia="宋体"/>
                <w:b w:val="0"/>
                <w:color w:val="000000"/>
                <w:sz w:val="18"/>
              </w:rPr>
              <w:t>TF卡</w:t>
            </w:r>
          </w:p>
        </w:tc>
        <w:tc>
          <w:tcPr>
            <w:tcW w:type="dxa" w:w="3402"/>
            <w:vAlign w:val="center"/>
          </w:tcPr>
          <w:p>
            <w:pPr>
              <w:jc w:val="center"/>
            </w:pPr>
            <w:r/>
            <w:r>
              <w:rPr>
                <w:rFonts w:ascii="宋体" w:hAnsi="宋体" w:eastAsia="宋体"/>
                <w:b w:val="0"/>
                <w:color w:val="000000"/>
                <w:sz w:val="18"/>
              </w:rPr>
              <w:t>BMP和WAV本地媒体</w:t>
            </w:r>
          </w:p>
        </w:tc>
        <w:tc>
          <w:tcPr>
            <w:tcW w:type="dxa" w:w="3118"/>
            <w:vAlign w:val="center"/>
          </w:tcPr>
          <w:p>
            <w:pPr>
              <w:jc w:val="center"/>
            </w:pPr>
            <w:r/>
            <w:r>
              <w:rPr>
                <w:rFonts w:ascii="宋体" w:hAnsi="宋体" w:eastAsia="宋体"/>
                <w:b w:val="0"/>
                <w:color w:val="000000"/>
                <w:sz w:val="18"/>
              </w:rPr>
              <w:t>SPI</w:t>
            </w:r>
          </w:p>
        </w:tc>
      </w:tr>
      <w:tr>
        <w:tc>
          <w:tcPr>
            <w:tcW w:type="dxa" w:w="2268"/>
            <w:vAlign w:val="center"/>
          </w:tcPr>
          <w:p>
            <w:pPr>
              <w:jc w:val="center"/>
            </w:pPr>
            <w:r/>
            <w:r>
              <w:rPr>
                <w:rFonts w:ascii="宋体" w:hAnsi="宋体" w:eastAsia="宋体"/>
                <w:b w:val="0"/>
                <w:color w:val="000000"/>
                <w:sz w:val="18"/>
              </w:rPr>
              <w:t>HDMI发送链路</w:t>
            </w:r>
          </w:p>
        </w:tc>
        <w:tc>
          <w:tcPr>
            <w:tcW w:type="dxa" w:w="3402"/>
            <w:vAlign w:val="center"/>
          </w:tcPr>
          <w:p>
            <w:pPr>
              <w:jc w:val="center"/>
            </w:pPr>
            <w:r/>
            <w:r>
              <w:rPr>
                <w:rFonts w:ascii="宋体" w:hAnsi="宋体" w:eastAsia="宋体"/>
                <w:b w:val="0"/>
                <w:color w:val="000000"/>
                <w:sz w:val="18"/>
              </w:rPr>
              <w:t>视频及音频输出</w:t>
            </w:r>
          </w:p>
        </w:tc>
        <w:tc>
          <w:tcPr>
            <w:tcW w:type="dxa" w:w="3118"/>
            <w:vAlign w:val="center"/>
          </w:tcPr>
          <w:p>
            <w:pPr>
              <w:jc w:val="center"/>
            </w:pPr>
            <w:r/>
            <w:r>
              <w:rPr>
                <w:rFonts w:ascii="宋体" w:hAnsi="宋体" w:eastAsia="宋体"/>
                <w:b w:val="0"/>
                <w:color w:val="000000"/>
                <w:sz w:val="18"/>
              </w:rPr>
              <w:t>RGB/DE/HS/VS、PCM</w:t>
            </w:r>
          </w:p>
        </w:tc>
      </w:tr>
      <w:tr>
        <w:tc>
          <w:tcPr>
            <w:tcW w:type="dxa" w:w="2268"/>
            <w:vAlign w:val="center"/>
          </w:tcPr>
          <w:p>
            <w:pPr>
              <w:jc w:val="center"/>
            </w:pPr>
            <w:r/>
            <w:r>
              <w:rPr>
                <w:rFonts w:ascii="宋体" w:hAnsi="宋体" w:eastAsia="宋体"/>
                <w:b w:val="0"/>
                <w:color w:val="000000"/>
                <w:sz w:val="18"/>
              </w:rPr>
              <w:t>按键/拨码</w:t>
            </w:r>
          </w:p>
        </w:tc>
        <w:tc>
          <w:tcPr>
            <w:tcW w:type="dxa" w:w="3402"/>
            <w:vAlign w:val="center"/>
          </w:tcPr>
          <w:p>
            <w:pPr>
              <w:jc w:val="center"/>
            </w:pPr>
            <w:r/>
            <w:r>
              <w:rPr>
                <w:rFonts w:ascii="宋体" w:hAnsi="宋体" w:eastAsia="宋体"/>
                <w:b w:val="0"/>
                <w:color w:val="000000"/>
                <w:sz w:val="18"/>
              </w:rPr>
              <w:t>场景、轮播和显示模式</w:t>
            </w:r>
          </w:p>
        </w:tc>
        <w:tc>
          <w:tcPr>
            <w:tcW w:type="dxa" w:w="3118"/>
            <w:vAlign w:val="center"/>
          </w:tcPr>
          <w:p>
            <w:pPr>
              <w:jc w:val="center"/>
            </w:pPr>
            <w:r/>
            <w:r>
              <w:rPr>
                <w:rFonts w:ascii="宋体" w:hAnsi="宋体" w:eastAsia="宋体"/>
                <w:b w:val="0"/>
                <w:color w:val="000000"/>
                <w:sz w:val="18"/>
              </w:rPr>
              <w:t>GPIO同步与消抖</w:t>
            </w:r>
          </w:p>
        </w:tc>
      </w:tr>
      <w:tr>
        <w:tc>
          <w:tcPr>
            <w:tcW w:type="dxa" w:w="2268"/>
            <w:vAlign w:val="center"/>
          </w:tcPr>
          <w:p>
            <w:pPr>
              <w:jc w:val="center"/>
            </w:pPr>
            <w:r/>
            <w:r>
              <w:rPr>
                <w:rFonts w:ascii="宋体" w:hAnsi="宋体" w:eastAsia="宋体"/>
                <w:b w:val="0"/>
                <w:color w:val="000000"/>
                <w:sz w:val="18"/>
              </w:rPr>
              <w:t>UART</w:t>
            </w:r>
          </w:p>
        </w:tc>
        <w:tc>
          <w:tcPr>
            <w:tcW w:type="dxa" w:w="3402"/>
            <w:vAlign w:val="center"/>
          </w:tcPr>
          <w:p>
            <w:pPr>
              <w:jc w:val="center"/>
            </w:pPr>
            <w:r/>
            <w:r>
              <w:rPr>
                <w:rFonts w:ascii="宋体" w:hAnsi="宋体" w:eastAsia="宋体"/>
                <w:b w:val="0"/>
                <w:color w:val="000000"/>
                <w:sz w:val="18"/>
              </w:rPr>
              <w:t>字幕与应急通知配置</w:t>
            </w:r>
          </w:p>
        </w:tc>
        <w:tc>
          <w:tcPr>
            <w:tcW w:type="dxa" w:w="3118"/>
            <w:vAlign w:val="center"/>
          </w:tcPr>
          <w:p>
            <w:pPr>
              <w:jc w:val="center"/>
            </w:pPr>
            <w:r/>
            <w:r>
              <w:rPr>
                <w:rFonts w:ascii="宋体" w:hAnsi="宋体" w:eastAsia="宋体"/>
                <w:b w:val="0"/>
                <w:color w:val="000000"/>
                <w:sz w:val="18"/>
              </w:rPr>
              <w:t>115200 8N1（以当前工具配置为准）</w:t>
            </w:r>
          </w:p>
        </w:tc>
      </w:tr>
    </w:tbl>
    <w:p/>
    <w:p>
      <w:pPr>
        <w:keepNext/>
        <w:spacing w:before="120" w:after="80"/>
      </w:pPr>
      <w:r>
        <w:rPr>
          <w:rFonts w:ascii="黑体" w:hAnsi="黑体" w:eastAsia="黑体"/>
          <w:b/>
          <w:color w:val="000000"/>
          <w:sz w:val="24"/>
        </w:rPr>
        <w:t>2.3 本地媒体读取与异常处理</w:t>
      </w:r>
    </w:p>
    <w:p>
      <w:pPr>
        <w:spacing w:line="300" w:lineRule="auto"/>
        <w:ind w:firstLine="420"/>
        <w:jc w:val="both"/>
      </w:pPr>
      <w:r>
        <w:rPr>
          <w:rFonts w:ascii="宋体" w:hAnsi="宋体" w:eastAsia="宋体"/>
          <w:b w:val="0"/>
          <w:sz w:val="21"/>
        </w:rPr>
        <w:t>媒体管理器按照FAT32目录项定位文件，根据文件头检查BMP尺寸、位深和像素偏移。合法图片经流式缩放后写入SDRAM；遇到文件不存在、格式不支持、数据不足或超时，控制器记录错误码并执行有限次重试，仍失败则跳过该文件，保证自动轮播继续运行。音频链路优先使用TF卡素材，未提供可用素材时保持安全静音或进入配置的板载提示音路径。</w:t>
      </w:r>
    </w:p>
    <w:p>
      <w:pPr>
        <w:keepNext/>
        <w:spacing w:before="120" w:after="80"/>
      </w:pPr>
      <w:r>
        <w:rPr>
          <w:rFonts w:ascii="黑体" w:hAnsi="黑体" w:eastAsia="黑体"/>
          <w:b/>
          <w:color w:val="000000"/>
          <w:sz w:val="24"/>
        </w:rPr>
        <w:t>2.4 图像缓存、缩放与显示合成</w:t>
      </w:r>
    </w:p>
    <w:p>
      <w:pPr>
        <w:spacing w:line="300" w:lineRule="auto"/>
        <w:ind w:firstLine="420"/>
        <w:jc w:val="both"/>
      </w:pPr>
      <w:r>
        <w:rPr>
          <w:rFonts w:ascii="宋体" w:hAnsi="宋体" w:eastAsia="宋体"/>
          <w:b w:val="0"/>
          <w:sz w:val="21"/>
        </w:rPr>
        <w:t>读写链路以帧为单位管理SDRAM，像素输出只在有效显示区取数。缩放模块使用定点坐标累加避免除法器，行级活动使能在非图像区域冻结地址和比例累加器。马赛克模式复用坐标高位形成块采样，不额外申请帧缓存。OSD采用字模ROM和区域判定叠加；菜单及应急标题使用优化字模以改善大字号显示。</w:t>
      </w:r>
    </w:p>
    <w:p>
      <w:pPr>
        <w:keepNext/>
        <w:spacing w:before="120" w:after="80"/>
      </w:pPr>
      <w:r>
        <w:rPr>
          <w:rFonts w:ascii="黑体" w:hAnsi="黑体" w:eastAsia="黑体"/>
          <w:b/>
          <w:color w:val="000000"/>
          <w:sz w:val="24"/>
        </w:rPr>
        <w:t>2.5 场景控制与帧边界原子提交</w:t>
      </w:r>
    </w:p>
    <w:p>
      <w:pPr>
        <w:spacing w:line="300" w:lineRule="auto"/>
        <w:ind w:firstLine="420"/>
        <w:jc w:val="both"/>
      </w:pPr>
      <w:r>
        <w:rPr>
          <w:rFonts w:ascii="宋体" w:hAnsi="宋体" w:eastAsia="宋体"/>
          <w:b w:val="0"/>
          <w:sz w:val="21"/>
        </w:rPr>
        <w:t>外部拨码、按键和UART参数首先进入同步/校验域，形成候选配置；只有到达帧边界时，场景编号、文字索引、颜色和模式位才一次性更新到活动配置。进入新场景后，输出保持黑场，直到目标场景背景首帧确认有效，再统一开放背景和OSD。该机制从时序上消除了旧场景照片、分数或文字抢先出现的随机现象。</w:t>
      </w:r>
    </w:p>
    <w:p>
      <w:pPr>
        <w:keepNext/>
        <w:spacing w:before="120" w:after="80"/>
      </w:pPr>
      <w:r>
        <w:rPr>
          <w:rFonts w:ascii="黑体" w:hAnsi="黑体" w:eastAsia="黑体"/>
          <w:b/>
          <w:color w:val="000000"/>
          <w:sz w:val="24"/>
        </w:rPr>
        <w:t>2.6 四类场景实现</w:t>
      </w:r>
    </w:p>
    <w:tbl>
      <w:tblPr>
        <w:tblW w:type="auto" w:w="0"/>
        <w:jc w:val="center"/>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c>
          <w:tcPr>
            <w:tcW w:type="dxa" w:w="1701"/>
            <w:shd w:fill="1F4E78"/>
            <w:vAlign w:val="center"/>
          </w:tcPr>
          <w:p>
            <w:pPr>
              <w:jc w:val="center"/>
            </w:pPr>
            <w:r/>
            <w:r>
              <w:rPr>
                <w:rFonts w:ascii="宋体" w:hAnsi="宋体" w:eastAsia="宋体"/>
                <w:b/>
                <w:color w:val="FFFFFF"/>
                <w:sz w:val="18"/>
              </w:rPr>
              <w:t>场景</w:t>
            </w:r>
          </w:p>
        </w:tc>
        <w:tc>
          <w:tcPr>
            <w:tcW w:type="dxa" w:w="4252"/>
            <w:shd w:fill="1F4E78"/>
            <w:vAlign w:val="center"/>
          </w:tcPr>
          <w:p>
            <w:pPr>
              <w:jc w:val="center"/>
            </w:pPr>
            <w:r/>
            <w:r>
              <w:rPr>
                <w:rFonts w:ascii="宋体" w:hAnsi="宋体" w:eastAsia="宋体"/>
                <w:b/>
                <w:color w:val="FFFFFF"/>
                <w:sz w:val="18"/>
              </w:rPr>
              <w:t>核心功能</w:t>
            </w:r>
          </w:p>
        </w:tc>
        <w:tc>
          <w:tcPr>
            <w:tcW w:type="dxa" w:w="2835"/>
            <w:shd w:fill="1F4E78"/>
            <w:vAlign w:val="center"/>
          </w:tcPr>
          <w:p>
            <w:pPr>
              <w:jc w:val="center"/>
            </w:pPr>
            <w:r/>
            <w:r>
              <w:rPr>
                <w:rFonts w:ascii="宋体" w:hAnsi="宋体" w:eastAsia="宋体"/>
                <w:b/>
                <w:color w:val="FFFFFF"/>
                <w:sz w:val="18"/>
              </w:rPr>
              <w:t>展示重点</w:t>
            </w:r>
          </w:p>
        </w:tc>
      </w:tr>
      <w:tr>
        <w:tc>
          <w:tcPr>
            <w:tcW w:type="dxa" w:w="1701"/>
            <w:vAlign w:val="center"/>
          </w:tcPr>
          <w:p>
            <w:pPr>
              <w:jc w:val="center"/>
            </w:pPr>
            <w:r/>
            <w:r>
              <w:rPr>
                <w:rFonts w:ascii="宋体" w:hAnsi="宋体" w:eastAsia="宋体"/>
                <w:b w:val="0"/>
                <w:color w:val="000000"/>
                <w:sz w:val="18"/>
              </w:rPr>
              <w:t>迎新展示</w:t>
            </w:r>
          </w:p>
        </w:tc>
        <w:tc>
          <w:tcPr>
            <w:tcW w:type="dxa" w:w="4252"/>
            <w:vAlign w:val="center"/>
          </w:tcPr>
          <w:p>
            <w:pPr>
              <w:jc w:val="center"/>
            </w:pPr>
            <w:r/>
            <w:r>
              <w:rPr>
                <w:rFonts w:ascii="宋体" w:hAnsi="宋体" w:eastAsia="宋体"/>
                <w:b w:val="0"/>
                <w:color w:val="000000"/>
                <w:sz w:val="18"/>
              </w:rPr>
              <w:t>图片轮播、音频可视化、字幕、分辨率、马赛克</w:t>
            </w:r>
          </w:p>
        </w:tc>
        <w:tc>
          <w:tcPr>
            <w:tcW w:type="dxa" w:w="2835"/>
            <w:vAlign w:val="center"/>
          </w:tcPr>
          <w:p>
            <w:pPr>
              <w:jc w:val="center"/>
            </w:pPr>
            <w:r/>
            <w:r>
              <w:rPr>
                <w:rFonts w:ascii="宋体" w:hAnsi="宋体" w:eastAsia="宋体"/>
                <w:b w:val="0"/>
                <w:color w:val="000000"/>
                <w:sz w:val="18"/>
              </w:rPr>
              <w:t>多媒体联动和可配置显示</w:t>
            </w:r>
          </w:p>
        </w:tc>
      </w:tr>
      <w:tr>
        <w:tc>
          <w:tcPr>
            <w:tcW w:type="dxa" w:w="1701"/>
            <w:vAlign w:val="center"/>
          </w:tcPr>
          <w:p>
            <w:pPr>
              <w:jc w:val="center"/>
            </w:pPr>
            <w:r/>
            <w:r>
              <w:rPr>
                <w:rFonts w:ascii="宋体" w:hAnsi="宋体" w:eastAsia="宋体"/>
                <w:b w:val="0"/>
                <w:color w:val="000000"/>
                <w:sz w:val="18"/>
              </w:rPr>
              <w:t>会议公示</w:t>
            </w:r>
          </w:p>
        </w:tc>
        <w:tc>
          <w:tcPr>
            <w:tcW w:type="dxa" w:w="4252"/>
            <w:vAlign w:val="center"/>
          </w:tcPr>
          <w:p>
            <w:pPr>
              <w:jc w:val="center"/>
            </w:pPr>
            <w:r/>
            <w:r>
              <w:rPr>
                <w:rFonts w:ascii="宋体" w:hAnsi="宋体" w:eastAsia="宋体"/>
                <w:b w:val="0"/>
                <w:color w:val="000000"/>
                <w:sz w:val="18"/>
              </w:rPr>
              <w:t>会议状态、色彩状态、倒计时/提示OSD</w:t>
            </w:r>
          </w:p>
        </w:tc>
        <w:tc>
          <w:tcPr>
            <w:tcW w:type="dxa" w:w="2835"/>
            <w:vAlign w:val="center"/>
          </w:tcPr>
          <w:p>
            <w:pPr>
              <w:jc w:val="center"/>
            </w:pPr>
            <w:r/>
            <w:r>
              <w:rPr>
                <w:rFonts w:ascii="宋体" w:hAnsi="宋体" w:eastAsia="宋体"/>
                <w:b w:val="0"/>
                <w:color w:val="000000"/>
                <w:sz w:val="18"/>
              </w:rPr>
              <w:t>信息清晰与状态可视化</w:t>
            </w:r>
          </w:p>
        </w:tc>
      </w:tr>
      <w:tr>
        <w:tc>
          <w:tcPr>
            <w:tcW w:type="dxa" w:w="1701"/>
            <w:vAlign w:val="center"/>
          </w:tcPr>
          <w:p>
            <w:pPr>
              <w:jc w:val="center"/>
            </w:pPr>
            <w:r/>
            <w:r>
              <w:rPr>
                <w:rFonts w:ascii="宋体" w:hAnsi="宋体" w:eastAsia="宋体"/>
                <w:b w:val="0"/>
                <w:color w:val="000000"/>
                <w:sz w:val="18"/>
              </w:rPr>
              <w:t>抢答现场</w:t>
            </w:r>
          </w:p>
        </w:tc>
        <w:tc>
          <w:tcPr>
            <w:tcW w:type="dxa" w:w="4252"/>
            <w:vAlign w:val="center"/>
          </w:tcPr>
          <w:p>
            <w:pPr>
              <w:jc w:val="center"/>
            </w:pPr>
            <w:r/>
            <w:r>
              <w:rPr>
                <w:rFonts w:ascii="宋体" w:hAnsi="宋体" w:eastAsia="宋体"/>
                <w:b w:val="0"/>
                <w:color w:val="000000"/>
                <w:sz w:val="18"/>
              </w:rPr>
              <w:t>倒计时、队伍计分、结束排名</w:t>
            </w:r>
          </w:p>
        </w:tc>
        <w:tc>
          <w:tcPr>
            <w:tcW w:type="dxa" w:w="2835"/>
            <w:vAlign w:val="center"/>
          </w:tcPr>
          <w:p>
            <w:pPr>
              <w:jc w:val="center"/>
            </w:pPr>
            <w:r/>
            <w:r>
              <w:rPr>
                <w:rFonts w:ascii="宋体" w:hAnsi="宋体" w:eastAsia="宋体"/>
                <w:b w:val="0"/>
                <w:color w:val="000000"/>
                <w:sz w:val="18"/>
              </w:rPr>
              <w:t>实时逻辑与动态排序</w:t>
            </w:r>
          </w:p>
        </w:tc>
      </w:tr>
      <w:tr>
        <w:tc>
          <w:tcPr>
            <w:tcW w:type="dxa" w:w="1701"/>
            <w:vAlign w:val="center"/>
          </w:tcPr>
          <w:p>
            <w:pPr>
              <w:jc w:val="center"/>
            </w:pPr>
            <w:r/>
            <w:r>
              <w:rPr>
                <w:rFonts w:ascii="宋体" w:hAnsi="宋体" w:eastAsia="宋体"/>
                <w:b w:val="0"/>
                <w:color w:val="000000"/>
                <w:sz w:val="18"/>
              </w:rPr>
              <w:t>应急告警</w:t>
            </w:r>
          </w:p>
        </w:tc>
        <w:tc>
          <w:tcPr>
            <w:tcW w:type="dxa" w:w="4252"/>
            <w:vAlign w:val="center"/>
          </w:tcPr>
          <w:p>
            <w:pPr>
              <w:jc w:val="center"/>
            </w:pPr>
            <w:r/>
            <w:r>
              <w:rPr>
                <w:rFonts w:ascii="宋体" w:hAnsi="宋体" w:eastAsia="宋体"/>
                <w:b w:val="0"/>
                <w:color w:val="000000"/>
                <w:sz w:val="18"/>
              </w:rPr>
              <w:t>事件标题、位置说明、方向箭头、滚动提示</w:t>
            </w:r>
          </w:p>
        </w:tc>
        <w:tc>
          <w:tcPr>
            <w:tcW w:type="dxa" w:w="2835"/>
            <w:vAlign w:val="center"/>
          </w:tcPr>
          <w:p>
            <w:pPr>
              <w:jc w:val="center"/>
            </w:pPr>
            <w:r/>
            <w:r>
              <w:rPr>
                <w:rFonts w:ascii="宋体" w:hAnsi="宋体" w:eastAsia="宋体"/>
                <w:b w:val="0"/>
                <w:color w:val="000000"/>
                <w:sz w:val="18"/>
              </w:rPr>
              <w:t>强提示和可靠输出</w:t>
            </w:r>
          </w:p>
        </w:tc>
      </w:tr>
    </w:tbl>
    <w:p/>
    <w:p>
      <w:pPr>
        <w:keepNext/>
        <w:spacing w:before="120" w:after="80"/>
      </w:pPr>
      <w:r>
        <w:rPr>
          <w:rFonts w:ascii="黑体" w:hAnsi="黑体" w:eastAsia="黑体"/>
          <w:b/>
          <w:color w:val="000000"/>
          <w:sz w:val="24"/>
        </w:rPr>
        <w:t>2.7 音频链路与联动</w:t>
      </w:r>
    </w:p>
    <w:p>
      <w:pPr>
        <w:spacing w:line="300" w:lineRule="auto"/>
        <w:ind w:firstLine="420"/>
        <w:jc w:val="both"/>
      </w:pPr>
      <w:r>
        <w:rPr>
          <w:rFonts w:ascii="宋体" w:hAnsi="宋体" w:eastAsia="宋体"/>
          <w:b w:val="0"/>
          <w:sz w:val="21"/>
        </w:rPr>
        <w:t>音频事件由场景状态机产生，经跨时钟域握手传递到48 kHz音频域。进入抢答场景默认静音，仅在倒计时或结束事件触发提示音和可视化；迎新场景可播放TF卡音频。音频有效窗、媒体ID和可视化数据均带场景清零条件，防止上一场景的历史幅度或事件残留。</w:t>
      </w:r>
    </w:p>
    <w:p>
      <w:pPr>
        <w:keepNext/>
        <w:spacing w:before="120" w:after="80"/>
      </w:pPr>
      <w:r>
        <w:rPr>
          <w:rFonts w:ascii="黑体" w:hAnsi="黑体" w:eastAsia="黑体"/>
          <w:b/>
          <w:color w:val="000000"/>
          <w:sz w:val="24"/>
        </w:rPr>
        <w:t>2.8 UART配置与上位机</w:t>
      </w:r>
    </w:p>
    <w:p>
      <w:pPr>
        <w:spacing w:line="300" w:lineRule="auto"/>
        <w:ind w:firstLine="420"/>
        <w:jc w:val="both"/>
      </w:pPr>
      <w:r>
        <w:rPr>
          <w:rFonts w:ascii="宋体" w:hAnsi="宋体" w:eastAsia="宋体"/>
          <w:b w:val="0"/>
          <w:sz w:val="21"/>
        </w:rPr>
        <w:t>UART接收器完成字节采样，上层协议使用帧头、命令、长度、有效载荷和CRC校验。迎新流动字幕与应急通知的候选配置在校验通过后写入缓冲，并于帧边界提交；错误帧不改变当前显示。工程随附Python上位机和启动脚本，便于现场修改、发送和回读。</w:t>
      </w:r>
    </w:p>
    <w:p>
      <w:r>
        <w:br w:type="page"/>
      </w:r>
    </w:p>
    <w:p>
      <w:pPr>
        <w:keepNext/>
        <w:spacing w:before="120" w:after="80"/>
      </w:pPr>
      <w:r>
        <w:rPr>
          <w:rFonts w:ascii="黑体" w:hAnsi="黑体" w:eastAsia="黑体"/>
          <w:b/>
          <w:color w:val="000000"/>
          <w:sz w:val="24"/>
        </w:rPr>
        <w:t>2.9 逻辑优化与低功耗措施</w:t>
      </w:r>
    </w:p>
    <w:tbl>
      <w:tblPr>
        <w:tblW w:type="auto" w:w="0"/>
        <w:jc w:val="center"/>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c>
          <w:tcPr>
            <w:tcW w:type="dxa" w:w="2041"/>
            <w:shd w:fill="1F4E78"/>
            <w:vAlign w:val="center"/>
          </w:tcPr>
          <w:p>
            <w:pPr>
              <w:jc w:val="center"/>
            </w:pPr>
            <w:r/>
            <w:r>
              <w:rPr>
                <w:rFonts w:ascii="宋体" w:hAnsi="宋体" w:eastAsia="宋体"/>
                <w:b/>
                <w:color w:val="FFFFFF"/>
                <w:sz w:val="18"/>
              </w:rPr>
              <w:t>措施</w:t>
            </w:r>
          </w:p>
        </w:tc>
        <w:tc>
          <w:tcPr>
            <w:tcW w:type="dxa" w:w="3855"/>
            <w:shd w:fill="1F4E78"/>
            <w:vAlign w:val="center"/>
          </w:tcPr>
          <w:p>
            <w:pPr>
              <w:jc w:val="center"/>
            </w:pPr>
            <w:r/>
            <w:r>
              <w:rPr>
                <w:rFonts w:ascii="宋体" w:hAnsi="宋体" w:eastAsia="宋体"/>
                <w:b/>
                <w:color w:val="FFFFFF"/>
                <w:sz w:val="18"/>
              </w:rPr>
              <w:t>实现方式</w:t>
            </w:r>
          </w:p>
        </w:tc>
        <w:tc>
          <w:tcPr>
            <w:tcW w:type="dxa" w:w="2891"/>
            <w:shd w:fill="1F4E78"/>
            <w:vAlign w:val="center"/>
          </w:tcPr>
          <w:p>
            <w:pPr>
              <w:jc w:val="center"/>
            </w:pPr>
            <w:r/>
            <w:r>
              <w:rPr>
                <w:rFonts w:ascii="宋体" w:hAnsi="宋体" w:eastAsia="宋体"/>
                <w:b/>
                <w:color w:val="FFFFFF"/>
                <w:sz w:val="18"/>
              </w:rPr>
              <w:t>收益与取舍</w:t>
            </w:r>
          </w:p>
        </w:tc>
      </w:tr>
      <w:tr>
        <w:tc>
          <w:tcPr>
            <w:tcW w:type="dxa" w:w="2041"/>
            <w:vAlign w:val="center"/>
          </w:tcPr>
          <w:p>
            <w:pPr>
              <w:jc w:val="center"/>
            </w:pPr>
            <w:r/>
            <w:r>
              <w:rPr>
                <w:rFonts w:ascii="宋体" w:hAnsi="宋体" w:eastAsia="宋体"/>
                <w:b w:val="0"/>
                <w:color w:val="000000"/>
                <w:sz w:val="18"/>
              </w:rPr>
              <w:t>场景级活动使能</w:t>
            </w:r>
          </w:p>
        </w:tc>
        <w:tc>
          <w:tcPr>
            <w:tcW w:type="dxa" w:w="3855"/>
            <w:vAlign w:val="center"/>
          </w:tcPr>
          <w:p>
            <w:pPr>
              <w:jc w:val="center"/>
            </w:pPr>
            <w:r/>
            <w:r>
              <w:rPr>
                <w:rFonts w:ascii="宋体" w:hAnsi="宋体" w:eastAsia="宋体"/>
                <w:b w:val="0"/>
                <w:color w:val="000000"/>
                <w:sz w:val="18"/>
              </w:rPr>
              <w:t>仅启用当前场景OSD/动画/音频统计</w:t>
            </w:r>
          </w:p>
        </w:tc>
        <w:tc>
          <w:tcPr>
            <w:tcW w:type="dxa" w:w="2891"/>
            <w:vAlign w:val="center"/>
          </w:tcPr>
          <w:p>
            <w:pPr>
              <w:jc w:val="center"/>
            </w:pPr>
            <w:r/>
            <w:r>
              <w:rPr>
                <w:rFonts w:ascii="宋体" w:hAnsi="宋体" w:eastAsia="宋体"/>
                <w:b w:val="0"/>
                <w:color w:val="000000"/>
                <w:sz w:val="18"/>
              </w:rPr>
              <w:t>降低无效翻转；保持所有时钟源稳定</w:t>
            </w:r>
          </w:p>
        </w:tc>
      </w:tr>
      <w:tr>
        <w:tc>
          <w:tcPr>
            <w:tcW w:type="dxa" w:w="2041"/>
            <w:vAlign w:val="center"/>
          </w:tcPr>
          <w:p>
            <w:pPr>
              <w:jc w:val="center"/>
            </w:pPr>
            <w:r/>
            <w:r>
              <w:rPr>
                <w:rFonts w:ascii="宋体" w:hAnsi="宋体" w:eastAsia="宋体"/>
                <w:b w:val="0"/>
                <w:color w:val="000000"/>
                <w:sz w:val="18"/>
              </w:rPr>
              <w:t>数据冻结</w:t>
            </w:r>
          </w:p>
        </w:tc>
        <w:tc>
          <w:tcPr>
            <w:tcW w:type="dxa" w:w="3855"/>
            <w:vAlign w:val="center"/>
          </w:tcPr>
          <w:p>
            <w:pPr>
              <w:jc w:val="center"/>
            </w:pPr>
            <w:r/>
            <w:r>
              <w:rPr>
                <w:rFonts w:ascii="宋体" w:hAnsi="宋体" w:eastAsia="宋体"/>
                <w:b w:val="0"/>
                <w:color w:val="000000"/>
                <w:sz w:val="18"/>
              </w:rPr>
              <w:t>非有效区保持地址、累加器和统计寄存器</w:t>
            </w:r>
          </w:p>
        </w:tc>
        <w:tc>
          <w:tcPr>
            <w:tcW w:type="dxa" w:w="2891"/>
            <w:vAlign w:val="center"/>
          </w:tcPr>
          <w:p>
            <w:pPr>
              <w:jc w:val="center"/>
            </w:pPr>
            <w:r/>
            <w:r>
              <w:rPr>
                <w:rFonts w:ascii="宋体" w:hAnsi="宋体" w:eastAsia="宋体"/>
                <w:b w:val="0"/>
                <w:color w:val="000000"/>
                <w:sz w:val="18"/>
              </w:rPr>
              <w:t>降低动态功耗；增加少量使能逻辑</w:t>
            </w:r>
          </w:p>
        </w:tc>
      </w:tr>
      <w:tr>
        <w:tc>
          <w:tcPr>
            <w:tcW w:type="dxa" w:w="2041"/>
            <w:vAlign w:val="center"/>
          </w:tcPr>
          <w:p>
            <w:pPr>
              <w:jc w:val="center"/>
            </w:pPr>
            <w:r/>
            <w:r>
              <w:rPr>
                <w:rFonts w:ascii="宋体" w:hAnsi="宋体" w:eastAsia="宋体"/>
                <w:b w:val="0"/>
                <w:color w:val="000000"/>
                <w:sz w:val="18"/>
              </w:rPr>
              <w:t>定点与位宽收敛</w:t>
            </w:r>
          </w:p>
        </w:tc>
        <w:tc>
          <w:tcPr>
            <w:tcW w:type="dxa" w:w="3855"/>
            <w:vAlign w:val="center"/>
          </w:tcPr>
          <w:p>
            <w:pPr>
              <w:jc w:val="center"/>
            </w:pPr>
            <w:r/>
            <w:r>
              <w:rPr>
                <w:rFonts w:ascii="宋体" w:hAnsi="宋体" w:eastAsia="宋体"/>
                <w:b w:val="0"/>
                <w:color w:val="000000"/>
                <w:sz w:val="18"/>
              </w:rPr>
              <w:t>坐标比例、计数器按范围裁剪</w:t>
            </w:r>
          </w:p>
        </w:tc>
        <w:tc>
          <w:tcPr>
            <w:tcW w:type="dxa" w:w="2891"/>
            <w:vAlign w:val="center"/>
          </w:tcPr>
          <w:p>
            <w:pPr>
              <w:jc w:val="center"/>
            </w:pPr>
            <w:r/>
            <w:r>
              <w:rPr>
                <w:rFonts w:ascii="宋体" w:hAnsi="宋体" w:eastAsia="宋体"/>
                <w:b w:val="0"/>
                <w:color w:val="000000"/>
                <w:sz w:val="18"/>
              </w:rPr>
              <w:t>减少LUT/REG与组合深度；需边界回归</w:t>
            </w:r>
          </w:p>
        </w:tc>
      </w:tr>
      <w:tr>
        <w:tc>
          <w:tcPr>
            <w:tcW w:type="dxa" w:w="2041"/>
            <w:vAlign w:val="center"/>
          </w:tcPr>
          <w:p>
            <w:pPr>
              <w:jc w:val="center"/>
            </w:pPr>
            <w:r/>
            <w:r>
              <w:rPr>
                <w:rFonts w:ascii="宋体" w:hAnsi="宋体" w:eastAsia="宋体"/>
                <w:b w:val="0"/>
                <w:color w:val="000000"/>
                <w:sz w:val="18"/>
              </w:rPr>
              <w:t>ROM/公共逻辑复用</w:t>
            </w:r>
          </w:p>
        </w:tc>
        <w:tc>
          <w:tcPr>
            <w:tcW w:type="dxa" w:w="3855"/>
            <w:vAlign w:val="center"/>
          </w:tcPr>
          <w:p>
            <w:pPr>
              <w:jc w:val="center"/>
            </w:pPr>
            <w:r/>
            <w:r>
              <w:rPr>
                <w:rFonts w:ascii="宋体" w:hAnsi="宋体" w:eastAsia="宋体"/>
                <w:b w:val="0"/>
                <w:color w:val="000000"/>
                <w:sz w:val="18"/>
              </w:rPr>
              <w:t>字模、区域判断和颜色选择共享</w:t>
            </w:r>
          </w:p>
        </w:tc>
        <w:tc>
          <w:tcPr>
            <w:tcW w:type="dxa" w:w="2891"/>
            <w:vAlign w:val="center"/>
          </w:tcPr>
          <w:p>
            <w:pPr>
              <w:jc w:val="center"/>
            </w:pPr>
            <w:r/>
            <w:r>
              <w:rPr>
                <w:rFonts w:ascii="宋体" w:hAnsi="宋体" w:eastAsia="宋体"/>
                <w:b w:val="0"/>
                <w:color w:val="000000"/>
                <w:sz w:val="18"/>
              </w:rPr>
              <w:t>节省资源；需控制扇出</w:t>
            </w:r>
          </w:p>
        </w:tc>
      </w:tr>
      <w:tr>
        <w:tc>
          <w:tcPr>
            <w:tcW w:type="dxa" w:w="2041"/>
            <w:vAlign w:val="center"/>
          </w:tcPr>
          <w:p>
            <w:pPr>
              <w:jc w:val="center"/>
            </w:pPr>
            <w:r/>
            <w:r>
              <w:rPr>
                <w:rFonts w:ascii="宋体" w:hAnsi="宋体" w:eastAsia="宋体"/>
                <w:b w:val="0"/>
                <w:color w:val="000000"/>
                <w:sz w:val="18"/>
              </w:rPr>
              <w:t>事件化跨域</w:t>
            </w:r>
          </w:p>
        </w:tc>
        <w:tc>
          <w:tcPr>
            <w:tcW w:type="dxa" w:w="3855"/>
            <w:vAlign w:val="center"/>
          </w:tcPr>
          <w:p>
            <w:pPr>
              <w:jc w:val="center"/>
            </w:pPr>
            <w:r/>
            <w:r>
              <w:rPr>
                <w:rFonts w:ascii="宋体" w:hAnsi="宋体" w:eastAsia="宋体"/>
                <w:b w:val="0"/>
                <w:color w:val="000000"/>
                <w:sz w:val="18"/>
              </w:rPr>
              <w:t>脉冲/握手替代宽总线持续同步</w:t>
            </w:r>
          </w:p>
        </w:tc>
        <w:tc>
          <w:tcPr>
            <w:tcW w:type="dxa" w:w="2891"/>
            <w:vAlign w:val="center"/>
          </w:tcPr>
          <w:p>
            <w:pPr>
              <w:jc w:val="center"/>
            </w:pPr>
            <w:r/>
            <w:r>
              <w:rPr>
                <w:rFonts w:ascii="宋体" w:hAnsi="宋体" w:eastAsia="宋体"/>
                <w:b w:val="0"/>
                <w:color w:val="000000"/>
                <w:sz w:val="18"/>
              </w:rPr>
              <w:t>降低翻转并提高CDC可控性</w:t>
            </w:r>
          </w:p>
        </w:tc>
      </w:tr>
      <w:tr>
        <w:tc>
          <w:tcPr>
            <w:tcW w:type="dxa" w:w="2041"/>
            <w:vAlign w:val="center"/>
          </w:tcPr>
          <w:p>
            <w:pPr>
              <w:jc w:val="center"/>
            </w:pPr>
            <w:r/>
            <w:r>
              <w:rPr>
                <w:rFonts w:ascii="宋体" w:hAnsi="宋体" w:eastAsia="宋体"/>
                <w:b w:val="0"/>
                <w:color w:val="000000"/>
                <w:sz w:val="18"/>
              </w:rPr>
              <w:t>无门控时钟策略</w:t>
            </w:r>
          </w:p>
        </w:tc>
        <w:tc>
          <w:tcPr>
            <w:tcW w:type="dxa" w:w="3855"/>
            <w:vAlign w:val="center"/>
          </w:tcPr>
          <w:p>
            <w:pPr>
              <w:jc w:val="center"/>
            </w:pPr>
            <w:r/>
            <w:r>
              <w:rPr>
                <w:rFonts w:ascii="宋体" w:hAnsi="宋体" w:eastAsia="宋体"/>
                <w:b w:val="0"/>
                <w:color w:val="000000"/>
                <w:sz w:val="18"/>
              </w:rPr>
              <w:t>使用寄存器CE，不组合门控时钟</w:t>
            </w:r>
          </w:p>
        </w:tc>
        <w:tc>
          <w:tcPr>
            <w:tcW w:type="dxa" w:w="2891"/>
            <w:vAlign w:val="center"/>
          </w:tcPr>
          <w:p>
            <w:pPr>
              <w:jc w:val="center"/>
            </w:pPr>
            <w:r/>
            <w:r>
              <w:rPr>
                <w:rFonts w:ascii="宋体" w:hAnsi="宋体" w:eastAsia="宋体"/>
                <w:b w:val="0"/>
                <w:color w:val="000000"/>
                <w:sz w:val="18"/>
              </w:rPr>
              <w:t>避免毛刺并利于时序收敛</w:t>
            </w:r>
          </w:p>
        </w:tc>
      </w:tr>
    </w:tbl>
    <w:p/>
    <w:p>
      <w:pPr>
        <w:keepNext/>
        <w:spacing w:before="200" w:after="80"/>
      </w:pPr>
      <w:r>
        <w:rPr>
          <w:rFonts w:ascii="黑体" w:hAnsi="黑体" w:eastAsia="黑体"/>
          <w:b/>
          <w:color w:val="17365D"/>
          <w:sz w:val="32"/>
        </w:rPr>
        <w:t>第三部分  完成情况与性能验证</w:t>
      </w:r>
    </w:p>
    <w:p>
      <w:pPr>
        <w:keepNext/>
        <w:spacing w:before="120" w:after="80"/>
      </w:pPr>
      <w:r>
        <w:rPr>
          <w:rFonts w:ascii="黑体" w:hAnsi="黑体" w:eastAsia="黑体"/>
          <w:b/>
          <w:color w:val="000000"/>
          <w:sz w:val="24"/>
        </w:rPr>
        <w:t>3.1 完成情况</w:t>
      </w:r>
    </w:p>
    <w:p>
      <w:pPr>
        <w:spacing w:line="300" w:lineRule="auto"/>
        <w:ind w:firstLine="420"/>
        <w:jc w:val="both"/>
      </w:pPr>
      <w:r>
        <w:rPr>
          <w:rFonts w:ascii="宋体" w:hAnsi="宋体" w:eastAsia="宋体"/>
          <w:b w:val="0"/>
          <w:sz w:val="21"/>
        </w:rPr>
        <w:t>基础要求中的本地媒体读取、640×480图片显示、SDRAM缓存、按键切换/轮播、HDMI音频输出已实现；扩展要求中的淡入淡出、音视频联动、UART参数配置、场景化显示、启动稳定性和逻辑/低功耗优化均已在同一工程落地。当前版本已由用户完成实板烧录并确认核心功能正常。</w:t>
      </w:r>
    </w:p>
    <w:tbl>
      <w:tblPr>
        <w:tblW w:type="auto" w:w="0"/>
        <w:jc w:val="center"/>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c>
          <w:tcPr>
            <w:tcW w:type="dxa" w:w="2835"/>
            <w:shd w:fill="1F4E78"/>
            <w:vAlign w:val="center"/>
          </w:tcPr>
          <w:p>
            <w:pPr>
              <w:jc w:val="center"/>
            </w:pPr>
            <w:r/>
            <w:r>
              <w:rPr>
                <w:rFonts w:ascii="宋体" w:hAnsi="宋体" w:eastAsia="宋体"/>
                <w:b/>
                <w:color w:val="FFFFFF"/>
                <w:sz w:val="18"/>
              </w:rPr>
              <w:t>赛题条目</w:t>
            </w:r>
          </w:p>
        </w:tc>
        <w:tc>
          <w:tcPr>
            <w:tcW w:type="dxa" w:w="1417"/>
            <w:shd w:fill="1F4E78"/>
            <w:vAlign w:val="center"/>
          </w:tcPr>
          <w:p>
            <w:pPr>
              <w:jc w:val="center"/>
            </w:pPr>
            <w:r/>
            <w:r>
              <w:rPr>
                <w:rFonts w:ascii="宋体" w:hAnsi="宋体" w:eastAsia="宋体"/>
                <w:b/>
                <w:color w:val="FFFFFF"/>
                <w:sz w:val="18"/>
              </w:rPr>
              <w:t>实现状态</w:t>
            </w:r>
          </w:p>
        </w:tc>
        <w:tc>
          <w:tcPr>
            <w:tcW w:type="dxa" w:w="4535"/>
            <w:shd w:fill="1F4E78"/>
            <w:vAlign w:val="center"/>
          </w:tcPr>
          <w:p>
            <w:pPr>
              <w:jc w:val="center"/>
            </w:pPr>
            <w:r/>
            <w:r>
              <w:rPr>
                <w:rFonts w:ascii="宋体" w:hAnsi="宋体" w:eastAsia="宋体"/>
                <w:b/>
                <w:color w:val="FFFFFF"/>
                <w:sz w:val="18"/>
              </w:rPr>
              <w:t>对应实现/证据</w:t>
            </w:r>
          </w:p>
        </w:tc>
      </w:tr>
      <w:tr>
        <w:tc>
          <w:tcPr>
            <w:tcW w:type="dxa" w:w="2835"/>
            <w:vAlign w:val="center"/>
          </w:tcPr>
          <w:p>
            <w:pPr>
              <w:jc w:val="center"/>
            </w:pPr>
            <w:r/>
            <w:r>
              <w:rPr>
                <w:rFonts w:ascii="宋体" w:hAnsi="宋体" w:eastAsia="宋体"/>
                <w:b w:val="0"/>
                <w:color w:val="000000"/>
                <w:sz w:val="18"/>
              </w:rPr>
              <w:t>TF/SPI Flash本地媒体、BMP自动扫描</w:t>
            </w:r>
          </w:p>
        </w:tc>
        <w:tc>
          <w:tcPr>
            <w:tcW w:type="dxa" w:w="1417"/>
            <w:vAlign w:val="center"/>
          </w:tcPr>
          <w:p>
            <w:pPr>
              <w:jc w:val="center"/>
            </w:pPr>
            <w:r/>
            <w:r>
              <w:rPr>
                <w:rFonts w:ascii="宋体" w:hAnsi="宋体" w:eastAsia="宋体"/>
                <w:b w:val="0"/>
                <w:color w:val="000000"/>
                <w:sz w:val="18"/>
              </w:rPr>
              <w:t>完成</w:t>
            </w:r>
          </w:p>
        </w:tc>
        <w:tc>
          <w:tcPr>
            <w:tcW w:type="dxa" w:w="4535"/>
            <w:vAlign w:val="center"/>
          </w:tcPr>
          <w:p>
            <w:pPr>
              <w:jc w:val="center"/>
            </w:pPr>
            <w:r/>
            <w:r>
              <w:rPr>
                <w:rFonts w:ascii="宋体" w:hAnsi="宋体" w:eastAsia="宋体"/>
                <w:b w:val="0"/>
                <w:color w:val="000000"/>
                <w:sz w:val="18"/>
              </w:rPr>
              <w:t>FAT32/BMP读取与轮播链路</w:t>
            </w:r>
          </w:p>
        </w:tc>
      </w:tr>
      <w:tr>
        <w:tc>
          <w:tcPr>
            <w:tcW w:type="dxa" w:w="2835"/>
            <w:vAlign w:val="center"/>
          </w:tcPr>
          <w:p>
            <w:pPr>
              <w:jc w:val="center"/>
            </w:pPr>
            <w:r/>
            <w:r>
              <w:rPr>
                <w:rFonts w:ascii="宋体" w:hAnsi="宋体" w:eastAsia="宋体"/>
                <w:b w:val="0"/>
                <w:color w:val="000000"/>
                <w:sz w:val="18"/>
              </w:rPr>
              <w:t>FPGA缓存与HDMI稳定显示</w:t>
            </w:r>
          </w:p>
        </w:tc>
        <w:tc>
          <w:tcPr>
            <w:tcW w:type="dxa" w:w="1417"/>
            <w:vAlign w:val="center"/>
          </w:tcPr>
          <w:p>
            <w:pPr>
              <w:jc w:val="center"/>
            </w:pPr>
            <w:r/>
            <w:r>
              <w:rPr>
                <w:rFonts w:ascii="宋体" w:hAnsi="宋体" w:eastAsia="宋体"/>
                <w:b w:val="0"/>
                <w:color w:val="000000"/>
                <w:sz w:val="18"/>
              </w:rPr>
              <w:t>完成</w:t>
            </w:r>
          </w:p>
        </w:tc>
        <w:tc>
          <w:tcPr>
            <w:tcW w:type="dxa" w:w="4535"/>
            <w:vAlign w:val="center"/>
          </w:tcPr>
          <w:p>
            <w:pPr>
              <w:jc w:val="center"/>
            </w:pPr>
            <w:r/>
            <w:r>
              <w:rPr>
                <w:rFonts w:ascii="宋体" w:hAnsi="宋体" w:eastAsia="宋体"/>
                <w:b w:val="0"/>
                <w:color w:val="000000"/>
                <w:sz w:val="18"/>
              </w:rPr>
              <w:t>SDRAM帧缓存、640×480时序</w:t>
            </w:r>
          </w:p>
        </w:tc>
      </w:tr>
      <w:tr>
        <w:tc>
          <w:tcPr>
            <w:tcW w:type="dxa" w:w="2835"/>
            <w:vAlign w:val="center"/>
          </w:tcPr>
          <w:p>
            <w:pPr>
              <w:jc w:val="center"/>
            </w:pPr>
            <w:r/>
            <w:r>
              <w:rPr>
                <w:rFonts w:ascii="宋体" w:hAnsi="宋体" w:eastAsia="宋体"/>
                <w:b w:val="0"/>
                <w:color w:val="000000"/>
                <w:sz w:val="18"/>
              </w:rPr>
              <w:t>按键切图及轮播启停</w:t>
            </w:r>
          </w:p>
        </w:tc>
        <w:tc>
          <w:tcPr>
            <w:tcW w:type="dxa" w:w="1417"/>
            <w:vAlign w:val="center"/>
          </w:tcPr>
          <w:p>
            <w:pPr>
              <w:jc w:val="center"/>
            </w:pPr>
            <w:r/>
            <w:r>
              <w:rPr>
                <w:rFonts w:ascii="宋体" w:hAnsi="宋体" w:eastAsia="宋体"/>
                <w:b w:val="0"/>
                <w:color w:val="000000"/>
                <w:sz w:val="18"/>
              </w:rPr>
              <w:t>完成</w:t>
            </w:r>
          </w:p>
        </w:tc>
        <w:tc>
          <w:tcPr>
            <w:tcW w:type="dxa" w:w="4535"/>
            <w:vAlign w:val="center"/>
          </w:tcPr>
          <w:p>
            <w:pPr>
              <w:jc w:val="center"/>
            </w:pPr>
            <w:r/>
            <w:r>
              <w:rPr>
                <w:rFonts w:ascii="宋体" w:hAnsi="宋体" w:eastAsia="宋体"/>
                <w:b w:val="0"/>
                <w:color w:val="000000"/>
                <w:sz w:val="18"/>
              </w:rPr>
              <w:t>ui_key_ctrl及板级验证</w:t>
            </w:r>
          </w:p>
        </w:tc>
      </w:tr>
      <w:tr>
        <w:tc>
          <w:tcPr>
            <w:tcW w:type="dxa" w:w="2835"/>
            <w:vAlign w:val="center"/>
          </w:tcPr>
          <w:p>
            <w:pPr>
              <w:jc w:val="center"/>
            </w:pPr>
            <w:r/>
            <w:r>
              <w:rPr>
                <w:rFonts w:ascii="宋体" w:hAnsi="宋体" w:eastAsia="宋体"/>
                <w:b w:val="0"/>
                <w:color w:val="000000"/>
                <w:sz w:val="18"/>
              </w:rPr>
              <w:t>HDMI音频</w:t>
            </w:r>
          </w:p>
        </w:tc>
        <w:tc>
          <w:tcPr>
            <w:tcW w:type="dxa" w:w="1417"/>
            <w:vAlign w:val="center"/>
          </w:tcPr>
          <w:p>
            <w:pPr>
              <w:jc w:val="center"/>
            </w:pPr>
            <w:r/>
            <w:r>
              <w:rPr>
                <w:rFonts w:ascii="宋体" w:hAnsi="宋体" w:eastAsia="宋体"/>
                <w:b w:val="0"/>
                <w:color w:val="000000"/>
                <w:sz w:val="18"/>
              </w:rPr>
              <w:t>完成</w:t>
            </w:r>
          </w:p>
        </w:tc>
        <w:tc>
          <w:tcPr>
            <w:tcW w:type="dxa" w:w="4535"/>
            <w:vAlign w:val="center"/>
          </w:tcPr>
          <w:p>
            <w:pPr>
              <w:jc w:val="center"/>
            </w:pPr>
            <w:r/>
            <w:r>
              <w:rPr>
                <w:rFonts w:ascii="宋体" w:hAnsi="宋体" w:eastAsia="宋体"/>
                <w:b w:val="0"/>
                <w:color w:val="000000"/>
                <w:sz w:val="18"/>
              </w:rPr>
              <w:t>48 kHz音频链路及场景事件</w:t>
            </w:r>
          </w:p>
        </w:tc>
      </w:tr>
      <w:tr>
        <w:tc>
          <w:tcPr>
            <w:tcW w:type="dxa" w:w="2835"/>
            <w:vAlign w:val="center"/>
          </w:tcPr>
          <w:p>
            <w:pPr>
              <w:jc w:val="center"/>
            </w:pPr>
            <w:r/>
            <w:r>
              <w:rPr>
                <w:rFonts w:ascii="宋体" w:hAnsi="宋体" w:eastAsia="宋体"/>
                <w:b w:val="0"/>
                <w:color w:val="000000"/>
                <w:sz w:val="18"/>
              </w:rPr>
              <w:t>高级切换效果</w:t>
            </w:r>
          </w:p>
        </w:tc>
        <w:tc>
          <w:tcPr>
            <w:tcW w:type="dxa" w:w="1417"/>
            <w:vAlign w:val="center"/>
          </w:tcPr>
          <w:p>
            <w:pPr>
              <w:jc w:val="center"/>
            </w:pPr>
            <w:r/>
            <w:r>
              <w:rPr>
                <w:rFonts w:ascii="宋体" w:hAnsi="宋体" w:eastAsia="宋体"/>
                <w:b w:val="0"/>
                <w:color w:val="000000"/>
                <w:sz w:val="18"/>
              </w:rPr>
              <w:t>完成</w:t>
            </w:r>
          </w:p>
        </w:tc>
        <w:tc>
          <w:tcPr>
            <w:tcW w:type="dxa" w:w="4535"/>
            <w:vAlign w:val="center"/>
          </w:tcPr>
          <w:p>
            <w:pPr>
              <w:jc w:val="center"/>
            </w:pPr>
            <w:r/>
            <w:r>
              <w:rPr>
                <w:rFonts w:ascii="宋体" w:hAnsi="宋体" w:eastAsia="宋体"/>
                <w:b w:val="0"/>
                <w:color w:val="000000"/>
                <w:sz w:val="18"/>
              </w:rPr>
              <w:t>淡入淡出、首帧门控、马赛克</w:t>
            </w:r>
          </w:p>
        </w:tc>
      </w:tr>
      <w:tr>
        <w:tc>
          <w:tcPr>
            <w:tcW w:type="dxa" w:w="2835"/>
            <w:vAlign w:val="center"/>
          </w:tcPr>
          <w:p>
            <w:pPr>
              <w:jc w:val="center"/>
            </w:pPr>
            <w:r/>
            <w:r>
              <w:rPr>
                <w:rFonts w:ascii="宋体" w:hAnsi="宋体" w:eastAsia="宋体"/>
                <w:b w:val="0"/>
                <w:color w:val="000000"/>
                <w:sz w:val="18"/>
              </w:rPr>
              <w:t>音视频联动</w:t>
            </w:r>
          </w:p>
        </w:tc>
        <w:tc>
          <w:tcPr>
            <w:tcW w:type="dxa" w:w="1417"/>
            <w:vAlign w:val="center"/>
          </w:tcPr>
          <w:p>
            <w:pPr>
              <w:jc w:val="center"/>
            </w:pPr>
            <w:r/>
            <w:r>
              <w:rPr>
                <w:rFonts w:ascii="宋体" w:hAnsi="宋体" w:eastAsia="宋体"/>
                <w:b w:val="0"/>
                <w:color w:val="000000"/>
                <w:sz w:val="18"/>
              </w:rPr>
              <w:t>完成</w:t>
            </w:r>
          </w:p>
        </w:tc>
        <w:tc>
          <w:tcPr>
            <w:tcW w:type="dxa" w:w="4535"/>
            <w:vAlign w:val="center"/>
          </w:tcPr>
          <w:p>
            <w:pPr>
              <w:jc w:val="center"/>
            </w:pPr>
            <w:r/>
            <w:r>
              <w:rPr>
                <w:rFonts w:ascii="宋体" w:hAnsi="宋体" w:eastAsia="宋体"/>
                <w:b w:val="0"/>
                <w:color w:val="000000"/>
                <w:sz w:val="18"/>
              </w:rPr>
              <w:t>提示音、媒体ID与可视化</w:t>
            </w:r>
          </w:p>
        </w:tc>
      </w:tr>
      <w:tr>
        <w:tc>
          <w:tcPr>
            <w:tcW w:type="dxa" w:w="2835"/>
            <w:vAlign w:val="center"/>
          </w:tcPr>
          <w:p>
            <w:pPr>
              <w:jc w:val="center"/>
            </w:pPr>
            <w:r/>
            <w:r>
              <w:rPr>
                <w:rFonts w:ascii="宋体" w:hAnsi="宋体" w:eastAsia="宋体"/>
                <w:b w:val="0"/>
                <w:color w:val="000000"/>
                <w:sz w:val="18"/>
              </w:rPr>
              <w:t>UART/用户IO扩展</w:t>
            </w:r>
          </w:p>
        </w:tc>
        <w:tc>
          <w:tcPr>
            <w:tcW w:type="dxa" w:w="1417"/>
            <w:vAlign w:val="center"/>
          </w:tcPr>
          <w:p>
            <w:pPr>
              <w:jc w:val="center"/>
            </w:pPr>
            <w:r/>
            <w:r>
              <w:rPr>
                <w:rFonts w:ascii="宋体" w:hAnsi="宋体" w:eastAsia="宋体"/>
                <w:b w:val="0"/>
                <w:color w:val="000000"/>
                <w:sz w:val="18"/>
              </w:rPr>
              <w:t>完成</w:t>
            </w:r>
          </w:p>
        </w:tc>
        <w:tc>
          <w:tcPr>
            <w:tcW w:type="dxa" w:w="4535"/>
            <w:vAlign w:val="center"/>
          </w:tcPr>
          <w:p>
            <w:pPr>
              <w:jc w:val="center"/>
            </w:pPr>
            <w:r/>
            <w:r>
              <w:rPr>
                <w:rFonts w:ascii="宋体" w:hAnsi="宋体" w:eastAsia="宋体"/>
                <w:b w:val="0"/>
                <w:color w:val="000000"/>
                <w:sz w:val="18"/>
              </w:rPr>
              <w:t>字幕与应急通知配置</w:t>
            </w:r>
          </w:p>
        </w:tc>
      </w:tr>
      <w:tr>
        <w:tc>
          <w:tcPr>
            <w:tcW w:type="dxa" w:w="2835"/>
            <w:vAlign w:val="center"/>
          </w:tcPr>
          <w:p>
            <w:pPr>
              <w:jc w:val="center"/>
            </w:pPr>
            <w:r/>
            <w:r>
              <w:rPr>
                <w:rFonts w:ascii="宋体" w:hAnsi="宋体" w:eastAsia="宋体"/>
                <w:b w:val="0"/>
                <w:color w:val="000000"/>
                <w:sz w:val="18"/>
              </w:rPr>
              <w:t>启动/资源/功耗/鲁棒优化</w:t>
            </w:r>
          </w:p>
        </w:tc>
        <w:tc>
          <w:tcPr>
            <w:tcW w:type="dxa" w:w="1417"/>
            <w:vAlign w:val="center"/>
          </w:tcPr>
          <w:p>
            <w:pPr>
              <w:jc w:val="center"/>
            </w:pPr>
            <w:r/>
            <w:r>
              <w:rPr>
                <w:rFonts w:ascii="宋体" w:hAnsi="宋体" w:eastAsia="宋体"/>
                <w:b w:val="0"/>
                <w:color w:val="000000"/>
                <w:sz w:val="18"/>
              </w:rPr>
              <w:t>部分量化</w:t>
            </w:r>
          </w:p>
        </w:tc>
        <w:tc>
          <w:tcPr>
            <w:tcW w:type="dxa" w:w="4535"/>
            <w:vAlign w:val="center"/>
          </w:tcPr>
          <w:p>
            <w:pPr>
              <w:jc w:val="center"/>
            </w:pPr>
            <w:r/>
            <w:r>
              <w:rPr>
                <w:rFonts w:ascii="宋体" w:hAnsi="宋体" w:eastAsia="宋体"/>
                <w:b w:val="0"/>
                <w:color w:val="000000"/>
                <w:sz w:val="18"/>
              </w:rPr>
              <w:t>时序和资源已量化；功耗/长稳待采集</w:t>
            </w:r>
          </w:p>
        </w:tc>
      </w:tr>
    </w:tbl>
    <w:p/>
    <w:p>
      <w:pPr>
        <w:keepNext/>
        <w:spacing w:before="120" w:after="80"/>
      </w:pPr>
      <w:r>
        <w:rPr>
          <w:rFonts w:ascii="黑体" w:hAnsi="黑体" w:eastAsia="黑体"/>
          <w:b/>
          <w:color w:val="000000"/>
          <w:sz w:val="24"/>
        </w:rPr>
        <w:t>3.2 工程实现结果</w:t>
      </w:r>
    </w:p>
    <w:p>
      <w:pPr>
        <w:spacing w:line="300" w:lineRule="auto"/>
        <w:ind w:firstLine="420"/>
        <w:jc w:val="both"/>
      </w:pPr>
      <w:r>
        <w:rPr>
          <w:rFonts w:ascii="宋体" w:hAnsi="宋体" w:eastAsia="宋体"/>
          <w:b w:val="0"/>
          <w:sz w:val="21"/>
        </w:rPr>
        <w:t>交付位流为 ONLY_PROGRAM_FINAL_10_19_QOR_BEST.bit，SHA-256 为 B44A60AA348C756FBC08373CCC06E3B3B7BA08C4C226C339237E8FF31A5D49A9。该位流与种子59的面积及时序报告成套归档，不使用失败或来源不明的历史产物。</w:t>
      </w:r>
    </w:p>
    <w:tbl>
      <w:tblPr>
        <w:tblW w:type="auto" w:w="0"/>
        <w:jc w:val="center"/>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c>
          <w:tcPr>
            <w:tcW w:type="dxa" w:w="2268"/>
            <w:shd w:fill="1F4E78"/>
            <w:vAlign w:val="center"/>
          </w:tcPr>
          <w:p>
            <w:pPr>
              <w:jc w:val="center"/>
            </w:pPr>
            <w:r/>
            <w:r>
              <w:rPr>
                <w:rFonts w:ascii="宋体" w:hAnsi="宋体" w:eastAsia="宋体"/>
                <w:b/>
                <w:color w:val="FFFFFF"/>
                <w:sz w:val="18"/>
              </w:rPr>
              <w:t>项目</w:t>
            </w:r>
          </w:p>
        </w:tc>
        <w:tc>
          <w:tcPr>
            <w:tcW w:type="dxa" w:w="3855"/>
            <w:shd w:fill="1F4E78"/>
            <w:vAlign w:val="center"/>
          </w:tcPr>
          <w:p>
            <w:pPr>
              <w:jc w:val="center"/>
            </w:pPr>
            <w:r/>
            <w:r>
              <w:rPr>
                <w:rFonts w:ascii="宋体" w:hAnsi="宋体" w:eastAsia="宋体"/>
                <w:b/>
                <w:color w:val="FFFFFF"/>
                <w:sz w:val="18"/>
              </w:rPr>
              <w:t>结果</w:t>
            </w:r>
          </w:p>
        </w:tc>
        <w:tc>
          <w:tcPr>
            <w:tcW w:type="dxa" w:w="2665"/>
            <w:shd w:fill="1F4E78"/>
            <w:vAlign w:val="center"/>
          </w:tcPr>
          <w:p>
            <w:pPr>
              <w:jc w:val="center"/>
            </w:pPr>
            <w:r/>
            <w:r>
              <w:rPr>
                <w:rFonts w:ascii="宋体" w:hAnsi="宋体" w:eastAsia="宋体"/>
                <w:b/>
                <w:color w:val="FFFFFF"/>
                <w:sz w:val="18"/>
              </w:rPr>
              <w:t>判断</w:t>
            </w:r>
          </w:p>
        </w:tc>
      </w:tr>
      <w:tr>
        <w:tc>
          <w:tcPr>
            <w:tcW w:type="dxa" w:w="2268"/>
            <w:vAlign w:val="center"/>
          </w:tcPr>
          <w:p>
            <w:pPr>
              <w:jc w:val="center"/>
            </w:pPr>
            <w:r/>
            <w:r>
              <w:rPr>
                <w:rFonts w:ascii="宋体" w:hAnsi="宋体" w:eastAsia="宋体"/>
                <w:b w:val="0"/>
                <w:color w:val="000000"/>
                <w:sz w:val="18"/>
              </w:rPr>
              <w:t>LUT</w:t>
            </w:r>
          </w:p>
        </w:tc>
        <w:tc>
          <w:tcPr>
            <w:tcW w:type="dxa" w:w="3855"/>
            <w:vAlign w:val="center"/>
          </w:tcPr>
          <w:p>
            <w:pPr>
              <w:jc w:val="center"/>
            </w:pPr>
            <w:r/>
            <w:r>
              <w:rPr>
                <w:rFonts w:ascii="宋体" w:hAnsi="宋体" w:eastAsia="宋体"/>
                <w:b w:val="0"/>
                <w:color w:val="000000"/>
                <w:sz w:val="18"/>
              </w:rPr>
              <w:t>17,288 / 19,600（88.20%）</w:t>
            </w:r>
          </w:p>
        </w:tc>
        <w:tc>
          <w:tcPr>
            <w:tcW w:type="dxa" w:w="2665"/>
            <w:vAlign w:val="center"/>
          </w:tcPr>
          <w:p>
            <w:pPr>
              <w:jc w:val="center"/>
            </w:pPr>
            <w:r/>
            <w:r>
              <w:rPr>
                <w:rFonts w:ascii="宋体" w:hAnsi="宋体" w:eastAsia="宋体"/>
                <w:b w:val="0"/>
                <w:color w:val="000000"/>
                <w:sz w:val="18"/>
              </w:rPr>
              <w:t>资源较紧，禁止无依据堆叠功能</w:t>
            </w:r>
          </w:p>
        </w:tc>
      </w:tr>
      <w:tr>
        <w:tc>
          <w:tcPr>
            <w:tcW w:type="dxa" w:w="2268"/>
            <w:vAlign w:val="center"/>
          </w:tcPr>
          <w:p>
            <w:pPr>
              <w:jc w:val="center"/>
            </w:pPr>
            <w:r/>
            <w:r>
              <w:rPr>
                <w:rFonts w:ascii="宋体" w:hAnsi="宋体" w:eastAsia="宋体"/>
                <w:b w:val="0"/>
                <w:color w:val="000000"/>
                <w:sz w:val="18"/>
              </w:rPr>
              <w:t>REG</w:t>
            </w:r>
          </w:p>
        </w:tc>
        <w:tc>
          <w:tcPr>
            <w:tcW w:type="dxa" w:w="3855"/>
            <w:vAlign w:val="center"/>
          </w:tcPr>
          <w:p>
            <w:pPr>
              <w:jc w:val="center"/>
            </w:pPr>
            <w:r/>
            <w:r>
              <w:rPr>
                <w:rFonts w:ascii="宋体" w:hAnsi="宋体" w:eastAsia="宋体"/>
                <w:b w:val="0"/>
                <w:color w:val="000000"/>
                <w:sz w:val="18"/>
              </w:rPr>
              <w:t>8,881 / 19,600（45.31%）</w:t>
            </w:r>
          </w:p>
        </w:tc>
        <w:tc>
          <w:tcPr>
            <w:tcW w:type="dxa" w:w="2665"/>
            <w:vAlign w:val="center"/>
          </w:tcPr>
          <w:p>
            <w:pPr>
              <w:jc w:val="center"/>
            </w:pPr>
            <w:r/>
            <w:r>
              <w:rPr>
                <w:rFonts w:ascii="宋体" w:hAnsi="宋体" w:eastAsia="宋体"/>
                <w:b w:val="0"/>
                <w:color w:val="000000"/>
                <w:sz w:val="18"/>
              </w:rPr>
              <w:t>余量充足</w:t>
            </w:r>
          </w:p>
        </w:tc>
      </w:tr>
      <w:tr>
        <w:tc>
          <w:tcPr>
            <w:tcW w:type="dxa" w:w="2268"/>
            <w:vAlign w:val="center"/>
          </w:tcPr>
          <w:p>
            <w:pPr>
              <w:jc w:val="center"/>
            </w:pPr>
            <w:r/>
            <w:r>
              <w:rPr>
                <w:rFonts w:ascii="宋体" w:hAnsi="宋体" w:eastAsia="宋体"/>
                <w:b w:val="0"/>
                <w:color w:val="000000"/>
                <w:sz w:val="18"/>
              </w:rPr>
              <w:t>BRAM9K</w:t>
            </w:r>
          </w:p>
        </w:tc>
        <w:tc>
          <w:tcPr>
            <w:tcW w:type="dxa" w:w="3855"/>
            <w:vAlign w:val="center"/>
          </w:tcPr>
          <w:p>
            <w:pPr>
              <w:jc w:val="center"/>
            </w:pPr>
            <w:r/>
            <w:r>
              <w:rPr>
                <w:rFonts w:ascii="宋体" w:hAnsi="宋体" w:eastAsia="宋体"/>
                <w:b w:val="0"/>
                <w:color w:val="000000"/>
                <w:sz w:val="18"/>
              </w:rPr>
              <w:t>52 / 64</w:t>
            </w:r>
          </w:p>
        </w:tc>
        <w:tc>
          <w:tcPr>
            <w:tcW w:type="dxa" w:w="2665"/>
            <w:vAlign w:val="center"/>
          </w:tcPr>
          <w:p>
            <w:pPr>
              <w:jc w:val="center"/>
            </w:pPr>
            <w:r/>
            <w:r>
              <w:rPr>
                <w:rFonts w:ascii="宋体" w:hAnsi="宋体" w:eastAsia="宋体"/>
                <w:b w:val="0"/>
                <w:color w:val="000000"/>
                <w:sz w:val="18"/>
              </w:rPr>
              <w:t>满足当前字模与缓存控制</w:t>
            </w:r>
          </w:p>
        </w:tc>
      </w:tr>
      <w:tr>
        <w:tc>
          <w:tcPr>
            <w:tcW w:type="dxa" w:w="2268"/>
            <w:vAlign w:val="center"/>
          </w:tcPr>
          <w:p>
            <w:pPr>
              <w:jc w:val="center"/>
            </w:pPr>
            <w:r/>
            <w:r>
              <w:rPr>
                <w:rFonts w:ascii="宋体" w:hAnsi="宋体" w:eastAsia="宋体"/>
                <w:b w:val="0"/>
                <w:color w:val="000000"/>
                <w:sz w:val="18"/>
              </w:rPr>
              <w:t>BRAM32K</w:t>
            </w:r>
          </w:p>
        </w:tc>
        <w:tc>
          <w:tcPr>
            <w:tcW w:type="dxa" w:w="3855"/>
            <w:vAlign w:val="center"/>
          </w:tcPr>
          <w:p>
            <w:pPr>
              <w:jc w:val="center"/>
            </w:pPr>
            <w:r/>
            <w:r>
              <w:rPr>
                <w:rFonts w:ascii="宋体" w:hAnsi="宋体" w:eastAsia="宋体"/>
                <w:b w:val="0"/>
                <w:color w:val="000000"/>
                <w:sz w:val="18"/>
              </w:rPr>
              <w:t>13 / 16</w:t>
            </w:r>
          </w:p>
        </w:tc>
        <w:tc>
          <w:tcPr>
            <w:tcW w:type="dxa" w:w="2665"/>
            <w:vAlign w:val="center"/>
          </w:tcPr>
          <w:p>
            <w:pPr>
              <w:jc w:val="center"/>
            </w:pPr>
            <w:r/>
            <w:r>
              <w:rPr>
                <w:rFonts w:ascii="宋体" w:hAnsi="宋体" w:eastAsia="宋体"/>
                <w:b w:val="0"/>
                <w:color w:val="000000"/>
                <w:sz w:val="18"/>
              </w:rPr>
              <w:t>满足当前媒体链路</w:t>
            </w:r>
          </w:p>
        </w:tc>
      </w:tr>
      <w:tr>
        <w:tc>
          <w:tcPr>
            <w:tcW w:type="dxa" w:w="2268"/>
            <w:vAlign w:val="center"/>
          </w:tcPr>
          <w:p>
            <w:pPr>
              <w:jc w:val="center"/>
            </w:pPr>
            <w:r/>
            <w:r>
              <w:rPr>
                <w:rFonts w:ascii="宋体" w:hAnsi="宋体" w:eastAsia="宋体"/>
                <w:b w:val="0"/>
                <w:color w:val="000000"/>
                <w:sz w:val="18"/>
              </w:rPr>
              <w:t>DSP</w:t>
            </w:r>
          </w:p>
        </w:tc>
        <w:tc>
          <w:tcPr>
            <w:tcW w:type="dxa" w:w="3855"/>
            <w:vAlign w:val="center"/>
          </w:tcPr>
          <w:p>
            <w:pPr>
              <w:jc w:val="center"/>
            </w:pPr>
            <w:r/>
            <w:r>
              <w:rPr>
                <w:rFonts w:ascii="宋体" w:hAnsi="宋体" w:eastAsia="宋体"/>
                <w:b w:val="0"/>
                <w:color w:val="000000"/>
                <w:sz w:val="18"/>
              </w:rPr>
              <w:t>14 / 29</w:t>
            </w:r>
          </w:p>
        </w:tc>
        <w:tc>
          <w:tcPr>
            <w:tcW w:type="dxa" w:w="2665"/>
            <w:vAlign w:val="center"/>
          </w:tcPr>
          <w:p>
            <w:pPr>
              <w:jc w:val="center"/>
            </w:pPr>
            <w:r/>
            <w:r>
              <w:rPr>
                <w:rFonts w:ascii="宋体" w:hAnsi="宋体" w:eastAsia="宋体"/>
                <w:b w:val="0"/>
                <w:color w:val="000000"/>
                <w:sz w:val="18"/>
              </w:rPr>
              <w:t>保留一定算法扩展余量</w:t>
            </w:r>
          </w:p>
        </w:tc>
      </w:tr>
      <w:tr>
        <w:tc>
          <w:tcPr>
            <w:tcW w:type="dxa" w:w="2268"/>
            <w:vAlign w:val="center"/>
          </w:tcPr>
          <w:p>
            <w:pPr>
              <w:jc w:val="center"/>
            </w:pPr>
            <w:r/>
            <w:r>
              <w:rPr>
                <w:rFonts w:ascii="宋体" w:hAnsi="宋体" w:eastAsia="宋体"/>
                <w:b w:val="0"/>
                <w:color w:val="000000"/>
                <w:sz w:val="18"/>
              </w:rPr>
              <w:t>SWNS / STNS</w:t>
            </w:r>
          </w:p>
        </w:tc>
        <w:tc>
          <w:tcPr>
            <w:tcW w:type="dxa" w:w="3855"/>
            <w:vAlign w:val="center"/>
          </w:tcPr>
          <w:p>
            <w:pPr>
              <w:jc w:val="center"/>
            </w:pPr>
            <w:r/>
            <w:r>
              <w:rPr>
                <w:rFonts w:ascii="宋体" w:hAnsi="宋体" w:eastAsia="宋体"/>
                <w:b w:val="0"/>
                <w:color w:val="000000"/>
                <w:sz w:val="18"/>
              </w:rPr>
              <w:t>+0.134 ns / 0</w:t>
            </w:r>
          </w:p>
        </w:tc>
        <w:tc>
          <w:tcPr>
            <w:tcW w:type="dxa" w:w="2665"/>
            <w:vAlign w:val="center"/>
          </w:tcPr>
          <w:p>
            <w:pPr>
              <w:jc w:val="center"/>
            </w:pPr>
            <w:r/>
            <w:r>
              <w:rPr>
                <w:rFonts w:ascii="宋体" w:hAnsi="宋体" w:eastAsia="宋体"/>
                <w:b w:val="0"/>
                <w:color w:val="000000"/>
                <w:sz w:val="18"/>
              </w:rPr>
              <w:t>建立时间通过</w:t>
            </w:r>
          </w:p>
        </w:tc>
      </w:tr>
      <w:tr>
        <w:tc>
          <w:tcPr>
            <w:tcW w:type="dxa" w:w="2268"/>
            <w:vAlign w:val="center"/>
          </w:tcPr>
          <w:p>
            <w:pPr>
              <w:jc w:val="center"/>
            </w:pPr>
            <w:r/>
            <w:r>
              <w:rPr>
                <w:rFonts w:ascii="宋体" w:hAnsi="宋体" w:eastAsia="宋体"/>
                <w:b w:val="0"/>
                <w:color w:val="000000"/>
                <w:sz w:val="18"/>
              </w:rPr>
              <w:t>HWNS / HTNS</w:t>
            </w:r>
          </w:p>
        </w:tc>
        <w:tc>
          <w:tcPr>
            <w:tcW w:type="dxa" w:w="3855"/>
            <w:vAlign w:val="center"/>
          </w:tcPr>
          <w:p>
            <w:pPr>
              <w:jc w:val="center"/>
            </w:pPr>
            <w:r/>
            <w:r>
              <w:rPr>
                <w:rFonts w:ascii="宋体" w:hAnsi="宋体" w:eastAsia="宋体"/>
                <w:b w:val="0"/>
                <w:color w:val="000000"/>
                <w:sz w:val="18"/>
              </w:rPr>
              <w:t>+0.020 ns / 0</w:t>
            </w:r>
          </w:p>
        </w:tc>
        <w:tc>
          <w:tcPr>
            <w:tcW w:type="dxa" w:w="2665"/>
            <w:vAlign w:val="center"/>
          </w:tcPr>
          <w:p>
            <w:pPr>
              <w:jc w:val="center"/>
            </w:pPr>
            <w:r/>
            <w:r>
              <w:rPr>
                <w:rFonts w:ascii="宋体" w:hAnsi="宋体" w:eastAsia="宋体"/>
                <w:b w:val="0"/>
                <w:color w:val="000000"/>
                <w:sz w:val="18"/>
              </w:rPr>
              <w:t>保持时间通过，余量较小</w:t>
            </w:r>
          </w:p>
        </w:tc>
      </w:tr>
      <w:tr>
        <w:tc>
          <w:tcPr>
            <w:tcW w:type="dxa" w:w="2268"/>
            <w:vAlign w:val="center"/>
          </w:tcPr>
          <w:p>
            <w:pPr>
              <w:jc w:val="center"/>
            </w:pPr>
            <w:r/>
            <w:r>
              <w:rPr>
                <w:rFonts w:ascii="宋体" w:hAnsi="宋体" w:eastAsia="宋体"/>
                <w:b w:val="0"/>
                <w:color w:val="000000"/>
                <w:sz w:val="18"/>
              </w:rPr>
              <w:t>STA覆盖率</w:t>
            </w:r>
          </w:p>
        </w:tc>
        <w:tc>
          <w:tcPr>
            <w:tcW w:type="dxa" w:w="3855"/>
            <w:vAlign w:val="center"/>
          </w:tcPr>
          <w:p>
            <w:pPr>
              <w:jc w:val="center"/>
            </w:pPr>
            <w:r/>
            <w:r>
              <w:rPr>
                <w:rFonts w:ascii="宋体" w:hAnsi="宋体" w:eastAsia="宋体"/>
                <w:b w:val="0"/>
                <w:color w:val="000000"/>
                <w:sz w:val="18"/>
              </w:rPr>
              <w:t>99.84%</w:t>
            </w:r>
          </w:p>
        </w:tc>
        <w:tc>
          <w:tcPr>
            <w:tcW w:type="dxa" w:w="2665"/>
            <w:vAlign w:val="center"/>
          </w:tcPr>
          <w:p>
            <w:pPr>
              <w:jc w:val="center"/>
            </w:pPr>
            <w:r/>
            <w:r>
              <w:rPr>
                <w:rFonts w:ascii="宋体" w:hAnsi="宋体" w:eastAsia="宋体"/>
                <w:b w:val="0"/>
                <w:color w:val="000000"/>
                <w:sz w:val="18"/>
              </w:rPr>
              <w:t>需保留当前约束与种子</w:t>
            </w:r>
          </w:p>
        </w:tc>
      </w:tr>
    </w:tbl>
    <w:p/>
    <w:p>
      <w:pPr>
        <w:keepNext/>
        <w:spacing w:before="120" w:after="80"/>
      </w:pPr>
      <w:r>
        <w:rPr>
          <w:rFonts w:ascii="黑体" w:hAnsi="黑体" w:eastAsia="黑体"/>
          <w:b/>
          <w:color w:val="000000"/>
          <w:sz w:val="24"/>
        </w:rPr>
        <w:t>3.3 仿真与回归</w:t>
      </w:r>
    </w:p>
    <w:p>
      <w:pPr>
        <w:spacing w:line="300" w:lineRule="auto"/>
        <w:ind w:firstLine="420"/>
        <w:jc w:val="both"/>
      </w:pPr>
      <w:r>
        <w:rPr>
          <w:rFonts w:ascii="宋体" w:hAnsi="宋体" w:eastAsia="宋体"/>
          <w:b w:val="0"/>
          <w:sz w:val="21"/>
        </w:rPr>
        <w:t>工程把曾出现的典型问题固化为定向测试：场景切换首帧、音频历史状态清零、显示调节提交、分数弹窗、抢答排名、应急箭头、迎新马赛克、UART配置及低功耗活动使能等。最终发布脚本集中执行12组核心回归；提交前应保留完整PASS日志并再次核对位流哈希。</w:t>
      </w:r>
    </w:p>
    <w:p>
      <w:pPr>
        <w:keepNext/>
        <w:spacing w:before="120" w:after="80"/>
      </w:pPr>
      <w:r>
        <w:rPr>
          <w:rFonts w:ascii="黑体" w:hAnsi="黑体" w:eastAsia="黑体"/>
          <w:b/>
          <w:color w:val="000000"/>
          <w:sz w:val="24"/>
        </w:rPr>
        <w:t>3.4 实板照片与演示证据</w:t>
      </w:r>
    </w:p>
    <w:p>
      <w:pPr>
        <w:spacing w:before="100" w:after="100"/>
        <w:jc w:val="center"/>
      </w:pPr>
      <w:r>
        <w:rPr>
          <w:rFonts w:ascii="宋体" w:hAnsi="宋体" w:eastAsia="宋体"/>
          <w:b/>
          <w:color w:val="C00000"/>
          <w:sz w:val="20"/>
        </w:rPr>
        <w:t>【待插入：作品整体连接照片，画面不得出现学校/指导教师等不相关身份信息】</w:t>
      </w:r>
    </w:p>
    <w:p>
      <w:pPr>
        <w:spacing w:before="100" w:after="100"/>
        <w:jc w:val="center"/>
      </w:pPr>
      <w:r>
        <w:rPr>
          <w:rFonts w:ascii="宋体" w:hAnsi="宋体" w:eastAsia="宋体"/>
          <w:b/>
          <w:color w:val="C00000"/>
          <w:sz w:val="20"/>
        </w:rPr>
        <w:t>【待插入：开发板近景照片，清晰显示板卡、TF卡、HDMI和控制接口】</w:t>
      </w:r>
    </w:p>
    <w:p>
      <w:pPr>
        <w:spacing w:before="100" w:after="100"/>
        <w:jc w:val="center"/>
      </w:pPr>
      <w:r>
        <w:rPr>
          <w:rFonts w:ascii="宋体" w:hAnsi="宋体" w:eastAsia="宋体"/>
          <w:b/>
          <w:color w:val="C00000"/>
          <w:sz w:val="20"/>
        </w:rPr>
        <w:t>【待插入：四场景代表性画面各1张，建议统一拍摄角度与曝光】</w:t>
      </w:r>
    </w:p>
    <w:p>
      <w:pPr>
        <w:keepNext/>
        <w:spacing w:before="120" w:after="80"/>
      </w:pPr>
      <w:r>
        <w:rPr>
          <w:rFonts w:ascii="黑体" w:hAnsi="黑体" w:eastAsia="黑体"/>
          <w:b/>
          <w:color w:val="000000"/>
          <w:sz w:val="24"/>
        </w:rPr>
        <w:t>3.5 待补量化数据</w:t>
      </w:r>
    </w:p>
    <w:tbl>
      <w:tblPr>
        <w:tblW w:type="auto" w:w="0"/>
        <w:jc w:val="center"/>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c>
          <w:tcPr>
            <w:tcW w:type="dxa" w:w="1871"/>
            <w:shd w:fill="1F4E78"/>
            <w:vAlign w:val="center"/>
          </w:tcPr>
          <w:p>
            <w:pPr>
              <w:jc w:val="center"/>
            </w:pPr>
            <w:r/>
            <w:r>
              <w:rPr>
                <w:rFonts w:ascii="宋体" w:hAnsi="宋体" w:eastAsia="宋体"/>
                <w:b/>
                <w:color w:val="FFFFFF"/>
                <w:sz w:val="18"/>
              </w:rPr>
              <w:t>测试项</w:t>
            </w:r>
          </w:p>
        </w:tc>
        <w:tc>
          <w:tcPr>
            <w:tcW w:type="dxa" w:w="3969"/>
            <w:shd w:fill="1F4E78"/>
            <w:vAlign w:val="center"/>
          </w:tcPr>
          <w:p>
            <w:pPr>
              <w:jc w:val="center"/>
            </w:pPr>
            <w:r/>
            <w:r>
              <w:rPr>
                <w:rFonts w:ascii="宋体" w:hAnsi="宋体" w:eastAsia="宋体"/>
                <w:b/>
                <w:color w:val="FFFFFF"/>
                <w:sz w:val="18"/>
              </w:rPr>
              <w:t>建议方法</w:t>
            </w:r>
          </w:p>
        </w:tc>
        <w:tc>
          <w:tcPr>
            <w:tcW w:type="dxa" w:w="2948"/>
            <w:shd w:fill="1F4E78"/>
            <w:vAlign w:val="center"/>
          </w:tcPr>
          <w:p>
            <w:pPr>
              <w:jc w:val="center"/>
            </w:pPr>
            <w:r/>
            <w:r>
              <w:rPr>
                <w:rFonts w:ascii="宋体" w:hAnsi="宋体" w:eastAsia="宋体"/>
                <w:b/>
                <w:color w:val="FFFFFF"/>
                <w:sz w:val="18"/>
              </w:rPr>
              <w:t>报告填写项</w:t>
            </w:r>
          </w:p>
        </w:tc>
      </w:tr>
      <w:tr>
        <w:tc>
          <w:tcPr>
            <w:tcW w:type="dxa" w:w="1871"/>
            <w:vAlign w:val="center"/>
          </w:tcPr>
          <w:p>
            <w:pPr>
              <w:jc w:val="center"/>
            </w:pPr>
            <w:r/>
            <w:r>
              <w:rPr>
                <w:rFonts w:ascii="宋体" w:hAnsi="宋体" w:eastAsia="宋体"/>
                <w:b w:val="0"/>
                <w:color w:val="000000"/>
                <w:sz w:val="18"/>
              </w:rPr>
              <w:t>冷启动</w:t>
            </w:r>
          </w:p>
        </w:tc>
        <w:tc>
          <w:tcPr>
            <w:tcW w:type="dxa" w:w="3969"/>
            <w:vAlign w:val="center"/>
          </w:tcPr>
          <w:p>
            <w:pPr>
              <w:jc w:val="center"/>
            </w:pPr>
            <w:r/>
            <w:r>
              <w:rPr>
                <w:rFonts w:ascii="宋体" w:hAnsi="宋体" w:eastAsia="宋体"/>
                <w:b w:val="0"/>
                <w:color w:val="000000"/>
                <w:sz w:val="18"/>
              </w:rPr>
              <w:t>断电10 s后重复上电50次</w:t>
            </w:r>
          </w:p>
        </w:tc>
        <w:tc>
          <w:tcPr>
            <w:tcW w:type="dxa" w:w="2948"/>
            <w:vAlign w:val="center"/>
          </w:tcPr>
          <w:p>
            <w:pPr>
              <w:jc w:val="center"/>
            </w:pPr>
            <w:r/>
            <w:r>
              <w:rPr>
                <w:rFonts w:ascii="宋体" w:hAnsi="宋体" w:eastAsia="宋体"/>
                <w:b w:val="0"/>
                <w:color w:val="000000"/>
                <w:sz w:val="18"/>
              </w:rPr>
              <w:t>成功次数、首帧异常、平均启动时间</w:t>
            </w:r>
          </w:p>
        </w:tc>
      </w:tr>
      <w:tr>
        <w:tc>
          <w:tcPr>
            <w:tcW w:type="dxa" w:w="1871"/>
            <w:vAlign w:val="center"/>
          </w:tcPr>
          <w:p>
            <w:pPr>
              <w:jc w:val="center"/>
            </w:pPr>
            <w:r/>
            <w:r>
              <w:rPr>
                <w:rFonts w:ascii="宋体" w:hAnsi="宋体" w:eastAsia="宋体"/>
                <w:b w:val="0"/>
                <w:color w:val="000000"/>
                <w:sz w:val="18"/>
              </w:rPr>
              <w:t>长稳</w:t>
            </w:r>
          </w:p>
        </w:tc>
        <w:tc>
          <w:tcPr>
            <w:tcW w:type="dxa" w:w="3969"/>
            <w:vAlign w:val="center"/>
          </w:tcPr>
          <w:p>
            <w:pPr>
              <w:jc w:val="center"/>
            </w:pPr>
            <w:r/>
            <w:r>
              <w:rPr>
                <w:rFonts w:ascii="宋体" w:hAnsi="宋体" w:eastAsia="宋体"/>
                <w:b w:val="0"/>
                <w:color w:val="000000"/>
                <w:sz w:val="18"/>
              </w:rPr>
              <w:t>连续运行≥8 h并自动轮播</w:t>
            </w:r>
          </w:p>
        </w:tc>
        <w:tc>
          <w:tcPr>
            <w:tcW w:type="dxa" w:w="2948"/>
            <w:vAlign w:val="center"/>
          </w:tcPr>
          <w:p>
            <w:pPr>
              <w:jc w:val="center"/>
            </w:pPr>
            <w:r/>
            <w:r>
              <w:rPr>
                <w:rFonts w:ascii="宋体" w:hAnsi="宋体" w:eastAsia="宋体"/>
                <w:b w:val="0"/>
                <w:color w:val="000000"/>
                <w:sz w:val="18"/>
              </w:rPr>
              <w:t>黑屏/花屏/卡死次数、温度</w:t>
            </w:r>
          </w:p>
        </w:tc>
      </w:tr>
      <w:tr>
        <w:tc>
          <w:tcPr>
            <w:tcW w:type="dxa" w:w="1871"/>
            <w:vAlign w:val="center"/>
          </w:tcPr>
          <w:p>
            <w:pPr>
              <w:jc w:val="center"/>
            </w:pPr>
            <w:r/>
            <w:r>
              <w:rPr>
                <w:rFonts w:ascii="宋体" w:hAnsi="宋体" w:eastAsia="宋体"/>
                <w:b w:val="0"/>
                <w:color w:val="000000"/>
                <w:sz w:val="18"/>
              </w:rPr>
              <w:t>坏图/异常介质</w:t>
            </w:r>
          </w:p>
        </w:tc>
        <w:tc>
          <w:tcPr>
            <w:tcW w:type="dxa" w:w="3969"/>
            <w:vAlign w:val="center"/>
          </w:tcPr>
          <w:p>
            <w:pPr>
              <w:jc w:val="center"/>
            </w:pPr>
            <w:r/>
            <w:r>
              <w:rPr>
                <w:rFonts w:ascii="宋体" w:hAnsi="宋体" w:eastAsia="宋体"/>
                <w:b w:val="0"/>
                <w:color w:val="000000"/>
                <w:sz w:val="18"/>
              </w:rPr>
              <w:t>混入损坏、尺寸异常和缺失文件</w:t>
            </w:r>
          </w:p>
        </w:tc>
        <w:tc>
          <w:tcPr>
            <w:tcW w:type="dxa" w:w="2948"/>
            <w:vAlign w:val="center"/>
          </w:tcPr>
          <w:p>
            <w:pPr>
              <w:jc w:val="center"/>
            </w:pPr>
            <w:r/>
            <w:r>
              <w:rPr>
                <w:rFonts w:ascii="宋体" w:hAnsi="宋体" w:eastAsia="宋体"/>
                <w:b w:val="0"/>
                <w:color w:val="000000"/>
                <w:sz w:val="18"/>
              </w:rPr>
              <w:t>跳过时间、是否继续轮播</w:t>
            </w:r>
          </w:p>
        </w:tc>
      </w:tr>
      <w:tr>
        <w:tc>
          <w:tcPr>
            <w:tcW w:type="dxa" w:w="1871"/>
            <w:vAlign w:val="center"/>
          </w:tcPr>
          <w:p>
            <w:pPr>
              <w:jc w:val="center"/>
            </w:pPr>
            <w:r/>
            <w:r>
              <w:rPr>
                <w:rFonts w:ascii="宋体" w:hAnsi="宋体" w:eastAsia="宋体"/>
                <w:b w:val="0"/>
                <w:color w:val="000000"/>
                <w:sz w:val="18"/>
              </w:rPr>
              <w:t>场景切换时延</w:t>
            </w:r>
          </w:p>
        </w:tc>
        <w:tc>
          <w:tcPr>
            <w:tcW w:type="dxa" w:w="3969"/>
            <w:vAlign w:val="center"/>
          </w:tcPr>
          <w:p>
            <w:pPr>
              <w:jc w:val="center"/>
            </w:pPr>
            <w:r/>
            <w:r>
              <w:rPr>
                <w:rFonts w:ascii="宋体" w:hAnsi="宋体" w:eastAsia="宋体"/>
                <w:b w:val="0"/>
                <w:color w:val="000000"/>
                <w:sz w:val="18"/>
              </w:rPr>
              <w:t>60 fps录像逐帧统计</w:t>
            </w:r>
          </w:p>
        </w:tc>
        <w:tc>
          <w:tcPr>
            <w:tcW w:type="dxa" w:w="2948"/>
            <w:vAlign w:val="center"/>
          </w:tcPr>
          <w:p>
            <w:pPr>
              <w:jc w:val="center"/>
            </w:pPr>
            <w:r/>
            <w:r>
              <w:rPr>
                <w:rFonts w:ascii="宋体" w:hAnsi="宋体" w:eastAsia="宋体"/>
                <w:b w:val="0"/>
                <w:color w:val="000000"/>
                <w:sz w:val="18"/>
              </w:rPr>
              <w:t>请求至黑场、请求至目标首帧</w:t>
            </w:r>
          </w:p>
        </w:tc>
      </w:tr>
      <w:tr>
        <w:tc>
          <w:tcPr>
            <w:tcW w:type="dxa" w:w="1871"/>
            <w:vAlign w:val="center"/>
          </w:tcPr>
          <w:p>
            <w:pPr>
              <w:jc w:val="center"/>
            </w:pPr>
            <w:r/>
            <w:r>
              <w:rPr>
                <w:rFonts w:ascii="宋体" w:hAnsi="宋体" w:eastAsia="宋体"/>
                <w:b w:val="0"/>
                <w:color w:val="000000"/>
                <w:sz w:val="18"/>
              </w:rPr>
              <w:t>板级功耗</w:t>
            </w:r>
          </w:p>
        </w:tc>
        <w:tc>
          <w:tcPr>
            <w:tcW w:type="dxa" w:w="3969"/>
            <w:vAlign w:val="center"/>
          </w:tcPr>
          <w:p>
            <w:pPr>
              <w:jc w:val="center"/>
            </w:pPr>
            <w:r/>
            <w:r>
              <w:rPr>
                <w:rFonts w:ascii="宋体" w:hAnsi="宋体" w:eastAsia="宋体"/>
                <w:b w:val="0"/>
                <w:color w:val="000000"/>
                <w:sz w:val="18"/>
              </w:rPr>
              <w:t>同电压下测菜单、四场景及静态状态</w:t>
            </w:r>
          </w:p>
        </w:tc>
        <w:tc>
          <w:tcPr>
            <w:tcW w:type="dxa" w:w="2948"/>
            <w:vAlign w:val="center"/>
          </w:tcPr>
          <w:p>
            <w:pPr>
              <w:jc w:val="center"/>
            </w:pPr>
            <w:r/>
            <w:r>
              <w:rPr>
                <w:rFonts w:ascii="宋体" w:hAnsi="宋体" w:eastAsia="宋体"/>
                <w:b w:val="0"/>
                <w:color w:val="000000"/>
                <w:sz w:val="18"/>
              </w:rPr>
              <w:t>电流、功率、相对基线下降率</w:t>
            </w:r>
          </w:p>
        </w:tc>
      </w:tr>
    </w:tbl>
    <w:p/>
    <w:p>
      <w:pPr>
        <w:keepNext/>
        <w:spacing w:before="200" w:after="80"/>
      </w:pPr>
      <w:r>
        <w:rPr>
          <w:rFonts w:ascii="黑体" w:hAnsi="黑体" w:eastAsia="黑体"/>
          <w:b/>
          <w:color w:val="17365D"/>
          <w:sz w:val="32"/>
        </w:rPr>
        <w:t>第四部分  总结与展望</w:t>
      </w:r>
    </w:p>
    <w:p>
      <w:pPr>
        <w:keepNext/>
        <w:spacing w:before="120" w:after="80"/>
      </w:pPr>
      <w:r>
        <w:rPr>
          <w:rFonts w:ascii="黑体" w:hAnsi="黑体" w:eastAsia="黑体"/>
          <w:b/>
          <w:color w:val="000000"/>
          <w:sz w:val="24"/>
        </w:rPr>
        <w:t>4.1 项目总结</w:t>
      </w:r>
    </w:p>
    <w:p>
      <w:pPr>
        <w:spacing w:line="300" w:lineRule="auto"/>
        <w:ind w:firstLine="420"/>
        <w:jc w:val="both"/>
      </w:pPr>
      <w:r>
        <w:rPr>
          <w:rFonts w:ascii="宋体" w:hAnsi="宋体" w:eastAsia="宋体"/>
          <w:b w:val="0"/>
          <w:sz w:val="21"/>
        </w:rPr>
        <w:t>作品已从单一图片播放例程演进为可稳定运行的多场景校园音视频终端。核心价值并非简单叠加功能，而是通过统一架构将媒体读取、帧缓存、OSD、音频和外设配置组织成可验证的硬件流水线，并针对真实上板问题建立帧边界提交、首帧门控、异常恢复和定向回归。最终工程在器件资源较紧的条件下实现时序通过，具备继续产品化展示和形成答辩证据链的基础。</w:t>
      </w:r>
    </w:p>
    <w:p>
      <w:pPr>
        <w:keepNext/>
        <w:spacing w:before="120" w:after="80"/>
      </w:pPr>
      <w:r>
        <w:rPr>
          <w:rFonts w:ascii="黑体" w:hAnsi="黑体" w:eastAsia="黑体"/>
          <w:b/>
          <w:color w:val="000000"/>
          <w:sz w:val="24"/>
        </w:rPr>
        <w:t>4.2 可扩展性</w:t>
      </w:r>
    </w:p>
    <w:p>
      <w:pPr>
        <w:spacing w:line="300" w:lineRule="auto"/>
        <w:ind w:firstLine="420"/>
        <w:jc w:val="both"/>
      </w:pPr>
      <w:r>
        <w:rPr>
          <w:rFonts w:ascii="宋体" w:hAnsi="宋体" w:eastAsia="宋体"/>
          <w:b w:val="0"/>
          <w:sz w:val="21"/>
        </w:rPr>
        <w:t>后续不再盲目增加场景，而应优先完成板级功耗、冷启动、长稳和时延量化；若确需扩展，可在不增加帧缓存的前提下复用现有OSD与像素流水线，增加主题包或协议命令。双屏输出、复杂滤镜等高资源功能需先做资源和时序预算，再决定是否迁移到更大器件。</w:t>
      </w:r>
    </w:p>
    <w:p>
      <w:pPr>
        <w:keepNext/>
        <w:spacing w:before="120" w:after="80"/>
      </w:pPr>
      <w:r>
        <w:rPr>
          <w:rFonts w:ascii="黑体" w:hAnsi="黑体" w:eastAsia="黑体"/>
          <w:b/>
          <w:color w:val="000000"/>
          <w:sz w:val="24"/>
        </w:rPr>
        <w:t>4.3 经验与体会</w:t>
      </w:r>
    </w:p>
    <w:p>
      <w:pPr>
        <w:spacing w:line="300" w:lineRule="auto"/>
        <w:ind w:firstLine="420"/>
        <w:jc w:val="both"/>
      </w:pPr>
      <w:r>
        <w:rPr>
          <w:rFonts w:ascii="宋体" w:hAnsi="宋体" w:eastAsia="宋体"/>
          <w:b w:val="0"/>
          <w:sz w:val="21"/>
        </w:rPr>
        <w:t>FPGA产品化的关键是把“能显示”转化为“任何时刻都按预期显示”。本项目中最难的问题多来自跨时钟域、场景状态与像素帧边界不同步，而不是单个算法模块。实践表明：先确定稳定事务边界，再做局部算法优化；先为故障建立可复现仿真，再修改RTL；任何资源优化都必须通过等价测试、完整回归、实现报告和实板复核四道门。低功耗设计也不应采用危险的组合门控时钟，而应利用FPGA寄存器时钟使能、有效区活动窗口和数据冻结减少翻转。通过这些方法，工程在保持原有展示效果的同时提升了稳定性、可维护性和答辩可解释性。</w:t>
      </w:r>
    </w:p>
    <w:p>
      <w:pPr>
        <w:keepNext/>
        <w:spacing w:before="200" w:after="80"/>
      </w:pPr>
      <w:r>
        <w:rPr>
          <w:rFonts w:ascii="黑体" w:hAnsi="黑体" w:eastAsia="黑体"/>
          <w:b/>
          <w:color w:val="17365D"/>
          <w:sz w:val="32"/>
        </w:rPr>
        <w:t>第五部分  参考文献</w:t>
      </w:r>
    </w:p>
    <w:p>
      <w:pPr>
        <w:spacing w:line="300" w:lineRule="auto"/>
        <w:jc w:val="both"/>
      </w:pPr>
      <w:r>
        <w:rPr>
          <w:rFonts w:ascii="宋体" w:hAnsi="宋体" w:eastAsia="宋体"/>
          <w:b w:val="0"/>
          <w:sz w:val="21"/>
        </w:rPr>
        <w:t>[1] 竞赛组委会. FPGA创新设计赛道赛题一及作品上传要求.</w:t>
      </w:r>
    </w:p>
    <w:p>
      <w:pPr>
        <w:spacing w:line="300" w:lineRule="auto"/>
        <w:jc w:val="both"/>
      </w:pPr>
      <w:r>
        <w:rPr>
          <w:rFonts w:ascii="宋体" w:hAnsi="宋体" w:eastAsia="宋体"/>
          <w:b w:val="0"/>
          <w:sz w:val="21"/>
        </w:rPr>
        <w:t>[2] 安路科技. EG4S20系列FPGA器件及TangDynasty开发工具相关资料.</w:t>
      </w:r>
    </w:p>
    <w:p>
      <w:pPr>
        <w:spacing w:line="300" w:lineRule="auto"/>
        <w:jc w:val="both"/>
      </w:pPr>
      <w:r>
        <w:rPr>
          <w:rFonts w:ascii="宋体" w:hAnsi="宋体" w:eastAsia="宋体"/>
          <w:b w:val="0"/>
          <w:sz w:val="21"/>
        </w:rPr>
        <w:t>[3] HDMI Specification, video timing and audio transport references.</w:t>
      </w:r>
    </w:p>
    <w:p>
      <w:pPr>
        <w:spacing w:line="300" w:lineRule="auto"/>
        <w:jc w:val="both"/>
      </w:pPr>
      <w:r>
        <w:rPr>
          <w:rFonts w:ascii="宋体" w:hAnsi="宋体" w:eastAsia="宋体"/>
          <w:b w:val="0"/>
          <w:sz w:val="21"/>
        </w:rPr>
        <w:t>[4] Microsoft. FAT32 File System Specification.</w:t>
      </w:r>
    </w:p>
    <w:p>
      <w:pPr>
        <w:spacing w:line="300" w:lineRule="auto"/>
        <w:jc w:val="both"/>
      </w:pPr>
      <w:r>
        <w:rPr>
          <w:rFonts w:ascii="宋体" w:hAnsi="宋体" w:eastAsia="宋体"/>
          <w:b w:val="0"/>
          <w:sz w:val="21"/>
        </w:rPr>
        <w:t>[5] IEEE. Standard Verilog Hardware Description Language.</w:t>
      </w:r>
    </w:p>
    <w:p>
      <w:pPr>
        <w:spacing w:line="300" w:lineRule="auto"/>
        <w:jc w:val="both"/>
      </w:pPr>
      <w:r>
        <w:rPr>
          <w:rFonts w:ascii="宋体" w:hAnsi="宋体" w:eastAsia="宋体"/>
          <w:b w:val="0"/>
          <w:sz w:val="21"/>
        </w:rPr>
        <w:t>[6] 项目配套课程资料. 媒体读取、图像缓存、HDMI显示、固化与工程优化章节.</w:t>
      </w:r>
    </w:p>
    <w:p>
      <w:pPr>
        <w:keepNext/>
        <w:spacing w:before="200" w:after="80"/>
      </w:pPr>
      <w:r>
        <w:rPr>
          <w:rFonts w:ascii="黑体" w:hAnsi="黑体" w:eastAsia="黑体"/>
          <w:b/>
          <w:color w:val="17365D"/>
          <w:sz w:val="32"/>
        </w:rPr>
        <w:t>附录A  交付文件与复现说明</w:t>
      </w:r>
    </w:p>
    <w:p>
      <w:pPr>
        <w:spacing w:line="300" w:lineRule="auto"/>
        <w:ind w:firstLine="420"/>
        <w:jc w:val="both"/>
      </w:pPr>
      <w:r>
        <w:rPr>
          <w:rFonts w:ascii="宋体" w:hAnsi="宋体" w:eastAsia="宋体"/>
          <w:b w:val="0"/>
          <w:sz w:val="21"/>
        </w:rPr>
        <w:t>交付目录包含唯一推荐位流、与其同一次实现对应的面积/时序报告、验证说明、数据采集模板、赛题要求和未修改的设计报告模板。烧录时仅选择 01_bitstream 目录中的唯一位流；固化模式选择 PROGRAM_FLASH，并在断电重启后复核四场景。源代码以GitHub新分支为准，发布前通过SHA-256核对文件一致性。</w:t>
      </w:r>
    </w:p>
    <w:p>
      <w:pPr>
        <w:keepNext/>
        <w:spacing w:before="200" w:after="80"/>
      </w:pPr>
      <w:r>
        <w:rPr>
          <w:rFonts w:ascii="黑体" w:hAnsi="黑体" w:eastAsia="黑体"/>
          <w:b/>
          <w:color w:val="17365D"/>
          <w:sz w:val="32"/>
        </w:rPr>
        <w:t>附录B  提交前检查</w:t>
      </w:r>
    </w:p>
    <w:p>
      <w:pPr>
        <w:spacing w:line="288" w:lineRule="auto"/>
        <w:ind w:left="454" w:hanging="198"/>
      </w:pPr>
      <w:r>
        <w:rPr>
          <w:rFonts w:ascii="宋体" w:hAnsi="宋体" w:eastAsia="宋体"/>
          <w:b w:val="0"/>
          <w:sz w:val="21"/>
        </w:rPr>
        <w:t>• 补齐板级功耗、50次冷启动、8小时长稳和切换时延数据；</w:t>
      </w:r>
    </w:p>
    <w:p>
      <w:pPr>
        <w:spacing w:line="288" w:lineRule="auto"/>
        <w:ind w:left="454" w:hanging="198"/>
      </w:pPr>
      <w:r>
        <w:rPr>
          <w:rFonts w:ascii="宋体" w:hAnsi="宋体" w:eastAsia="宋体"/>
          <w:b w:val="0"/>
          <w:sz w:val="21"/>
        </w:rPr>
        <w:t>• 插入作品整体、开发板近景、四场景和团队照片；</w:t>
      </w:r>
    </w:p>
    <w:p>
      <w:pPr>
        <w:spacing w:line="288" w:lineRule="auto"/>
        <w:ind w:left="454" w:hanging="198"/>
      </w:pPr>
      <w:r>
        <w:rPr>
          <w:rFonts w:ascii="宋体" w:hAnsi="宋体" w:eastAsia="宋体"/>
          <w:b w:val="0"/>
          <w:sz w:val="21"/>
        </w:rPr>
        <w:t>• 制作不超过3分钟、H.264编码、300 MB以内的功能演示视频；</w:t>
      </w:r>
    </w:p>
    <w:p>
      <w:pPr>
        <w:spacing w:line="288" w:lineRule="auto"/>
        <w:ind w:left="454" w:hanging="198"/>
      </w:pPr>
      <w:r>
        <w:rPr>
          <w:rFonts w:ascii="宋体" w:hAnsi="宋体" w:eastAsia="宋体"/>
          <w:b w:val="0"/>
          <w:sz w:val="21"/>
        </w:rPr>
        <w:t>• 将重要代码压缩为100 MB以内RAR，并检查不包含缓存、失败位流和个人隐私；</w:t>
      </w:r>
    </w:p>
    <w:p>
      <w:pPr>
        <w:spacing w:line="288" w:lineRule="auto"/>
        <w:ind w:left="454" w:hanging="198"/>
      </w:pPr>
      <w:r>
        <w:rPr>
          <w:rFonts w:ascii="宋体" w:hAnsi="宋体" w:eastAsia="宋体"/>
          <w:b w:val="0"/>
          <w:sz w:val="21"/>
        </w:rPr>
        <w:t>• 设计报告导出PDF并控制在50 MB以内，最终核对不出现学校和指导教师信息。</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宋体" w:hAnsi="宋体" w:eastAsia="宋体"/>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参赛团队</dc:creator>
  <cp:lastModifiedBy>xh</cp:lastModifiedBy>
  <dcterms:modified xsi:type="dcterms:W3CDTF">2025-10-14T06:21:24Z</dcterms:modified>
  <cp:revision>3</cp:revision>
  <dc:title>基于FPGA的校园多场景音视频信息终端—作品设计报告</dc:title>
  <dc:subject>FPGA创新设计赛道作品设计报告</dc:subject>
  <cp:keywords>FPGA, HDMI, SDRAM, 多场景, 低功耗, 鲁棒性</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