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40"/>
        </w:rPr>
        <w:t>《移动应用开发》实验报告</w:t>
      </w:r>
    </w:p>
    <w:p>
      <w:pPr>
        <w:jc w:val="center"/>
      </w:pPr>
      <w:r>
        <w:rPr>
          <w:rFonts w:ascii="Times New Roman" w:hAnsi="Times New Roman" w:eastAsia="黑体"/>
          <w:b/>
          <w:sz w:val="30"/>
        </w:rPr>
        <w:t>实验六  WebRTC 实时通信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姓名</w:t>
            </w:r>
          </w:p>
        </w:tc>
        <w:tc>
          <w:tcPr>
            <w:tcW w:type="dxa" w:w="207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李春雨</w:t>
            </w:r>
          </w:p>
        </w:tc>
        <w:tc>
          <w:tcPr>
            <w:tcW w:type="dxa" w:w="2075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学号</w:t>
            </w:r>
          </w:p>
        </w:tc>
        <w:tc>
          <w:tcPr>
            <w:tcW w:type="dxa" w:w="207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202305567128</w:t>
            </w:r>
          </w:p>
        </w:tc>
      </w:tr>
      <w:tr>
        <w:tc>
          <w:tcPr>
            <w:tcW w:type="dxa" w:w="2075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班级</w:t>
            </w:r>
          </w:p>
        </w:tc>
        <w:tc>
          <w:tcPr>
            <w:tcW w:type="dxa" w:w="207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计科2班</w:t>
            </w:r>
          </w:p>
        </w:tc>
        <w:tc>
          <w:tcPr>
            <w:tcW w:type="dxa" w:w="2075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完成日期</w:t>
            </w:r>
          </w:p>
        </w:tc>
        <w:tc>
          <w:tcPr>
            <w:tcW w:type="dxa" w:w="207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2026-09-30</w:t>
            </w:r>
          </w:p>
        </w:tc>
      </w:tr>
      <w:tr>
        <w:tc>
          <w:tcPr>
            <w:tcW w:type="dxa" w:w="2075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专业</w:t>
            </w:r>
          </w:p>
        </w:tc>
        <w:tc>
          <w:tcPr>
            <w:tcW w:type="dxa" w:w="207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计算机科学与技术</w:t>
            </w:r>
          </w:p>
        </w:tc>
        <w:tc>
          <w:tcPr>
            <w:tcW w:type="dxa" w:w="2075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课程</w:t>
            </w:r>
          </w:p>
        </w:tc>
        <w:tc>
          <w:tcPr>
            <w:tcW w:type="dxa" w:w="207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移动应用开发</w:t>
            </w:r>
          </w:p>
        </w:tc>
      </w:tr>
      <w:tr>
        <w:tc>
          <w:tcPr>
            <w:tcW w:type="dxa" w:w="2075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实验编号</w:t>
            </w:r>
          </w:p>
        </w:tc>
        <w:tc>
          <w:tcPr>
            <w:tcW w:type="dxa" w:w="207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实验六</w:t>
            </w:r>
          </w:p>
        </w:tc>
        <w:tc>
          <w:tcPr>
            <w:tcW w:type="dxa" w:w="2075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实验名称</w:t>
            </w:r>
          </w:p>
        </w:tc>
        <w:tc>
          <w:tcPr>
            <w:tcW w:type="dxa" w:w="207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WebRTC 实时通信</w:t>
            </w:r>
          </w:p>
        </w:tc>
      </w:tr>
    </w:tbl>
    <w:p/>
    <w:p>
      <w:pPr>
        <w:spacing w:before="320" w:after="200"/>
      </w:pPr>
      <w:r>
        <w:rPr>
          <w:rFonts w:ascii="Times New Roman" w:hAnsi="Times New Roman" w:eastAsia="黑体"/>
          <w:b/>
          <w:sz w:val="32"/>
        </w:rPr>
        <w:t>一、实验目标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1. 获得摄像头/麦克风权限，理解 MediaStream 的获取与绑定过程。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2. 理解 RTCPeerConnection 的建立过程，包括 createOffer/createAnswer、setLocalDescription/setRemoteDescription。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3. 通过 WebSocket(Socket.io) 观察 Offer/Answer/ICE candidate 的信令交换流程。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4. 理解安全上下文(HTTPS/WSS)、权限策略与 STUN/TURN 的作用边界。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5. 在 onicecandidate/ontrack 回调中增加自定义日志，区分信令各阶段。</w:t>
      </w:r>
    </w:p>
    <w:p>
      <w:pPr>
        <w:spacing w:before="320" w:after="200"/>
      </w:pPr>
      <w:r>
        <w:rPr>
          <w:rFonts w:ascii="Times New Roman" w:hAnsi="Times New Roman" w:eastAsia="黑体"/>
          <w:b/>
          <w:sz w:val="32"/>
        </w:rPr>
        <w:t>二、实验环境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信息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操作系统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Windows 11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运行环境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Node.js v24.12.0 + Express 4.18 + Socket.io 3.0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浏览器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Chromium 内核浏览器(支持 WebRTC API)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信令服务器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Express + Socket.io(localhost:8181,仅转发 SDP/ICE)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WebRTC 配置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STUN: stun:ss-turn1.xirsys.com; TURN: ss-turn1.xirsys.com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前端依赖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Socket.io 3.0.4 客户端 + jQuery 3.4.1(CDN)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验证方式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同机两个浏览器标签页完成 P2P 通话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报告工具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python-docx 1.2.0(WPS 兼容版式)</w:t>
            </w:r>
          </w:p>
        </w:tc>
      </w:tr>
    </w:tbl>
    <w:p>
      <w:pPr>
        <w:spacing w:before="320" w:after="200"/>
      </w:pPr>
      <w:r>
        <w:rPr>
          <w:rFonts w:ascii="Times New Roman" w:hAnsi="Times New Roman" w:eastAsia="黑体"/>
          <w:b/>
          <w:sz w:val="32"/>
        </w:rPr>
        <w:t>三、设计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3.1 项目结构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工程分为信令服务器(server.js)和前端页面(public/index.html)两部分。信令服务器仅负责转发协商消息，不参与音视频传输。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lab6-webrtc/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├── server.js          # Express + Socket.io 信令服务器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│                        转发: new user / SDP / ICE candidate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├── package.json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├── public/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│   └── index.html     # 前端: getUserMedia + RTCPeerConnection + Socket.io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└── docs/              # 报告 + 截图 + 生成脚本</w:t>
      </w:r>
    </w:p>
    <w:p/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3.2 A/B/Signaling 三者交互流程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WebRTC 通话需要信令服务器协调双方交换 SDP(Session Description Protocol)和 ICE candidate，但信令服务器本身不传输音视频——媒体流走 P2P 直连。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1453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_fig_signal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145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楷体"/>
          <w:b w:val="0"/>
          <w:color w:val="777777"/>
          <w:sz w:val="18"/>
        </w:rPr>
        <w:t>图3-1  A/B/Signaling 三者交互流程图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3.3 核心对象职责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对象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职责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是否传输媒体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getUserMedia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获取本地摄像头/麦克风 MediaStream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否(仅获取)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RTCPeerConnection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建立 P2P 连接，协商编码器/传输音视频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是(P2P 直连)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Socket.io(信令)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转发 SDP offer/answer 和 ICE candidate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否(仅转发协商消息)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STUN 服务器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帮助端点发现自己的公网地址(NAT 穿透)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否(仅地址发现)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TURN 服务器</w:t>
            </w:r>
          </w:p>
        </w:tc>
        <w:tc>
          <w:tcPr>
            <w:tcW w:type="dxa" w:w="453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在 P2P 不通时作为中继转发媒体流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是(中继)</w:t>
            </w:r>
          </w:p>
        </w:tc>
      </w:tr>
    </w:tbl>
    <w:p>
      <w:pPr>
        <w:spacing w:before="320" w:after="200"/>
      </w:pPr>
      <w:r>
        <w:rPr>
          <w:rFonts w:ascii="Times New Roman" w:hAnsi="Times New Roman" w:eastAsia="黑体"/>
          <w:b/>
          <w:sz w:val="32"/>
        </w:rPr>
        <w:t>四、实现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4.1 信令服务器(server.js)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信令服务器用 Express 提供静态页面，用 Socket.io 转发四类消息：新用户上线、确认连接、SDP 交换、ICE candidate 交换。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io.on('connection', (socket) =&gt;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// 1) 新用户上线，广播给其他人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socket.on('new user greet', (data) =&gt;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socket.broadcast.emit('need connect', data)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})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// 2) 转发 SDP(offer / answer)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socket.on('sdp', (data) =&gt;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io.to(data.to).emit('sdp', data)  // 只转发不处理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})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// 3) 转发 ICE candidate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socket.on('ice candidates', (data) =&gt;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io.to(data.to).emit('ice candidates', data)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})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})</w:t>
      </w:r>
    </w:p>
    <w:p/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4.2 获取本地媒体(步骤 36)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使用 navigator.mediaDevices.getUserMedia 获取音视频流，绑定到 localVideo 元素。权限被拒绝时弹出 alert 提示。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function InitCamera()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getUserMedia({ video: true, audio: true }, (stream) =&gt;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localStream = stream;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localVideoElm.srcObject = stream;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}, (err) =&gt;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alert('摄像头/麦克风权限被拒绝，请允许后刷新')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})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}</w:t>
      </w:r>
    </w:p>
    <w:p/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4.3 RTCPeerConnection 与信令交换(步骤 38)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呼叫方创建 Offer 并通过信令服务器发送；被叫方收到后创建 Answer 回传。双方交换 ICE candidate 以找到可连通路径。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pc[parterName] = new RTCPeerConnection(iceServer)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localStream.getTracks().forEach(track =&gt; pc[parterName].addTrack(track, localStream))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// 呼叫方: createOffer -&gt; setLocalDescription -&gt; 通过信令发送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pc[parterName].onnegotiationneeded = () =&gt;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pc[parterName].createOffer().then(offer =&gt; pc[parterName].setLocalDescription(offer))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.then(() =&gt; socket.emit('sdp', { description: pc[parterName].localDescription, to: parterName }))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// 被叫方收到 offer: setRemoteDescription -&gt; createAnswer -&gt; setLocalDescription -&gt; 回传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pc[data.sender].setRemoteDescription(desc).then(() =&gt; pc[data.sender].createAnswer())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.then(answer =&gt; pc[data.sender].setLocalDescription(answer))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.then(() =&gt; socket.emit('sdp', { description: pc[data.sender].localDescription, to: data.sender }))</w:t>
      </w:r>
    </w:p>
    <w:p/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4.4 自定义日志(步骤 39)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在 onicecandidate 和 ontrack 回调中添加了带颜色和步骤编号的自定义日志，便于在控制台区分 ICE 协商、媒体接收等不同阶段。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pc[parterName].onicecandidate = ({ candidate }) =&gt;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if (candidate)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console.log('[步骤39-ICE] onicecandidate 触发，候选地址: ' + candidate.candidate)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socket.emit('ice candidates', { candidate, to: parterName, sender: socket.id })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} else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console.log('[步骤39-ICE] candidate 为 null —— 本轮 ICE 协商结束')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}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pc[parterName].ontrack = (ev) =&gt;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console.log('[步骤39-TRACK] ontrack 触发，track kind=' + ev.track.kind)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document.getElementById(parterName + '-video').srcObject = ev.streams[0]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}</w:t>
      </w:r>
    </w:p>
    <w:p/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4.5 连接状态监听与挂断(步骤 40)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监听 oniceconnectionstatechange，在 disconnected/failed 时关闭 RTCPeerConnection。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pc[parterName].oniceconnectionstatechange = () =&gt;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console.log('[步骤40-ICE状态] ' + pc[parterName].iceConnectionState)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if (pc[parterName].iceConnectionState === 'disconnected')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pc[parterName].close()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delete pc[parterName]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}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}</w:t>
      </w:r>
    </w:p>
    <w:p/>
    <w:p>
      <w:pPr>
        <w:spacing w:before="320" w:after="200"/>
      </w:pPr>
      <w:r>
        <w:rPr>
          <w:rFonts w:ascii="Times New Roman" w:hAnsi="Times New Roman" w:eastAsia="黑体"/>
          <w:b/>
          <w:sz w:val="32"/>
        </w:rPr>
        <w:t>五、实验结果(浏览器双标签页)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5.1 本地视频显示(步骤 36)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标签页1打开 localhost:8181，授权摄像头后本地视频正常显示，页面标题显示当前 socket.id。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5481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_tab1_loc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48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楷体"/>
          <w:b w:val="0"/>
          <w:color w:val="777777"/>
          <w:sz w:val="18"/>
        </w:rPr>
        <w:t>图5-1  标签页1:本地视频正常显示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5.2 双标签页在线(步骤 37)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标签页2打开同一地址，也获取到本地视频。用户列表中互相可见对方 socket.id 和"通话"按钮。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5481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_tab2_loc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48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楷体"/>
          <w:b w:val="0"/>
          <w:color w:val="777777"/>
          <w:sz w:val="18"/>
        </w:rPr>
        <w:t>图5-2  标签页2:本地视频正常，用户列表显示对方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5.3 通话建立(步骤 38)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在标签页1点击"通话"按钮呼叫标签页2，WebRTC 完成 Offer/Answer/ICE 协商后，双方均可在页面下方看到对方的远程视频画面。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54811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_call_st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48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楷体"/>
          <w:b w:val="0"/>
          <w:color w:val="777777"/>
          <w:sz w:val="18"/>
        </w:rPr>
        <w:t>图5-3  通话建立:页面下方显示远程视频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5.4 控制台日志:区分 Offer/Answer/Candidate(步骤 39)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控制台共输出 18 条日志，完整覆盖信令交换全流程：createOffer → 发送 Offer → ICE candidate 生成(6 条 host candidate) → 收到 Answer → setRemoteDescription → ICE 状态 checking → 收到远端 candidate → ontrack(audio+video) → ICE connected → 协商结束。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6854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_fig_conso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85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楷体"/>
          <w:b w:val="0"/>
          <w:color w:val="777777"/>
          <w:sz w:val="18"/>
        </w:rPr>
        <w:t>图5-4  控制台日志:完整信令流程(18条)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关键日志解读: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- Offer 阶段: onnegotiationneeded 触发 → createOffer → setLocalDescription → 通过信令服务器发送给被叫方。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- Answer 阶段: 被叫方 setRemoteDescription(offer) → createAnswer → setLocalDescription → 回传给呼叫方。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- ICE candidate 阶段: onicecandidate 触发 6 次(3 个本地 IP 各 2 次)，最后一条 candidate 为 null 表示协商结束。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- Track 阶段: ontrack 触发 2 次，分别收到 audio 和 video 远端媒体流。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- ICE 状态: checking → connected，表示 P2P 连接已建立。</w:t>
      </w:r>
    </w:p>
    <w:p>
      <w:pPr>
        <w:spacing w:before="320" w:after="200"/>
      </w:pPr>
      <w:r>
        <w:rPr>
          <w:rFonts w:ascii="Times New Roman" w:hAnsi="Times New Roman" w:eastAsia="黑体"/>
          <w:b/>
          <w:sz w:val="32"/>
        </w:rPr>
        <w:t>六、STUN 与 TURN 的不同用途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STUN(Session Traversal Utilities for NAT)和 TURN(Traversal Using Relays around NAT)都是 NAT 穿透技术，但用途不同：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STUN 的作用是"地址发现"：位于 NAT 后的设备通过向 STUN 服务器发送请求，得知自己的公网 IP 和端口(反射地址)。这个地址会被作为 ICE candidate 交换给对端，对端可以直接向这个公网地址发媒体包。STUN 本身不转发任何媒体数据，它只在连接初期提供一次地址查询服务。适用于大多数 NAT 类型(如圆锥型 NAT)。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TURN 的作用是"中继转发"：当两端 NAT 类型不兼容(如对称型 NAT)或防火墙阻止 P2P 直连时，TURN 服务器作为中继，把双方的媒体流转发给对方。TURN 是最后的兜底方案，因为中继会占用服务器带宽和延迟，应尽量避免。本实验代码中同时配置了 STUN 和 TURN：STUN 优先用于地址发现，TURN 在直连不通时自动接管中继。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1701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维度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STUN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TURN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用途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地址发现(得知公网 IP)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中继转发(转发媒体流)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是否转发媒体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否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是(带宽消耗大)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使用时机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优先使用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P2P 不通时兜底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网络要求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低(仅查询)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高(持续转发)</w:t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NAT 兼容性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圆锥型 NAT 可用</w:t>
            </w:r>
          </w:p>
        </w:tc>
        <w:tc>
          <w:tcPr>
            <w:tcW w:type="dxa" w:w="3402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所有 NAT 类型可用</w:t>
            </w:r>
          </w:p>
        </w:tc>
      </w:tr>
    </w:tbl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跨设备通信需要 HTTPS/WSS 的原因：getUserMedia API 只在安全上下文(HTTPS 或 localhost)下可用，HTTP 站点会直接被浏览器拒绝摄像头权限。WSS(WebSocket Secure)保证信令消息在传输中不被窃听篡改，与 WebRTC 内置的 DTLS-SRTP 加密共同保障通信安全。</w:t>
      </w:r>
    </w:p>
    <w:p>
      <w:pPr>
        <w:spacing w:before="320" w:after="200"/>
      </w:pPr>
      <w:r>
        <w:rPr>
          <w:rFonts w:ascii="Times New Roman" w:hAnsi="Times New Roman" w:eastAsia="黑体"/>
          <w:b/>
          <w:sz w:val="32"/>
        </w:rPr>
        <w:t>七、故障与调试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1. 端口冲突: server.js 初次启动时 8080 端口被其他进程占用，改为 8181 后正常启动。排查用 netstat -ano | findstr :8080 定位占用 PID。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2. Socket.io 版本: package.json 中 socket.io 版本需与前端 CDN 的 socket.io.js 版本匹配(3.0.4)，不匹配时前端连接会报 protocol mismatch 错误。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3. CDN 引用: 前端代码中 Socket.io 和 jQuery 的 CDN 引用地址最初被反引号包裹导致无法加载，去掉反引号后正常加载。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4. ICE candidate 重复: 日志中观察到每个本地 IP 生成 2 次 host candidate(端口递增)，这是因为 RTCPeerConnection 会为每个网络接口尝试多个端口。属于正常行为。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5. 权限拒绝处理: 当浏览器拒绝摄像头权限时，getUserMedia 的 error 回调被触发，代码中用 alert 弹出提示。在沙箱环境(非 HTTPS)下 getUserMedia 也会失败，需在 localhost 或 HTTPS 下运行。</w:t>
      </w:r>
    </w:p>
    <w:p>
      <w:pPr>
        <w:spacing w:before="320" w:after="200"/>
      </w:pPr>
      <w:r>
        <w:rPr>
          <w:rFonts w:ascii="Times New Roman" w:hAnsi="Times New Roman" w:eastAsia="黑体"/>
          <w:b/>
          <w:sz w:val="32"/>
        </w:rPr>
        <w:t>八、思考与收获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本实验通过双标签页 WebRTC 通话，完整走过了信令交换→媒体协商→P2P 连接建立的全流程。最核心的理解是：信令服务器只负责"协调双方认识对方"，不参与实际音视频传输；音视频流通过 RTCPeerConnection 走 P2P 直连，这是 WebRTC 区别于传统流媒体服务器的关键。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onicecandidate/ontrack 回调是理解 ICE 协商过程的关键入口。onicecandidate 在本地收集到候选地址时触发，需通过信令转发给远端；ontrack 在远端媒体到达时触发，此时可以绑定到 video 元素显示。candidate 为 null 标志一轮 ICE 收集结束，这是一个容易忽略但重要的信号。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STUN 与 TURN 的分工体现了"先尝试直连，兜底中继"的工程哲学：尽可能走 P2P(低延迟、省带宽)，实在不通才用 TURN 中继(保证可用性)。这种分层兜底设计在分布式系统中非常常见。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