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04216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04216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0421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04216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ReactJS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50C5C49C" w14:textId="2BF2E668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04216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 tesztekre nem született konkrét döntés. (Lehetséges eszközök: Vitest, Jest, Playwright, Cypress)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GitHub issues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04216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042167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042168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042169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04217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042171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042172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042173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0421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04217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04217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iable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04217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04217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0421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04218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04218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04218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042183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0421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042185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042186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042187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Supabase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04218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042189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080263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</w:t>
      </w:r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entries tábla a felhasználói szokások bejegyzéseit tárolja, időponttal és típussal ellátva, összekapcsolva azokat más táblákkal, különösen a habits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time_of_entry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entry_type </w:t>
      </w:r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habits(habit_id),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  <w:bookmarkStart w:id="36" w:name="_Toc193042190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2"/>
      <w:bookmarkStart w:id="38" w:name="_Toc193041632"/>
      <w:bookmarkStart w:id="39" w:name="_Toc19304219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reminders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reminder_id</w:t>
            </w:r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definition_time</w:t>
            </w:r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next_send_time</w:t>
            </w:r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interval</w:t>
            </w:r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interval_type</w:t>
            </w:r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interval_type</w:t>
            </w:r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custom_reminder_text</w:t>
            </w:r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notification_id</w:t>
            </w:r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habits(habit_id)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reminder_id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 interval_type,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notification_id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habits(habit_id)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04219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40"/>
      <w:bookmarkEnd w:id="41"/>
    </w:p>
    <w:p w14:paraId="45D1A9E1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4"/>
      <w:bookmarkStart w:id="43" w:name="_Toc193041634"/>
      <w:bookmarkStart w:id="44" w:name="_Toc193042193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habits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habit_names(habit_name_id),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habit_internal_type habit_internal_type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is_active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created_date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related_user_id UUID REFERENCES auth.users(id),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habit_type habit_type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04219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5"/>
      <w:bookmarkEnd w:id="46"/>
    </w:p>
    <w:p w14:paraId="200BCA5F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6"/>
      <w:bookmarkStart w:id="48" w:name="_Toc193041636"/>
      <w:bookmarkStart w:id="49" w:name="_Toc193042195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habit_names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habit_name_status habit_name_status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 UUID REFERENCES auth.users(id)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04219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50"/>
      <w:bookmarkEnd w:id="51"/>
    </w:p>
    <w:p w14:paraId="2E8C370A" w14:textId="1F16E21D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8"/>
      <w:bookmarkStart w:id="53" w:name="_Toc193041638"/>
      <w:bookmarkStart w:id="54" w:name="_Toc19304219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checklists tábla a felhasználók által létrehozott </w:t>
      </w:r>
      <w:r w:rsidR="00B40C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gyors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name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elements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updated_at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 UUID REFERENCES auth.users(id)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04219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 tábla</w:t>
      </w:r>
      <w:bookmarkEnd w:id="55"/>
      <w:bookmarkEnd w:id="56"/>
    </w:p>
    <w:p w14:paraId="69F1933C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0"/>
      <w:bookmarkStart w:id="58" w:name="_Toc193041640"/>
      <w:bookmarkStart w:id="59" w:name="_Toc193042199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reports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report_id</w:t>
            </w:r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report_data</w:t>
            </w:r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end_date</w:t>
            </w:r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auth_users_id</w:t>
            </w:r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report_id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report_type report_type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report_data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end_date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auth_users_id UUID REFERENCES auth.users(id)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04220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60"/>
      <w:bookmarkEnd w:id="61"/>
    </w:p>
    <w:p w14:paraId="36E08776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2" w:name="_Toc193034612"/>
      <w:bookmarkStart w:id="63" w:name="_Toc193041642"/>
      <w:bookmarkStart w:id="64" w:name="_Toc19304220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settings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user_id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auth.users(id)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dark_mode dark_mode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localization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email_notifications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0422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042203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stb</w:t>
      </w:r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bookmarkStart w:id="70" w:name="_Toc193042204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  <w:bookmarkEnd w:id="70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6221"/>
      <w:bookmarkStart w:id="72" w:name="_Toc19304220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1"/>
      <w:bookmarkEnd w:id="72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3" w:name="_Toc193036222"/>
      <w:bookmarkStart w:id="74" w:name="_Toc19304220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04220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04220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04220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86.1pt;height:.05pt;mso-width-percent:0;mso-height-percent:0;mso-width-percent:0;mso-height-percent:0" o:hrpct="825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04221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5" w:name="_Toc193036228"/>
      <w:bookmarkStart w:id="86" w:name="_Toc19304221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5"/>
      <w:bookmarkEnd w:id="86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29"/>
      <w:bookmarkStart w:id="88" w:name="_Toc19304221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7"/>
      <w:bookmarkEnd w:id="8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9" w:name="_Toc193036230"/>
      <w:bookmarkStart w:id="90" w:name="_Toc19304221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9"/>
      <w:bookmarkEnd w:id="90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86.1pt;height:.05pt;mso-width-percent:0;mso-height-percent:0;mso-width-percent:0;mso-height-percent:0" o:hrpct="825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1" w:name="_Toc193036231"/>
      <w:bookmarkStart w:id="92" w:name="_Toc19304221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1"/>
      <w:bookmarkEnd w:id="92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3" w:name="_Toc193036232"/>
      <w:bookmarkStart w:id="94" w:name="_Toc19304221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3"/>
      <w:bookmarkEnd w:id="94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5" w:name="_Toc193036233"/>
      <w:bookmarkStart w:id="96" w:name="_Toc19304221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5"/>
      <w:bookmarkEnd w:id="96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7" w:name="_Toc193036234"/>
      <w:bookmarkStart w:id="98" w:name="_Toc19304221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7"/>
      <w:bookmarkEnd w:id="9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5"/>
      <w:bookmarkStart w:id="100" w:name="_Toc19304221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9"/>
      <w:bookmarkEnd w:id="100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/api/habits/{id}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1" w:name="_Toc193041282"/>
      <w:bookmarkStart w:id="102" w:name="_Toc193042220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1"/>
      <w:bookmarkEnd w:id="102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3" w:name="_Toc193041283"/>
      <w:bookmarkStart w:id="104" w:name="_Toc193042221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3"/>
      <w:bookmarkEnd w:id="104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4"/>
      <w:bookmarkStart w:id="106" w:name="_Toc193042222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5"/>
      <w:bookmarkEnd w:id="106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authentikációs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5"/>
      <w:bookmarkStart w:id="108" w:name="_Toc19304222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7"/>
      <w:bookmarkEnd w:id="108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6"/>
      <w:bookmarkStart w:id="110" w:name="_Toc193042224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9"/>
      <w:bookmarkEnd w:id="110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Nincs olyan szigorú jelszó ellenőrzés, mint a létrehozásnál. Például elfogadott jelszó: "Admin12".</w:t>
            </w:r>
            <w:r w:rsidRPr="005344A6">
              <w:rPr>
                <w:rFonts w:ascii="Calibri" w:hAnsi="Calibri" w:cs="Calibri"/>
                <w:color w:val="FF0000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1" w:name="_Toc193041287"/>
      <w:bookmarkStart w:id="112" w:name="_Toc193042225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1"/>
      <w:bookmarkEnd w:id="112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jelszó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átdobja a felhasználót a bejelentkezés oldalra. (regisztrálódik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 az adatbázisba)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Nem kapott értesítést a sikeres regisztrációról, vagy arról, hogy ellenőrző e-mailt küldtek.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Jóváhagyásra kerül az e-mail, de nem kap értesítést a sikeres jóváhagyásról az oldalon.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Kattints az e-mailben kapott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linkre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kattintottam 30 mp-en belül: "Érvénytelen vagy lejárt a visszaállítási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Korábban részletezve</w:t>
            </w:r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egy az oldalon nem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regisztrált e-mail címet.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(nem regisztrált)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visszaállítási linkre való kattintás másodszorra</w:t>
            </w:r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másodjára is a jelszó visszaállítása e-mailben található linkre.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Csináld végig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Google autentikációját egy olyan fiókkal, amelyel már korábban regisztráltál e-mail címmel.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3041288"/>
      <w:bookmarkStart w:id="114" w:name="_Toc193042226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3"/>
      <w:bookmarkEnd w:id="114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dummy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9"/>
      <w:bookmarkStart w:id="116" w:name="_Toc193042227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5"/>
      <w:bookmarkEnd w:id="116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7" w:name="_Toc190251304"/>
      <w:bookmarkStart w:id="118" w:name="_Toc193042228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7"/>
      <w:bookmarkEnd w:id="118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9" w:name="_Toc190251305"/>
      <w:bookmarkStart w:id="120" w:name="_Toc193042229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9"/>
      <w:bookmarkEnd w:id="120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6"/>
      <w:bookmarkStart w:id="122" w:name="_Toc193042230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1"/>
      <w:bookmarkEnd w:id="122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Visual Studio Code</w:t>
      </w:r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Automata tesztelés, Cypress</w:t>
      </w:r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7"/>
      <w:bookmarkStart w:id="124" w:name="_Toc1930422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3"/>
      <w:bookmarkEnd w:id="124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>Az automata tesztelés szkriptek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r w:rsidRPr="000E2E1B">
              <w:rPr>
                <w:rFonts w:ascii="Aptos" w:hAnsi="Aptos"/>
                <w:color w:val="0C3512" w:themeColor="accent3" w:themeShade="80"/>
              </w:rPr>
              <w:t>": "tesztfelhasznalo", 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8"/>
      <w:bookmarkStart w:id="126" w:name="_Toc193042232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5"/>
      <w:bookmarkEnd w:id="126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Teszt Szkript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9"/>
      <w:bookmarkStart w:id="128" w:name="_Toc193042233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7"/>
      <w:bookmarkEnd w:id="128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C6110DB" w14:textId="7CCF918A" w:rsidR="00080263" w:rsidRP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29" w:name="_Toc19304223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29"/>
        </w:p>
        <w:p w14:paraId="07C36713" w14:textId="73E4A7FB" w:rsidR="00080263" w:rsidRDefault="00EB4735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042161" w:history="1">
            <w:r w:rsidR="00080263"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080263">
              <w:rPr>
                <w:noProof/>
                <w:webHidden/>
              </w:rPr>
              <w:tab/>
            </w:r>
            <w:r w:rsidR="00080263">
              <w:rPr>
                <w:noProof/>
                <w:webHidden/>
              </w:rPr>
              <w:fldChar w:fldCharType="begin"/>
            </w:r>
            <w:r w:rsidR="00080263">
              <w:rPr>
                <w:noProof/>
                <w:webHidden/>
              </w:rPr>
              <w:instrText xml:space="preserve"> PAGEREF _Toc193042161 \h </w:instrText>
            </w:r>
            <w:r w:rsidR="00080263">
              <w:rPr>
                <w:noProof/>
                <w:webHidden/>
              </w:rPr>
            </w:r>
            <w:r w:rsidR="00080263">
              <w:rPr>
                <w:noProof/>
                <w:webHidden/>
              </w:rPr>
              <w:fldChar w:fldCharType="separate"/>
            </w:r>
            <w:r w:rsidR="00080263">
              <w:rPr>
                <w:noProof/>
                <w:webHidden/>
              </w:rPr>
              <w:t>1</w:t>
            </w:r>
            <w:r w:rsidR="00080263">
              <w:rPr>
                <w:noProof/>
                <w:webHidden/>
              </w:rPr>
              <w:fldChar w:fldCharType="end"/>
            </w:r>
          </w:hyperlink>
        </w:p>
        <w:p w14:paraId="6E55EEE9" w14:textId="666DF1FC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4485" w14:textId="67117DD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A777" w14:textId="6D91E9F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5188" w14:textId="18FCAF4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84F5" w14:textId="42C4805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6778" w14:textId="1F072D0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56D6" w14:textId="2A6F44D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8CA" w14:textId="5D506A7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908D" w14:textId="3CCAC33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2BAB" w14:textId="27E6D698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1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CAB" w14:textId="284874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2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FC3F" w14:textId="14E73B6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EE1A" w14:textId="3ACB576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46E5" w14:textId="50D7A8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84CC" w14:textId="2B914C0F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6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7C7F" w14:textId="5B91A8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EDAD" w14:textId="1ACE260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203" w14:textId="3E26A4C6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5099" w14:textId="75A0907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F0AB" w14:textId="41F8AB7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1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D052" w14:textId="1EE858E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D1E5" w14:textId="562D302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44E9" w14:textId="0923A6F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8F44" w14:textId="2E25ACA5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D768" w14:textId="695BD28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70FF" w14:textId="1F4D28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B3A9" w14:textId="70204BE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501B" w14:textId="6CA6CB9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035C" w14:textId="484B25B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AC35" w14:textId="0F2D3FA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99C1" w14:textId="7E5C2B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BA04" w14:textId="0B2F3E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C514" w14:textId="1B2615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7A52" w14:textId="06382C2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DA05" w14:textId="559B0DD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298" w14:textId="31D0B47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ED5B" w14:textId="5D7DA37E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3. REST API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6F03" w14:textId="72189AD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5F35" w14:textId="2AD9A16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4003" w14:textId="3A796A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8B4" w14:textId="3F524C5B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D246" w14:textId="0BDA7733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5B23" w14:textId="5E57FC80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0815" w14:textId="426CA6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FA92" w14:textId="1065DBED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B771" w14:textId="11D72B32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184E" w14:textId="02080A6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210F" w14:textId="0341181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032E" w14:textId="1ED44068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E789" w14:textId="10E68DDD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0" w:history="1">
            <w:r w:rsidRPr="009A0107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34EE" w14:textId="76FE007B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7736" w14:textId="135BCC3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29E8" w14:textId="3B2927E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9A93" w14:textId="159D288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4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C574" w14:textId="340F132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5" w:history="1">
            <w:r w:rsidRPr="009A0107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DAFF" w14:textId="0FDA275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6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12D3" w14:textId="3E79DC2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7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E63E" w14:textId="739986DC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8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E34" w14:textId="62E78D2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9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971A" w14:textId="61393B5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0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7B7E" w14:textId="13D0899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4957" w14:textId="6D454635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9420" w14:textId="364A2B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83D6" w14:textId="04AB33A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4" w:history="1">
            <w:r w:rsidRPr="009A0107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11F2F818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4E02" w14:textId="77777777" w:rsidR="005205AD" w:rsidRDefault="005205AD" w:rsidP="005A30D1">
      <w:pPr>
        <w:spacing w:after="0" w:line="240" w:lineRule="auto"/>
      </w:pPr>
      <w:r>
        <w:separator/>
      </w:r>
    </w:p>
  </w:endnote>
  <w:endnote w:type="continuationSeparator" w:id="0">
    <w:p w14:paraId="0EF42220" w14:textId="77777777" w:rsidR="005205AD" w:rsidRDefault="005205AD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EF83C" w14:textId="77777777" w:rsidR="005205AD" w:rsidRDefault="005205AD" w:rsidP="005A30D1">
      <w:pPr>
        <w:spacing w:after="0" w:line="240" w:lineRule="auto"/>
      </w:pPr>
      <w:r>
        <w:separator/>
      </w:r>
    </w:p>
  </w:footnote>
  <w:footnote w:type="continuationSeparator" w:id="0">
    <w:p w14:paraId="50CCCB7A" w14:textId="77777777" w:rsidR="005205AD" w:rsidRDefault="005205AD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0AD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2F0D"/>
    <w:rsid w:val="00003A75"/>
    <w:rsid w:val="00014213"/>
    <w:rsid w:val="00031614"/>
    <w:rsid w:val="0005607A"/>
    <w:rsid w:val="000620C5"/>
    <w:rsid w:val="00080263"/>
    <w:rsid w:val="000A06C5"/>
    <w:rsid w:val="000B3148"/>
    <w:rsid w:val="00114C2A"/>
    <w:rsid w:val="0012304B"/>
    <w:rsid w:val="0013087A"/>
    <w:rsid w:val="00141BC1"/>
    <w:rsid w:val="001510E7"/>
    <w:rsid w:val="001A7CD7"/>
    <w:rsid w:val="001B24A4"/>
    <w:rsid w:val="001C085C"/>
    <w:rsid w:val="001C5348"/>
    <w:rsid w:val="001D489C"/>
    <w:rsid w:val="0023387B"/>
    <w:rsid w:val="0023539F"/>
    <w:rsid w:val="00242A17"/>
    <w:rsid w:val="00245359"/>
    <w:rsid w:val="00270866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9014F"/>
    <w:rsid w:val="003B6223"/>
    <w:rsid w:val="00400975"/>
    <w:rsid w:val="004209DC"/>
    <w:rsid w:val="004338E7"/>
    <w:rsid w:val="004645A7"/>
    <w:rsid w:val="004B2C48"/>
    <w:rsid w:val="004D341F"/>
    <w:rsid w:val="004E21A5"/>
    <w:rsid w:val="004F0A93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686236"/>
    <w:rsid w:val="006B50BF"/>
    <w:rsid w:val="006C1757"/>
    <w:rsid w:val="006C2AB3"/>
    <w:rsid w:val="006D63A3"/>
    <w:rsid w:val="006F5064"/>
    <w:rsid w:val="00760AED"/>
    <w:rsid w:val="007660C5"/>
    <w:rsid w:val="00783011"/>
    <w:rsid w:val="00785539"/>
    <w:rsid w:val="00796E54"/>
    <w:rsid w:val="007B1732"/>
    <w:rsid w:val="007F3831"/>
    <w:rsid w:val="007F4A9D"/>
    <w:rsid w:val="008373E4"/>
    <w:rsid w:val="00840216"/>
    <w:rsid w:val="008465A1"/>
    <w:rsid w:val="00852CAB"/>
    <w:rsid w:val="00864235"/>
    <w:rsid w:val="00877FEB"/>
    <w:rsid w:val="00900A35"/>
    <w:rsid w:val="0091553C"/>
    <w:rsid w:val="009163EF"/>
    <w:rsid w:val="009458B6"/>
    <w:rsid w:val="00995E5F"/>
    <w:rsid w:val="009A4CA3"/>
    <w:rsid w:val="009A62D5"/>
    <w:rsid w:val="009A6A36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585B"/>
    <w:rsid w:val="00B033F8"/>
    <w:rsid w:val="00B07080"/>
    <w:rsid w:val="00B25A32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16865"/>
    <w:rsid w:val="00C17DD8"/>
    <w:rsid w:val="00C22932"/>
    <w:rsid w:val="00C32F6A"/>
    <w:rsid w:val="00C56F7E"/>
    <w:rsid w:val="00C62AF3"/>
    <w:rsid w:val="00CD4B58"/>
    <w:rsid w:val="00CD5080"/>
    <w:rsid w:val="00CE0D4E"/>
    <w:rsid w:val="00D53723"/>
    <w:rsid w:val="00DB3F7F"/>
    <w:rsid w:val="00DE7A04"/>
    <w:rsid w:val="00E03298"/>
    <w:rsid w:val="00E35ABA"/>
    <w:rsid w:val="00E44112"/>
    <w:rsid w:val="00E55AB9"/>
    <w:rsid w:val="00EA138A"/>
    <w:rsid w:val="00EA2F4B"/>
    <w:rsid w:val="00EB4735"/>
    <w:rsid w:val="00EB7ACE"/>
    <w:rsid w:val="00EE1915"/>
    <w:rsid w:val="00F14C7E"/>
    <w:rsid w:val="00F24850"/>
    <w:rsid w:val="00F30445"/>
    <w:rsid w:val="00F31A93"/>
    <w:rsid w:val="00F9314C"/>
    <w:rsid w:val="00FA4A00"/>
    <w:rsid w:val="00FA6585"/>
    <w:rsid w:val="00FB763A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42</Pages>
  <Words>5354</Words>
  <Characters>30518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125</cp:revision>
  <dcterms:created xsi:type="dcterms:W3CDTF">2025-01-13T09:05:00Z</dcterms:created>
  <dcterms:modified xsi:type="dcterms:W3CDTF">2025-03-17T09:46:00Z</dcterms:modified>
</cp:coreProperties>
</file>