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90d347f16ef327470f458fc27e1f4cf1eff71fb"/>
    <w:p>
      <w:pPr>
        <w:pStyle w:val="Heading1"/>
      </w:pPr>
      <w:r>
        <w:t xml:space="preserve">AMAANAH — General Secretariat for Islamic/Arabic Education</w:t>
      </w:r>
    </w:p>
    <w:bookmarkStart w:id="20" w:name="homepage"/>
    <w:p>
      <w:pPr>
        <w:pStyle w:val="Heading2"/>
      </w:pPr>
      <w:r>
        <w:t xml:space="preserve">Homepage</w:t>
      </w:r>
    </w:p>
    <w:p>
      <w:pPr>
        <w:pStyle w:val="FirstParagraph"/>
      </w:pPr>
      <w:r>
        <w:rPr>
          <w:b/>
          <w:bCs/>
        </w:rPr>
        <w:t xml:space="preserve">Hero:</w:t>
      </w:r>
      <w:r>
        <w:t xml:space="preserve"> </w:t>
      </w:r>
      <w:r>
        <w:t xml:space="preserve">- Headline:</w:t>
      </w:r>
      <w:r>
        <w:t xml:space="preserve"> </w:t>
      </w:r>
      <w:r>
        <w:rPr>
          <w:i/>
          <w:iCs/>
        </w:rPr>
        <w:t xml:space="preserve">Education for Development</w:t>
      </w:r>
      <w:r>
        <w:t xml:space="preserve"> </w:t>
      </w:r>
      <w:r>
        <w:t xml:space="preserve">- Subhead: Strengthening unity and quality across Madrassah and Islamic schools in The Gambia since 1996.</w:t>
      </w:r>
      <w:r>
        <w:t xml:space="preserve"> </w:t>
      </w:r>
      <w:r>
        <w:t xml:space="preserve">- Primary CTA: Get Involved</w:t>
      </w:r>
      <w:r>
        <w:t xml:space="preserve"> </w:t>
      </w:r>
      <w:r>
        <w:t xml:space="preserve">- Secondary CTA: Learn About AMAANAH</w:t>
      </w:r>
    </w:p>
    <w:p>
      <w:pPr>
        <w:pStyle w:val="BodyText"/>
      </w:pPr>
      <w:r>
        <w:rPr>
          <w:b/>
          <w:bCs/>
        </w:rPr>
        <w:t xml:space="preserve">Quick Links:</w:t>
      </w:r>
      <w:r>
        <w:t xml:space="preserve"> </w:t>
      </w:r>
      <w:r>
        <w:t xml:space="preserve">Curriculum &amp; Training · Examinations &amp; Certification · Quality Assurance · Endowment &amp; Projects · Membership · Contact</w:t>
      </w:r>
    </w:p>
    <w:p>
      <w:pPr>
        <w:pStyle w:val="BodyText"/>
      </w:pPr>
      <w:r>
        <w:rPr>
          <w:b/>
          <w:bCs/>
        </w:rPr>
        <w:t xml:space="preserve">Impact Highlights:</w:t>
      </w:r>
      <w:r>
        <w:t xml:space="preserve"> </w:t>
      </w:r>
      <w:r>
        <w:t xml:space="preserve">- National coordination of Madrassah and Tahfiz education</w:t>
      </w:r>
      <w:r>
        <w:t xml:space="preserve"> </w:t>
      </w:r>
      <w:r>
        <w:t xml:space="preserve">- Partnership with Government on policy and implementation</w:t>
      </w:r>
      <w:r>
        <w:t xml:space="preserve"> </w:t>
      </w:r>
      <w:r>
        <w:t xml:space="preserve">- Teacher training, standardized curricula, and certification</w:t>
      </w:r>
    </w:p>
    <w:p>
      <w:pPr>
        <w:pStyle w:val="BodyText"/>
      </w:pPr>
      <w:r>
        <w:rPr>
          <w:b/>
          <w:bCs/>
        </w:rPr>
        <w:t xml:space="preserve">Latest Updates (News):</w:t>
      </w:r>
      <w:r>
        <w:t xml:space="preserve"> </w:t>
      </w:r>
      <w:r>
        <w:t xml:space="preserve">three teaser cards with titles and dates</w:t>
      </w:r>
    </w:p>
    <w:p>
      <w:pPr>
        <w:pStyle w:val="BodyText"/>
      </w:pPr>
      <w:r>
        <w:rPr>
          <w:b/>
          <w:bCs/>
        </w:rPr>
        <w:t xml:space="preserve">Newsletter Signup:</w:t>
      </w:r>
      <w:r>
        <w:t xml:space="preserve"> </w:t>
      </w:r>
      <w:r>
        <w:t xml:space="preserve">short form (name, email)</w:t>
      </w:r>
    </w:p>
    <w:p>
      <w:r>
        <w:pict>
          <v:rect style="width:0;height:1.5pt" o:hralign="center" o:hrstd="t" o:hr="t"/>
        </w:pict>
      </w:r>
    </w:p>
    <w:bookmarkEnd w:id="20"/>
    <w:bookmarkStart w:id="21" w:name="about-amaanah"/>
    <w:p>
      <w:pPr>
        <w:pStyle w:val="Heading2"/>
      </w:pPr>
      <w:r>
        <w:t xml:space="preserve">About AMAANAH</w:t>
      </w:r>
    </w:p>
    <w:p>
      <w:pPr>
        <w:pStyle w:val="FirstParagraph"/>
      </w:pPr>
      <w:r>
        <w:rPr>
          <w:b/>
          <w:bCs/>
        </w:rPr>
        <w:t xml:space="preserve">Who We Are</w:t>
      </w:r>
      <w:r>
        <w:t xml:space="preserve"> </w:t>
      </w:r>
      <w:r>
        <w:t xml:space="preserve">The General Secretariat for Islamic/Arabic Education (AMAANAH) is a national coordinating body founded in April 1996 by leading Madrassah institutions to unify, standardize, and elevate Islamic and Arabic education across The Gambia.</w:t>
      </w:r>
    </w:p>
    <w:p>
      <w:pPr>
        <w:pStyle w:val="BodyText"/>
      </w:pPr>
      <w:r>
        <w:rPr>
          <w:b/>
          <w:bCs/>
        </w:rPr>
        <w:t xml:space="preserve">Vision</w:t>
      </w:r>
      <w:r>
        <w:t xml:space="preserve"> </w:t>
      </w:r>
      <w:r>
        <w:t xml:space="preserve">A unified, high‑quality Islamic and Arabic education ecosystem that nurtures knowledge, character, and national development.</w:t>
      </w:r>
    </w:p>
    <w:p>
      <w:pPr>
        <w:pStyle w:val="BodyText"/>
      </w:pPr>
      <w:r>
        <w:rPr>
          <w:b/>
          <w:bCs/>
        </w:rPr>
        <w:t xml:space="preserve">Mission</w:t>
      </w:r>
      <w:r>
        <w:t xml:space="preserve"> </w:t>
      </w:r>
      <w:r>
        <w:t xml:space="preserve">To coordinate curricula, assessments, teacher training, and quality assurance across Madrassah and Tahfiz institutions; strengthen partnerships with Government and stakeholders; and broaden learning opportunities including technical, vocational, and scientific fields.</w:t>
      </w:r>
    </w:p>
    <w:p>
      <w:pPr>
        <w:pStyle w:val="BodyText"/>
      </w:pPr>
      <w:r>
        <w:rPr>
          <w:b/>
          <w:bCs/>
        </w:rPr>
        <w:t xml:space="preserve">Core Objectives</w:t>
      </w:r>
      <w:r>
        <w:t xml:space="preserve"> </w:t>
      </w:r>
      <w:r>
        <w:t xml:space="preserve">- Strengthen unity among Madrassah and Islamic schools</w:t>
      </w:r>
      <w:r>
        <w:t xml:space="preserve"> </w:t>
      </w:r>
      <w:r>
        <w:t xml:space="preserve">- Coordinate and standardize curriculum, syllabi, teacher training, examinations, and certification</w:t>
      </w:r>
      <w:r>
        <w:t xml:space="preserve"> </w:t>
      </w:r>
      <w:r>
        <w:t xml:space="preserve">- Partner with Government in national education development</w:t>
      </w:r>
      <w:r>
        <w:t xml:space="preserve"> </w:t>
      </w:r>
      <w:r>
        <w:t xml:space="preserve">- Improve quality and standards across institutions</w:t>
      </w:r>
      <w:r>
        <w:t xml:space="preserve"> </w:t>
      </w:r>
      <w:r>
        <w:t xml:space="preserve">- Promote girls’ education and fight illiteracy</w:t>
      </w:r>
      <w:r>
        <w:t xml:space="preserve"> </w:t>
      </w:r>
      <w:r>
        <w:t xml:space="preserve">- Expand Islamic/Arabic education into technical, vocational, and skills tracks</w:t>
      </w:r>
      <w:r>
        <w:t xml:space="preserve"> </w:t>
      </w:r>
      <w:r>
        <w:t xml:space="preserve">- Enhance access to reference materials and libraries (including mobile services)</w:t>
      </w:r>
      <w:r>
        <w:t xml:space="preserve"> </w:t>
      </w:r>
      <w:r>
        <w:t xml:space="preserve">- Mobilize and allocate resources; participate in development programmes (e.g., agriculture, health) through education and endowment</w:t>
      </w:r>
    </w:p>
    <w:p>
      <w:pPr>
        <w:pStyle w:val="BodyText"/>
      </w:pPr>
      <w:r>
        <w:rPr>
          <w:b/>
          <w:bCs/>
        </w:rPr>
        <w:t xml:space="preserve">Founding Institutions</w:t>
      </w:r>
      <w:r>
        <w:t xml:space="preserve"> </w:t>
      </w:r>
      <w:r>
        <w:t xml:space="preserve">Talinding Islamic Institute · Tadamun Islamic Studies Centre · Bun Jeng Islamic Schools · Omar Quraise Islamic School · Brikama Islamic Institute · Scientific Islamic School · Muslim High School · Sheikh Mass Kah Islamic Institute</w:t>
      </w:r>
    </w:p>
    <w:p>
      <w:pPr>
        <w:pStyle w:val="BodyText"/>
      </w:pPr>
      <w:r>
        <w:rPr>
          <w:b/>
          <w:bCs/>
        </w:rPr>
        <w:t xml:space="preserve">Motto &amp; Emblem</w:t>
      </w:r>
      <w:r>
        <w:t xml:space="preserve"> </w:t>
      </w:r>
      <w:r>
        <w:rPr>
          <w:i/>
          <w:iCs/>
        </w:rPr>
        <w:t xml:space="preserve">Motto:</w:t>
      </w:r>
      <w:r>
        <w:t xml:space="preserve"> </w:t>
      </w:r>
      <w:r>
        <w:t xml:space="preserve">Education for Development. The emblem features a Qur’an/book and pen signifying education, with a computer symbolizing the transformation of knowledge into development; colors reflect the Gambian flag.</w:t>
      </w:r>
    </w:p>
    <w:p>
      <w:r>
        <w:pict>
          <v:rect style="width:0;height:1.5pt" o:hralign="center" o:hrstd="t" o:hr="t"/>
        </w:pict>
      </w:r>
    </w:p>
    <w:bookmarkEnd w:id="21"/>
    <w:bookmarkStart w:id="22" w:name="governance"/>
    <w:p>
      <w:pPr>
        <w:pStyle w:val="Heading2"/>
      </w:pPr>
      <w:r>
        <w:t xml:space="preserve">Governance</w:t>
      </w:r>
    </w:p>
    <w:p>
      <w:pPr>
        <w:pStyle w:val="FirstParagraph"/>
      </w:pPr>
      <w:r>
        <w:rPr>
          <w:b/>
          <w:bCs/>
        </w:rPr>
        <w:t xml:space="preserve">Structure at a Glance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General Assembly</w:t>
      </w:r>
      <w:r>
        <w:t xml:space="preserve"> </w:t>
      </w:r>
      <w:r>
        <w:t xml:space="preserve">– representative body of member schools and Secretariat officials; meets annually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Executive Committee</w:t>
      </w:r>
      <w:r>
        <w:t xml:space="preserve"> </w:t>
      </w:r>
      <w:r>
        <w:t xml:space="preserve">– elected leadership (two‑year terms; with advisory members from partner Islamic organizations)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Executive Bureau</w:t>
      </w:r>
      <w:r>
        <w:t xml:space="preserve"> </w:t>
      </w:r>
      <w:r>
        <w:t xml:space="preserve">– professional Secretariat that manages day‑to‑day operations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Sub‑Committees</w:t>
      </w:r>
      <w:r>
        <w:t xml:space="preserve"> </w:t>
      </w:r>
      <w:r>
        <w:t xml:space="preserve">– technical groups supporting training &amp; curriculum, examinations &amp; scholarships, quality assurance, socio‑cultural activities, resources &amp; projects, research &amp; evaluation, and social welfare/propagation</w:t>
      </w:r>
    </w:p>
    <w:p>
      <w:pPr>
        <w:pStyle w:val="BodyText"/>
      </w:pPr>
      <w:r>
        <w:rPr>
          <w:b/>
          <w:bCs/>
        </w:rPr>
        <w:t xml:space="preserve">Membership</w:t>
      </w:r>
      <w:r>
        <w:t xml:space="preserve"> </w:t>
      </w:r>
      <w:r>
        <w:t xml:space="preserve">- Open to Islamic schools under recognized organizations</w:t>
      </w:r>
      <w:r>
        <w:t xml:space="preserve"> </w:t>
      </w:r>
      <w:r>
        <w:t xml:space="preserve">- Categories: General, Executive, Permanent Executive (advisory), and Honorary</w:t>
      </w:r>
      <w:r>
        <w:t xml:space="preserve"> </w:t>
      </w:r>
      <w:r>
        <w:t xml:space="preserve">- Commitments: follow approved syllabi/guidelines; comply with rules; pay registration and annual subscriptions</w:t>
      </w:r>
    </w:p>
    <w:p>
      <w:r>
        <w:pict>
          <v:rect style="width:0;height:1.5pt" o:hralign="center" o:hrstd="t" o:hr="t"/>
        </w:pict>
      </w:r>
    </w:p>
    <w:bookmarkEnd w:id="22"/>
    <w:bookmarkStart w:id="23" w:name="executive-bureau"/>
    <w:p>
      <w:pPr>
        <w:pStyle w:val="Heading2"/>
      </w:pPr>
      <w:r>
        <w:t xml:space="preserve">Executive Bureau</w:t>
      </w:r>
    </w:p>
    <w:p>
      <w:pPr>
        <w:pStyle w:val="FirstParagraph"/>
      </w:pPr>
      <w:r>
        <w:rPr>
          <w:b/>
          <w:bCs/>
        </w:rPr>
        <w:t xml:space="preserve">Mandate</w:t>
      </w:r>
      <w:r>
        <w:t xml:space="preserve"> </w:t>
      </w:r>
      <w:r>
        <w:t xml:space="preserve">The Bureau is the management hub of AMAANAH, ensuring policy execution, educational planning, staff management, budgeting and reporting, data systems, public relations, regional coordination, and reconciliation.</w:t>
      </w:r>
    </w:p>
    <w:p>
      <w:pPr>
        <w:pStyle w:val="BodyText"/>
      </w:pPr>
      <w:r>
        <w:rPr>
          <w:b/>
          <w:bCs/>
        </w:rPr>
        <w:t xml:space="preserve">Organisational Units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Administration Unit</w:t>
      </w:r>
      <w:r>
        <w:t xml:space="preserve"> </w:t>
      </w:r>
      <w:r>
        <w:t xml:space="preserve">– records/secretariat, HR, finance, public relations, IT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Programmes &amp; Operations Unit</w:t>
      </w:r>
      <w:r>
        <w:t xml:space="preserve"> </w:t>
      </w:r>
      <w:r>
        <w:t xml:space="preserve">– curriculum development &amp; training; assessment/examinations; quality assurance &amp; monitoring; data and certification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Endowment &amp; Projects Unit</w:t>
      </w:r>
      <w:r>
        <w:t xml:space="preserve"> </w:t>
      </w:r>
      <w:r>
        <w:t xml:space="preserve">– endowment coordination, resource mobilisation, project development and supervision</w:t>
      </w:r>
    </w:p>
    <w:p>
      <w:pPr>
        <w:pStyle w:val="BodyText"/>
      </w:pPr>
      <w:r>
        <w:rPr>
          <w:b/>
          <w:bCs/>
        </w:rPr>
        <w:t xml:space="preserve">Key Roles (selected)</w:t>
      </w:r>
      <w:r>
        <w:t xml:space="preserve"> </w:t>
      </w:r>
      <w:r>
        <w:t xml:space="preserve">- Administrative Secretary (Executive Secretary)</w:t>
      </w:r>
      <w:r>
        <w:t xml:space="preserve"> </w:t>
      </w:r>
      <w:r>
        <w:t xml:space="preserve">- Secretary/Records Manager</w:t>
      </w:r>
      <w:r>
        <w:t xml:space="preserve"> </w:t>
      </w:r>
      <w:r>
        <w:t xml:space="preserve">- Human Resources Officer</w:t>
      </w:r>
      <w:r>
        <w:t xml:space="preserve"> </w:t>
      </w:r>
      <w:r>
        <w:t xml:space="preserve">- Treasurer/Accounting Officer</w:t>
      </w:r>
      <w:r>
        <w:t xml:space="preserve"> </w:t>
      </w:r>
      <w:r>
        <w:t xml:space="preserve">- Public Relations Officer</w:t>
      </w:r>
      <w:r>
        <w:t xml:space="preserve"> </w:t>
      </w:r>
      <w:r>
        <w:t xml:space="preserve">- IT Officer</w:t>
      </w:r>
      <w:r>
        <w:t xml:space="preserve"> </w:t>
      </w:r>
      <w:r>
        <w:t xml:space="preserve">- Head of Programmes/Operations</w:t>
      </w:r>
      <w:r>
        <w:t xml:space="preserve"> </w:t>
      </w:r>
      <w:r>
        <w:t xml:space="preserve">- Curriculum Development &amp; Training Officer</w:t>
      </w:r>
      <w:r>
        <w:t xml:space="preserve"> </w:t>
      </w:r>
      <w:r>
        <w:t xml:space="preserve">- Assessment/Examinations Officer</w:t>
      </w:r>
      <w:r>
        <w:t xml:space="preserve"> </w:t>
      </w:r>
      <w:r>
        <w:t xml:space="preserve">- Quality Assurance &amp; Monitoring Officer</w:t>
      </w:r>
      <w:r>
        <w:t xml:space="preserve"> </w:t>
      </w:r>
      <w:r>
        <w:t xml:space="preserve">- Quality Assurance Liaison Officers (regional)</w:t>
      </w:r>
      <w:r>
        <w:t xml:space="preserve"> </w:t>
      </w:r>
      <w:r>
        <w:t xml:space="preserve">- Head of Endowment &amp; Projects</w:t>
      </w:r>
      <w:r>
        <w:t xml:space="preserve"> </w:t>
      </w:r>
      <w:r>
        <w:t xml:space="preserve">- Endowment &amp; Projects Officer</w:t>
      </w:r>
    </w:p>
    <w:p>
      <w:r>
        <w:pict>
          <v:rect style="width:0;height:1.5pt" o:hralign="center" o:hrstd="t" o:hr="t"/>
        </w:pict>
      </w:r>
    </w:p>
    <w:bookmarkEnd w:id="23"/>
    <w:bookmarkStart w:id="29" w:name="programmes-services"/>
    <w:p>
      <w:pPr>
        <w:pStyle w:val="Heading2"/>
      </w:pPr>
      <w:r>
        <w:t xml:space="preserve">Programmes &amp; Services</w:t>
      </w:r>
    </w:p>
    <w:bookmarkStart w:id="24" w:name="curriculum-development-teacher-training"/>
    <w:p>
      <w:pPr>
        <w:pStyle w:val="Heading3"/>
      </w:pPr>
      <w:r>
        <w:t xml:space="preserve">Curriculum Development &amp; Teacher Training</w:t>
      </w:r>
    </w:p>
    <w:p>
      <w:pPr>
        <w:pStyle w:val="Compact"/>
        <w:numPr>
          <w:ilvl w:val="0"/>
          <w:numId w:val="1001"/>
        </w:numPr>
      </w:pPr>
      <w:r>
        <w:t xml:space="preserve">Lead curriculum design and review (syllabuses, textbooks)</w:t>
      </w:r>
    </w:p>
    <w:p>
      <w:pPr>
        <w:pStyle w:val="Compact"/>
        <w:numPr>
          <w:ilvl w:val="0"/>
          <w:numId w:val="1001"/>
        </w:numPr>
      </w:pPr>
      <w:r>
        <w:t xml:space="preserve">Commission writing workshops and teacher orientation</w:t>
      </w:r>
    </w:p>
    <w:p>
      <w:pPr>
        <w:pStyle w:val="Compact"/>
        <w:numPr>
          <w:ilvl w:val="0"/>
          <w:numId w:val="1001"/>
        </w:numPr>
      </w:pPr>
      <w:r>
        <w:t xml:space="preserve">Maintain electronic/hard‑copy repositories of curriculum materials</w:t>
      </w:r>
    </w:p>
    <w:p>
      <w:pPr>
        <w:pStyle w:val="Compact"/>
        <w:numPr>
          <w:ilvl w:val="0"/>
          <w:numId w:val="1001"/>
        </w:numPr>
      </w:pPr>
      <w:r>
        <w:t xml:space="preserve">Conduct training needs assessments; plan and monitor in‑service training</w:t>
      </w:r>
    </w:p>
    <w:bookmarkEnd w:id="24"/>
    <w:bookmarkStart w:id="25" w:name="examinations-assessment-certification"/>
    <w:p>
      <w:pPr>
        <w:pStyle w:val="Heading3"/>
      </w:pPr>
      <w:r>
        <w:t xml:space="preserve">Examinations, Assessment &amp; Certification</w:t>
      </w:r>
    </w:p>
    <w:p>
      <w:pPr>
        <w:pStyle w:val="Compact"/>
        <w:numPr>
          <w:ilvl w:val="0"/>
          <w:numId w:val="1002"/>
        </w:numPr>
      </w:pPr>
      <w:r>
        <w:t xml:space="preserve">Develop and validate exam papers and marking schemes</w:t>
      </w:r>
    </w:p>
    <w:p>
      <w:pPr>
        <w:pStyle w:val="Compact"/>
        <w:numPr>
          <w:ilvl w:val="0"/>
          <w:numId w:val="1002"/>
        </w:numPr>
      </w:pPr>
      <w:r>
        <w:t xml:space="preserve">Oversee conduct of examinations, marking, tabulation, validation</w:t>
      </w:r>
    </w:p>
    <w:p>
      <w:pPr>
        <w:pStyle w:val="Compact"/>
        <w:numPr>
          <w:ilvl w:val="0"/>
          <w:numId w:val="1002"/>
        </w:numPr>
      </w:pPr>
      <w:r>
        <w:t xml:space="preserve">Issue certificates and maintain results archives</w:t>
      </w:r>
    </w:p>
    <w:p>
      <w:pPr>
        <w:pStyle w:val="Compact"/>
        <w:numPr>
          <w:ilvl w:val="0"/>
          <w:numId w:val="1002"/>
        </w:numPr>
      </w:pPr>
      <w:r>
        <w:t xml:space="preserve">Analyse results to inform curriculum improvements</w:t>
      </w:r>
    </w:p>
    <w:bookmarkEnd w:id="25"/>
    <w:bookmarkStart w:id="26" w:name="quality-assurance-monitoring-qam"/>
    <w:p>
      <w:pPr>
        <w:pStyle w:val="Heading3"/>
      </w:pPr>
      <w:r>
        <w:t xml:space="preserve">Quality Assurance &amp; Monitoring (QAM)</w:t>
      </w:r>
    </w:p>
    <w:p>
      <w:pPr>
        <w:pStyle w:val="Compact"/>
        <w:numPr>
          <w:ilvl w:val="0"/>
          <w:numId w:val="1003"/>
        </w:numPr>
      </w:pPr>
      <w:r>
        <w:t xml:space="preserve">Coordinate national/regional monitoring through QALO and cluster monitors</w:t>
      </w:r>
    </w:p>
    <w:p>
      <w:pPr>
        <w:pStyle w:val="Compact"/>
        <w:numPr>
          <w:ilvl w:val="0"/>
          <w:numId w:val="1003"/>
        </w:numPr>
      </w:pPr>
      <w:r>
        <w:t xml:space="preserve">Collect and analyse institutional data and monitoring reports</w:t>
      </w:r>
    </w:p>
    <w:p>
      <w:pPr>
        <w:pStyle w:val="Compact"/>
        <w:numPr>
          <w:ilvl w:val="0"/>
          <w:numId w:val="1003"/>
        </w:numPr>
      </w:pPr>
      <w:r>
        <w:t xml:space="preserve">Identify gaps and best practices; liaise with regions and MoBSE</w:t>
      </w:r>
    </w:p>
    <w:p>
      <w:pPr>
        <w:pStyle w:val="Compact"/>
        <w:numPr>
          <w:ilvl w:val="0"/>
          <w:numId w:val="1003"/>
        </w:numPr>
      </w:pPr>
      <w:r>
        <w:t xml:space="preserve">Issue Certificates of Recognition; maintain statistical databases</w:t>
      </w:r>
    </w:p>
    <w:bookmarkEnd w:id="26"/>
    <w:bookmarkStart w:id="27" w:name="endowment-projects"/>
    <w:p>
      <w:pPr>
        <w:pStyle w:val="Heading3"/>
      </w:pPr>
      <w:r>
        <w:t xml:space="preserve">Endowment &amp; Projects</w:t>
      </w:r>
    </w:p>
    <w:p>
      <w:pPr>
        <w:pStyle w:val="Compact"/>
        <w:numPr>
          <w:ilvl w:val="0"/>
          <w:numId w:val="1004"/>
        </w:numPr>
      </w:pPr>
      <w:r>
        <w:t xml:space="preserve">Coordinate endowment contributions and special accounts</w:t>
      </w:r>
    </w:p>
    <w:p>
      <w:pPr>
        <w:pStyle w:val="Compact"/>
        <w:numPr>
          <w:ilvl w:val="0"/>
          <w:numId w:val="1004"/>
        </w:numPr>
      </w:pPr>
      <w:r>
        <w:t xml:space="preserve">Resource mobilisation (e.g., infrastructure, materials, maintenance)</w:t>
      </w:r>
    </w:p>
    <w:p>
      <w:pPr>
        <w:pStyle w:val="Compact"/>
        <w:numPr>
          <w:ilvl w:val="0"/>
          <w:numId w:val="1004"/>
        </w:numPr>
      </w:pPr>
      <w:r>
        <w:t xml:space="preserve">Lease and manage AMAANAH properties and assets</w:t>
      </w:r>
    </w:p>
    <w:p>
      <w:pPr>
        <w:pStyle w:val="Compact"/>
        <w:numPr>
          <w:ilvl w:val="0"/>
          <w:numId w:val="1004"/>
        </w:numPr>
      </w:pPr>
      <w:r>
        <w:t xml:space="preserve">Develop proposals; supervise implementation; maintain project registers</w:t>
      </w:r>
    </w:p>
    <w:bookmarkEnd w:id="27"/>
    <w:bookmarkStart w:id="28" w:name="social-welfare-propagation"/>
    <w:p>
      <w:pPr>
        <w:pStyle w:val="Heading3"/>
      </w:pPr>
      <w:r>
        <w:t xml:space="preserve">Social Welfare &amp; Propagation</w:t>
      </w:r>
    </w:p>
    <w:p>
      <w:pPr>
        <w:pStyle w:val="Compact"/>
        <w:numPr>
          <w:ilvl w:val="0"/>
          <w:numId w:val="1005"/>
        </w:numPr>
      </w:pPr>
      <w:r>
        <w:t xml:space="preserve">Promote Islamic culture and community engagement</w:t>
      </w:r>
    </w:p>
    <w:p>
      <w:pPr>
        <w:pStyle w:val="Compact"/>
        <w:numPr>
          <w:ilvl w:val="0"/>
          <w:numId w:val="1005"/>
        </w:numPr>
      </w:pPr>
      <w:r>
        <w:t xml:space="preserve">Support staff welfare and student welfare programmes</w:t>
      </w:r>
    </w:p>
    <w:p>
      <w:pPr>
        <w:pStyle w:val="Compact"/>
        <w:numPr>
          <w:ilvl w:val="0"/>
          <w:numId w:val="1005"/>
        </w:numPr>
      </w:pPr>
      <w:r>
        <w:t xml:space="preserve">Public information, sensitisation, and da’wa activities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embership-registration"/>
    <w:p>
      <w:pPr>
        <w:pStyle w:val="Heading2"/>
      </w:pPr>
      <w:r>
        <w:t xml:space="preserve">Membership &amp; Registration</w:t>
      </w:r>
    </w:p>
    <w:p>
      <w:pPr>
        <w:pStyle w:val="FirstParagraph"/>
      </w:pPr>
      <w:r>
        <w:rPr>
          <w:b/>
          <w:bCs/>
        </w:rPr>
        <w:t xml:space="preserve">How to Join</w:t>
      </w:r>
      <w:r>
        <w:t xml:space="preserve"> </w:t>
      </w:r>
      <w:r>
        <w:t xml:space="preserve">- Submit written application via supervising/affiliated organization</w:t>
      </w:r>
      <w:r>
        <w:t xml:space="preserve"> </w:t>
      </w:r>
      <w:r>
        <w:t xml:space="preserve">- Pay registration fee and annual subscription (by level)</w:t>
      </w:r>
      <w:r>
        <w:t xml:space="preserve"> </w:t>
      </w:r>
      <w:r>
        <w:t xml:space="preserve">- Agree to use approved curricula and comply with Secretariat regulations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  <w:r>
        <w:t xml:space="preserve">- Access to standardized curriculum and examinations</w:t>
      </w:r>
      <w:r>
        <w:t xml:space="preserve"> </w:t>
      </w:r>
      <w:r>
        <w:t xml:space="preserve">- Teacher development and training opportunities</w:t>
      </w:r>
      <w:r>
        <w:t xml:space="preserve"> </w:t>
      </w:r>
      <w:r>
        <w:t xml:space="preserve">- Quality assurance support and certification services</w:t>
      </w:r>
      <w:r>
        <w:t xml:space="preserve"> </w:t>
      </w:r>
      <w:r>
        <w:t xml:space="preserve">- Inclusion in national data systems, library resources, and projects</w:t>
      </w:r>
    </w:p>
    <w:p>
      <w:pPr>
        <w:pStyle w:val="BodyText"/>
      </w:pPr>
      <w:r>
        <w:rPr>
          <w:b/>
          <w:bCs/>
        </w:rPr>
        <w:t xml:space="preserve">Recognition &amp; Certification</w:t>
      </w:r>
      <w:r>
        <w:t xml:space="preserve"> </w:t>
      </w:r>
      <w:r>
        <w:t xml:space="preserve">Institutions can receive Certificates of Recognition and participate in national certification frameworks through AMAANAH.</w:t>
      </w:r>
    </w:p>
    <w:p>
      <w:r>
        <w:pict>
          <v:rect style="width:0;height:1.5pt" o:hralign="center" o:hrstd="t" o:hr="t"/>
        </w:pict>
      </w:r>
    </w:p>
    <w:bookmarkEnd w:id="30"/>
    <w:bookmarkStart w:id="31" w:name="resources"/>
    <w:p>
      <w:pPr>
        <w:pStyle w:val="Heading2"/>
      </w:pPr>
      <w:r>
        <w:t xml:space="preserve">Resources</w:t>
      </w:r>
    </w:p>
    <w:p>
      <w:pPr>
        <w:pStyle w:val="FirstParagraph"/>
      </w:pPr>
      <w:r>
        <w:rPr>
          <w:b/>
          <w:bCs/>
        </w:rPr>
        <w:t xml:space="preserve">Publications &amp; Materials</w:t>
      </w:r>
      <w:r>
        <w:t xml:space="preserve"> </w:t>
      </w:r>
      <w:r>
        <w:t xml:space="preserve">- Syllabuses, textbooks, teacher guides</w:t>
      </w:r>
      <w:r>
        <w:t xml:space="preserve"> </w:t>
      </w:r>
      <w:r>
        <w:t xml:space="preserve">- Assessment reports and statistical yearbooks</w:t>
      </w:r>
      <w:r>
        <w:t xml:space="preserve"> </w:t>
      </w:r>
      <w:r>
        <w:t xml:space="preserve">- Policies, guidelines, and minimum standards</w:t>
      </w:r>
    </w:p>
    <w:p>
      <w:pPr>
        <w:pStyle w:val="BodyText"/>
      </w:pPr>
      <w:r>
        <w:rPr>
          <w:b/>
          <w:bCs/>
        </w:rPr>
        <w:t xml:space="preserve">Libraries</w:t>
      </w:r>
      <w:r>
        <w:t xml:space="preserve"> </w:t>
      </w:r>
      <w:r>
        <w:t xml:space="preserve">- Reference libraries and mobile library services</w:t>
      </w:r>
    </w:p>
    <w:p>
      <w:pPr>
        <w:pStyle w:val="BodyText"/>
      </w:pPr>
      <w:r>
        <w:rPr>
          <w:b/>
          <w:bCs/>
        </w:rPr>
        <w:t xml:space="preserve">Downloads (Documents Centre)</w:t>
      </w:r>
      <w:r>
        <w:t xml:space="preserve"> </w:t>
      </w:r>
      <w:r>
        <w:t xml:space="preserve">- Constitution</w:t>
      </w:r>
      <w:r>
        <w:t xml:space="preserve"> </w:t>
      </w:r>
      <w:r>
        <w:t xml:space="preserve">- Executive Bureau Mandate &amp; TOR</w:t>
      </w:r>
      <w:r>
        <w:t xml:space="preserve"> </w:t>
      </w:r>
      <w:r>
        <w:t xml:space="preserve">- Membership Forms</w:t>
      </w:r>
      <w:r>
        <w:t xml:space="preserve"> </w:t>
      </w:r>
      <w:r>
        <w:t xml:space="preserve">- Institutional Minimum Standards</w:t>
      </w:r>
    </w:p>
    <w:p>
      <w:r>
        <w:pict>
          <v:rect style="width:0;height:1.5pt" o:hralign="center" o:hrstd="t" o:hr="t"/>
        </w:pict>
      </w:r>
    </w:p>
    <w:bookmarkEnd w:id="31"/>
    <w:bookmarkStart w:id="32" w:name="partners"/>
    <w:p>
      <w:pPr>
        <w:pStyle w:val="Heading2"/>
      </w:pPr>
      <w:r>
        <w:t xml:space="preserve">Partners</w:t>
      </w:r>
    </w:p>
    <w:p>
      <w:pPr>
        <w:pStyle w:val="Compact"/>
        <w:numPr>
          <w:ilvl w:val="0"/>
          <w:numId w:val="1006"/>
        </w:numPr>
      </w:pPr>
      <w:r>
        <w:t xml:space="preserve">Ministries of Education and government agencies</w:t>
      </w:r>
    </w:p>
    <w:p>
      <w:pPr>
        <w:pStyle w:val="Compact"/>
        <w:numPr>
          <w:ilvl w:val="0"/>
          <w:numId w:val="1006"/>
        </w:numPr>
      </w:pPr>
      <w:r>
        <w:t xml:space="preserve">International Islamic organisations and NGOs</w:t>
      </w:r>
    </w:p>
    <w:p>
      <w:pPr>
        <w:pStyle w:val="Compact"/>
        <w:numPr>
          <w:ilvl w:val="0"/>
          <w:numId w:val="1006"/>
        </w:numPr>
      </w:pPr>
      <w:r>
        <w:t xml:space="preserve">Universities and teacher education institutions</w:t>
      </w:r>
    </w:p>
    <w:p>
      <w:r>
        <w:pict>
          <v:rect style="width:0;height:1.5pt" o:hralign="center" o:hrstd="t" o:hr="t"/>
        </w:pict>
      </w:r>
    </w:p>
    <w:bookmarkEnd w:id="32"/>
    <w:bookmarkStart w:id="33" w:name="news-updates"/>
    <w:p>
      <w:pPr>
        <w:pStyle w:val="Heading2"/>
      </w:pPr>
      <w:r>
        <w:t xml:space="preserve">News &amp; Updates</w:t>
      </w:r>
    </w:p>
    <w:p>
      <w:pPr>
        <w:pStyle w:val="FirstParagraph"/>
      </w:pPr>
      <w:r>
        <w:t xml:space="preserve">Short articles, announcements, and opportunities for schools and educators. Archive by year.</w:t>
      </w:r>
    </w:p>
    <w:p>
      <w:r>
        <w:pict>
          <v:rect style="width:0;height:1.5pt" o:hralign="center" o:hrstd="t" o:hr="t"/>
        </w:pict>
      </w:r>
    </w:p>
    <w:bookmarkEnd w:id="33"/>
    <w:bookmarkStart w:id="34" w:name="get-involved"/>
    <w:p>
      <w:pPr>
        <w:pStyle w:val="Heading2"/>
      </w:pPr>
      <w:r>
        <w:t xml:space="preserve">Get Involved</w:t>
      </w:r>
    </w:p>
    <w:p>
      <w:pPr>
        <w:pStyle w:val="FirstParagraph"/>
      </w:pPr>
      <w:r>
        <w:rPr>
          <w:b/>
          <w:bCs/>
        </w:rPr>
        <w:t xml:space="preserve">Ways to Support</w:t>
      </w:r>
      <w:r>
        <w:t xml:space="preserve"> </w:t>
      </w:r>
      <w:r>
        <w:t xml:space="preserve">- Institutional Membership</w:t>
      </w:r>
      <w:r>
        <w:t xml:space="preserve"> </w:t>
      </w:r>
      <w:r>
        <w:t xml:space="preserve">- Endowment contributions</w:t>
      </w:r>
      <w:r>
        <w:t xml:space="preserve"> </w:t>
      </w:r>
      <w:r>
        <w:t xml:space="preserve">- Project partnerships and sponsorships</w:t>
      </w:r>
      <w:r>
        <w:t xml:space="preserve"> </w:t>
      </w:r>
      <w:r>
        <w:t xml:space="preserve">- Volunteering and expertise sharing</w:t>
      </w:r>
    </w:p>
    <w:p>
      <w:pPr>
        <w:pStyle w:val="BodyText"/>
      </w:pPr>
      <w:r>
        <w:rPr>
          <w:b/>
          <w:bCs/>
        </w:rPr>
        <w:t xml:space="preserve">Donate</w:t>
      </w:r>
      <w:r>
        <w:t xml:space="preserve"> </w:t>
      </w:r>
      <w:r>
        <w:t xml:space="preserve">Information on endowment contributions and designated project funds.</w:t>
      </w:r>
    </w:p>
    <w:p>
      <w:r>
        <w:pict>
          <v:rect style="width:0;height:1.5pt" o:hralign="center" o:hrstd="t" o:hr="t"/>
        </w:pict>
      </w:r>
    </w:p>
    <w:bookmarkEnd w:id="34"/>
    <w:bookmarkStart w:id="35" w:name="contact"/>
    <w:p>
      <w:pPr>
        <w:pStyle w:val="Heading2"/>
      </w:pPr>
      <w:r>
        <w:t xml:space="preserve">Contact</w:t>
      </w:r>
    </w:p>
    <w:p>
      <w:pPr>
        <w:pStyle w:val="Compact"/>
        <w:numPr>
          <w:ilvl w:val="0"/>
          <w:numId w:val="1007"/>
        </w:numPr>
      </w:pPr>
      <w:r>
        <w:t xml:space="preserve">Email: info@amaanah.gm</w:t>
      </w:r>
    </w:p>
    <w:p>
      <w:pPr>
        <w:pStyle w:val="Compact"/>
        <w:numPr>
          <w:ilvl w:val="0"/>
          <w:numId w:val="1007"/>
        </w:numPr>
      </w:pPr>
      <w:r>
        <w:t xml:space="preserve">Postal/Office Address: (Add official address when confirmed)</w:t>
      </w:r>
    </w:p>
    <w:p>
      <w:pPr>
        <w:pStyle w:val="Compact"/>
        <w:numPr>
          <w:ilvl w:val="0"/>
          <w:numId w:val="1007"/>
        </w:numPr>
      </w:pPr>
      <w:r>
        <w:t xml:space="preserve">Office Hours: (Add hours)</w:t>
      </w:r>
    </w:p>
    <w:p>
      <w:pPr>
        <w:pStyle w:val="Compact"/>
        <w:numPr>
          <w:ilvl w:val="0"/>
          <w:numId w:val="1007"/>
        </w:numPr>
      </w:pPr>
      <w:r>
        <w:t xml:space="preserve">Social Media: (Add links)</w:t>
      </w:r>
    </w:p>
    <w:p>
      <w:pPr>
        <w:pStyle w:val="FirstParagraph"/>
      </w:pPr>
      <w:r>
        <w:rPr>
          <w:b/>
          <w:bCs/>
        </w:rPr>
        <w:t xml:space="preserve">Enquiry Form</w:t>
      </w:r>
      <w:r>
        <w:t xml:space="preserve"> </w:t>
      </w:r>
      <w:r>
        <w:t xml:space="preserve">Name · Institution · Email · Phone · Message</w:t>
      </w:r>
    </w:p>
    <w:p>
      <w:r>
        <w:pict>
          <v:rect style="width:0;height:1.5pt" o:hralign="center" o:hrstd="t" o:hr="t"/>
        </w:pict>
      </w:r>
    </w:p>
    <w:bookmarkEnd w:id="35"/>
    <w:bookmarkStart w:id="36" w:name="footer"/>
    <w:p>
      <w:pPr>
        <w:pStyle w:val="Heading2"/>
      </w:pPr>
      <w:r>
        <w:t xml:space="preserve">Footer</w:t>
      </w:r>
    </w:p>
    <w:p>
      <w:pPr>
        <w:pStyle w:val="Compact"/>
        <w:numPr>
          <w:ilvl w:val="0"/>
          <w:numId w:val="1008"/>
        </w:numPr>
      </w:pPr>
      <w:r>
        <w:t xml:space="preserve">Motto:</w:t>
      </w:r>
      <w:r>
        <w:t xml:space="preserve"> </w:t>
      </w:r>
      <w:r>
        <w:rPr>
          <w:i/>
          <w:iCs/>
        </w:rPr>
        <w:t xml:space="preserve">Education for Development</w:t>
      </w:r>
    </w:p>
    <w:p>
      <w:pPr>
        <w:pStyle w:val="Compact"/>
        <w:numPr>
          <w:ilvl w:val="0"/>
          <w:numId w:val="1008"/>
        </w:numPr>
      </w:pPr>
      <w:r>
        <w:t xml:space="preserve">Working Languages: Arabic and English</w:t>
      </w:r>
    </w:p>
    <w:p>
      <w:pPr>
        <w:pStyle w:val="Compact"/>
        <w:numPr>
          <w:ilvl w:val="0"/>
          <w:numId w:val="1008"/>
        </w:numPr>
      </w:pPr>
      <w:r>
        <w:t xml:space="preserve">Copyright © AMAANAH. All rights reserved.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2025-12-01T18:34:38Z</dcterms:created>
  <dcterms:modified xsi:type="dcterms:W3CDTF">2025-12-01T18:34:38Z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