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jpg" ContentType="image/jpeg"/>
  <Override PartName="/word/media/rId57.pdf" ContentType="application/pdf"/>
  <Override PartName="/word/media/rId55.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Internship</w:t>
      </w:r>
      <w:r>
        <w:t xml:space="preserve"> </w:t>
      </w:r>
      <w:r>
        <w:t xml:space="preserve">report</w:t>
      </w:r>
    </w:p>
    <w:p>
      <w:pPr>
        <w:pStyle w:val="Subtitle"/>
      </w:pPr>
      <w:r>
        <w:t xml:space="preserve">Agromet</w:t>
      </w:r>
      <w:r>
        <w:t xml:space="preserve"> </w:t>
      </w:r>
      <w:r>
        <w:t xml:space="preserve">project</w:t>
      </w:r>
      <w:r>
        <w:t xml:space="preserve"> </w:t>
      </w:r>
      <w:r>
        <w:t xml:space="preserve">:</w:t>
      </w:r>
      <w:r>
        <w:t xml:space="preserve"> </w:t>
      </w:r>
      <w:r>
        <w:t xml:space="preserve">Investigating</w:t>
      </w:r>
      <w:r>
        <w:t xml:space="preserve"> </w:t>
      </w:r>
      <w:r>
        <w:t xml:space="preserve">spatial</w:t>
      </w:r>
      <w:r>
        <w:t xml:space="preserve"> </w:t>
      </w:r>
      <w:r>
        <w:t xml:space="preserve">interpolation</w:t>
      </w:r>
      <w:r>
        <w:t xml:space="preserve"> </w:t>
      </w:r>
      <w:r>
        <w:t xml:space="preserve">of</w:t>
      </w:r>
      <w:r>
        <w:t xml:space="preserve"> </w:t>
      </w:r>
      <w:r>
        <w:t xml:space="preserve">temperature</w:t>
      </w:r>
      <w:r>
        <w:t xml:space="preserve"> </w:t>
      </w:r>
      <w:r>
        <w:t xml:space="preserve">using</w:t>
      </w:r>
      <w:r>
        <w:t xml:space="preserve"> </w:t>
      </w:r>
      <w:r>
        <w:t xml:space="preserve">Multiple</w:t>
      </w:r>
      <w:r>
        <w:t xml:space="preserve"> </w:t>
      </w:r>
      <w:r>
        <w:t xml:space="preserve">Linear</w:t>
      </w:r>
      <w:r>
        <w:t xml:space="preserve"> </w:t>
      </w:r>
      <w:r>
        <w:t xml:space="preserve">Regression</w:t>
      </w:r>
    </w:p>
    <w:p>
      <w:pPr>
        <w:pStyle w:val="Author"/>
      </w:pPr>
      <w:r>
        <w:t xml:space="preserve">Loïc</w:t>
      </w:r>
      <w:r>
        <w:t xml:space="preserve"> </w:t>
      </w:r>
      <w:r>
        <w:t xml:space="preserve">Davadan</w:t>
      </w:r>
    </w:p>
    <w:p>
      <w:pPr>
        <w:pStyle w:val="Date"/>
      </w:pPr>
      <w:r>
        <w:t xml:space="preserve">08</w:t>
      </w:r>
      <w:r>
        <w:t xml:space="preserve"> </w:t>
      </w:r>
      <w:r>
        <w:t xml:space="preserve">August,</w:t>
      </w:r>
      <w:r>
        <w:t xml:space="preserve"> </w:t>
      </w:r>
      <w:r>
        <w:t xml:space="preserve">2018</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rmd-basics"/>
      <w:bookmarkEnd w:id="22"/>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4" w:name="lists"/>
      <w:bookmarkEnd w:id="24"/>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5" w:name="line-breaks"/>
      <w:bookmarkEnd w:id="25"/>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6" w:name="r-chunks"/>
      <w:bookmarkEnd w:id="26"/>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27" w:name="inline-code"/>
      <w:bookmarkEnd w:id="27"/>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28" w:name="including-plots"/>
      <w:bookmarkEnd w:id="28"/>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3696101"/>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1" w:name="loading-and-exploring-data"/>
      <w:bookmarkEnd w:id="31"/>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(new.pkg))</w:t>
      </w:r>
      <w:r>
        <w:br w:type="textWrapping"/>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(arr_delay </w:t>
      </w:r>
      <w:r>
        <w:rPr>
          <w:rStyle w:val="OperatorTok"/>
        </w:rPr>
        <w:t xml:space="preserve">==</w:t>
      </w:r>
      <w:r>
        <w:rPr>
          <w:rStyle w:val="StringTok"/>
        </w:rPr>
        <w:t xml:space="preserve"> </w:t>
      </w:r>
      <w:r>
        <w:rPr>
          <w:rStyle w:val="DecValTok"/>
        </w:rPr>
        <w:t xml:space="preserve">1539</w:t>
      </w:r>
      <w:r>
        <w:rPr>
          <w:rStyle w:val="NormalTok"/>
        </w:rPr>
        <w:t xml:space="preserve">, </w:t>
      </w:r>
      <w:r>
        <w:br w:type="textWrapping"/>
      </w:r>
      <w:r>
        <w:rPr>
          <w:rStyle w:val="NormalTok"/>
        </w:rPr>
        <w:t xml:space="preserve">                  carrier_name </w:t>
      </w:r>
      <w:r>
        <w:rPr>
          <w:rStyle w:val="OperatorTok"/>
        </w:rPr>
        <w:t xml:space="preserve">==</w:t>
      </w:r>
      <w:r>
        <w:rPr>
          <w:rStyle w:val="StringTok"/>
        </w:rPr>
        <w:t xml:space="preserve"> "American Airlines Inc."</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(month, day, carrier, dest_name, hour, </w:t>
      </w:r>
      <w:r>
        <w:br w:type="textWrapping"/>
      </w:r>
      <w:r>
        <w:rPr>
          <w:rStyle w:val="NormalTok"/>
        </w:rPr>
        <w:t xml:space="preserve">            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3</w:t>
      </w:r>
      <w:r>
        <w:rPr>
          <w:rStyle w:val="NormalTok"/>
        </w:rPr>
        <w:t xml:space="preserve">, day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dep_time, </w:t>
      </w:r>
      <w:r>
        <w:rPr>
          <w:rStyle w:val="DataTypeTok"/>
        </w:rPr>
        <w:t xml:space="preserve">y =</w:t>
      </w:r>
      <w:r>
        <w:rPr>
          <w:rStyle w:val="NormalTok"/>
        </w:rPr>
        <w:t xml:space="preserve"> arr_delay))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4" w:name="additional-resources"/>
      <w:bookmarkEnd w:id="34"/>
      <w:r>
        <w:t xml:space="preserve">Additional resources</w:t>
      </w:r>
    </w:p>
    <w:p>
      <w:pPr>
        <w:numPr>
          <w:numId w:val="1006"/>
          <w:ilvl w:val="0"/>
        </w:numPr>
      </w:pPr>
      <w:r>
        <w:rPr>
          <w:i/>
        </w:rPr>
        <w:t xml:space="preserve">Markdown</w:t>
      </w:r>
      <w:r>
        <w:t xml:space="preserve"> </w:t>
      </w:r>
      <w:r>
        <w:t xml:space="preserve">Cheatsheet -</w:t>
      </w:r>
      <w:r>
        <w:t xml:space="preserve"> </w:t>
      </w:r>
      <w:hyperlink r:id="rId35">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6">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37">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38">
        <w:r>
          <w:rPr>
            <w:rStyle w:val="Hyperlink"/>
          </w:rPr>
          <w:t xml:space="preserve">http://docs.ggplot2.org/current/</w:t>
        </w:r>
      </w:hyperlink>
    </w:p>
    <w:p>
      <w:pPr>
        <w:pStyle w:val="Heading1"/>
      </w:pPr>
      <w:bookmarkStart w:id="39" w:name="math-sci"/>
      <w:bookmarkEnd w:id="39"/>
      <w:r>
        <w:t xml:space="preserve">Mathematics and Science</w:t>
      </w:r>
    </w:p>
    <w:p>
      <w:pPr>
        <w:pStyle w:val="Heading2"/>
      </w:pPr>
      <w:bookmarkStart w:id="40" w:name="math"/>
      <w:bookmarkEnd w:id="40"/>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1" w:name="chemistry-101-symbols"/>
      <w:bookmarkEnd w:id="41"/>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2" w:name="typesetting-reactions"/>
      <w:bookmarkEnd w:id="42"/>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t>(</m:t>
          </m:r>
          <m:r>
            <m:t>1</m:t>
          </m:r>
          <m:r>
            <m:t>)</m:t>
          </m:r>
        </m:oMath>
      </m:oMathPara>
    </w:p>
    <w:p>
      <w:pPr>
        <w:pStyle w:val="FirstParagraph"/>
      </w:pPr>
      <w:r>
        <w:t xml:space="preserve">We can reference this combustion of glucose reaction via Equation (1).</w:t>
      </w:r>
    </w:p>
    <w:p>
      <w:pPr>
        <w:pStyle w:val="Heading3"/>
      </w:pPr>
      <w:bookmarkStart w:id="43" w:name="other-examples-of-reactions"/>
      <w:bookmarkEnd w:id="43"/>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4" w:name="physics"/>
      <w:bookmarkEnd w:id="44"/>
      <w:r>
        <w:t xml:space="preserve">Physics</w:t>
      </w:r>
    </w:p>
    <w:p>
      <w:pPr>
        <w:pStyle w:val="FirstParagraph"/>
      </w:pPr>
      <w:r>
        <w:t xml:space="preserve">Many of the symbols you will need can be found on the math page</w:t>
      </w:r>
      <w:r>
        <w:t xml:space="preserve"> </w:t>
      </w:r>
      <w:hyperlink r:id="rId45">
        <w:r>
          <w:rPr>
            <w:rStyle w:val="Hyperlink"/>
          </w:rPr>
          <w:t xml:space="preserve">http://web.reed.edu/cis/help/latex/math.html</w:t>
        </w:r>
      </w:hyperlink>
      <w:r>
        <w:t xml:space="preserve"> </w:t>
      </w:r>
      <w:r>
        <w:t xml:space="preserve">and the Comprehensive LaTeX Symbol Guide (</w:t>
      </w:r>
      <w:hyperlink r:id="rId46">
        <w:r>
          <w:rPr>
            <w:rStyle w:val="Hyperlink"/>
          </w:rPr>
          <w:t xml:space="preserve">http://mirror.utexas.edu/ctan/info/symbols/comprehensive/symbols-letter.pdf</w:t>
        </w:r>
      </w:hyperlink>
      <w:r>
        <w:t xml:space="preserve">).</w:t>
      </w:r>
    </w:p>
    <w:p>
      <w:pPr>
        <w:pStyle w:val="Heading2"/>
      </w:pPr>
      <w:bookmarkStart w:id="47" w:name="biology"/>
      <w:bookmarkEnd w:id="47"/>
      <w:r>
        <w:t xml:space="preserve">Biology</w:t>
      </w:r>
    </w:p>
    <w:p>
      <w:pPr>
        <w:pStyle w:val="FirstParagraph"/>
      </w:pPr>
      <w:r>
        <w:t xml:space="preserve">You will probably find the resources at</w:t>
      </w:r>
      <w:r>
        <w:t xml:space="preserve"> </w:t>
      </w:r>
      <w:hyperlink r:id="rId48">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9">
        <w:r>
          <w:rPr>
            <w:rStyle w:val="Hyperlink"/>
          </w:rPr>
          <w:t xml:space="preserve">http://homepages.uni-tuebingen.de/beitz/txe.html</w:t>
        </w:r>
      </w:hyperlink>
      <w:r>
        <w:t xml:space="preserve">). Be sure to read the proceeding chapter on graphics and tables.</w:t>
      </w:r>
    </w:p>
    <w:p>
      <w:pPr>
        <w:pStyle w:val="Heading1"/>
      </w:pPr>
      <w:bookmarkStart w:id="50" w:name="ref-labels"/>
      <w:bookmarkEnd w:id="50"/>
      <w:r>
        <w:t xml:space="preserve">Tables, Graphics, References, and Labels</w:t>
      </w:r>
    </w:p>
    <w:p>
      <w:pPr>
        <w:pStyle w:val="Heading2"/>
      </w:pPr>
      <w:bookmarkStart w:id="51" w:name="tables"/>
      <w:bookmarkEnd w:id="51"/>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2">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3" w:name="figures"/>
      <w:bookmarkEnd w:id="53"/>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title="" id="1" name="Picture"/>
            <a:graphic>
              <a:graphicData uri="http://schemas.openxmlformats.org/drawingml/2006/picture">
                <pic:pic>
                  <pic:nvPicPr>
                    <pic:cNvPr descr="figure/reed.jpg" id="0" name="Picture"/>
                    <pic:cNvPicPr>
                      <a:picLocks noChangeArrowheads="1" noChangeAspect="1"/>
                    </pic:cNvPicPr>
                  </pic:nvPicPr>
                  <pic:blipFill>
                    <a:blip r:embed="rId54"/>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(carrier)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mean_dep_delay))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6">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FigureWithCaption"/>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8" w:name="footnotes-and-endnotes"/>
      <w:bookmarkEnd w:id="58"/>
      <w:r>
        <w:t xml:space="preserve">Footnotes and Endnotes</w:t>
      </w:r>
    </w:p>
    <w:p>
      <w:pPr>
        <w:pStyle w:val="FirstParagraph"/>
      </w:pPr>
      <w:r>
        <w:t xml:space="preserve">You might want to footnote something.</w:t>
      </w:r>
      <w:r>
        <w:rPr>
          <w:rStyle w:val="FootnoteReference"/>
        </w:rPr>
        <w:footnoteReference w:id="59"/>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0">
        <w:r>
          <w:rPr>
            <w:rStyle w:val="Hyperlink"/>
          </w:rPr>
          <w:t xml:space="preserve">data@reed.edu</w:t>
        </w:r>
      </w:hyperlink>
      <w:r>
        <w:t xml:space="preserve">.</w:t>
      </w:r>
    </w:p>
    <w:p>
      <w:pPr>
        <w:pStyle w:val="Heading2"/>
      </w:pPr>
      <w:bookmarkStart w:id="61" w:name="bibliographies"/>
      <w:bookmarkEnd w:id="61"/>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2">
        <w:r>
          <w:rPr>
            <w:rStyle w:val="Hyperlink"/>
          </w:rPr>
          <w:t xml:space="preserve">http://libguides.reed.edu/citation/zotero</w:t>
        </w:r>
      </w:hyperlink>
      <w:r>
        <w:t xml:space="preserve">. In addition, a tutorial is available from Middlebury College at</w:t>
      </w:r>
      <w:r>
        <w:t xml:space="preserve"> </w:t>
      </w:r>
      <w:hyperlink r:id="rId63">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4">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5">
        <w:r>
          <w:rPr>
            <w:rStyle w:val="Hyperlink"/>
          </w:rPr>
          <w:t xml:space="preserve">http://web.reed.edu/cis/help/latex/index.html</w:t>
        </w:r>
      </w:hyperlink>
      <w:r>
        <w:t xml:space="preserve">)</w:t>
      </w:r>
      <w:r>
        <w:rPr>
          <w:rStyle w:val="FootnoteReference"/>
        </w:rPr>
        <w:footnoteReference w:id="66"/>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7">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8">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9">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0">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1"/>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p>
      <w:pPr>
        <w:pStyle w:val="Heading2"/>
      </w:pPr>
      <w:bookmarkStart w:id="72" w:name="anything-else"/>
      <w:bookmarkEnd w:id="72"/>
      <w:r>
        <w:t xml:space="preserve">Anything else?</w:t>
      </w:r>
    </w:p>
    <w:p>
      <w:pPr>
        <w:pStyle w:val="FirstParagraph"/>
      </w:pPr>
      <w:r>
        <w:t xml:space="preserve">If you’d like to see examples of other things in this template, please contact the Data @ Reed team (email</w:t>
      </w:r>
      <w:r>
        <w:t xml:space="preserve"> </w:t>
      </w:r>
      <w:hyperlink r:id="rId60">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3" w:name="conclusion"/>
      <w:bookmarkEnd w:id="73"/>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74" w:name="appendix-appendix"/>
      <w:bookmarkEnd w:id="74"/>
      <w:r>
        <w:t xml:space="preserve">(APPENDIX) Appendix</w:t>
      </w:r>
    </w:p>
    <w:p>
      <w:pPr>
        <w:pStyle w:val="Heading1"/>
      </w:pPr>
      <w:bookmarkStart w:id="75" w:name="the-first-appendix"/>
      <w:bookmarkEnd w:id="75"/>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KeywordTok"/>
        </w:rPr>
        <w:t xml:space="preserve">Sys.setenv</w:t>
      </w:r>
      <w:r>
        <w:rPr>
          <w:rStyle w:val="NormalTok"/>
        </w:rPr>
        <w:t xml:space="preserve">(</w:t>
      </w:r>
      <w:r>
        <w:rPr>
          <w:rStyle w:val="DataTypeTok"/>
        </w:rPr>
        <w:t xml:space="preserve">RSTUDIO_PDFLATEX =</w:t>
      </w:r>
      <w:r>
        <w:rPr>
          <w:rStyle w:val="NormalTok"/>
        </w:rPr>
        <w:t xml:space="preserve"> </w:t>
      </w:r>
      <w:r>
        <w:rPr>
          <w:rStyle w:val="StringTok"/>
        </w:rPr>
        <w:t xml:space="preserve">"latexmk"</w:t>
      </w:r>
      <w:r>
        <w:rPr>
          <w:rStyle w:val="NormalTok"/>
        </w:rPr>
        <w:t xml:space="preserve">)</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6" w:name="the-second-appendix-for-fun"/>
      <w:bookmarkEnd w:id="76"/>
      <w:r>
        <w:t xml:space="preserve">The Second Appendix, for Fun</w:t>
      </w:r>
    </w:p>
    <w:p>
      <w:pPr>
        <w:pStyle w:val="FirstParagraph"/>
      </w:pPr>
    </w:p>
    <w:p>
      <w:pPr>
        <w:pStyle w:val="Heading1"/>
      </w:pPr>
      <w:bookmarkStart w:id="77" w:name="references"/>
      <w:bookmarkEnd w:id="77"/>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78">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9">
    <w:p>
      <w:pPr>
        <w:pStyle w:val="FootnoteText"/>
      </w:pPr>
      <w:r>
        <w:rPr>
          <w:rStyle w:val="FootnoteReference"/>
        </w:rPr>
        <w:footnoteRef/>
      </w:r>
      <w:r>
        <w:t xml:space="preserve"> </w:t>
      </w:r>
      <w:r>
        <w:t xml:space="preserve">footnote text</w:t>
      </w:r>
    </w:p>
  </w:footnote>
  <w:footnote w:id="66">
    <w:p>
      <w:pPr>
        <w:pStyle w:val="FootnoteText"/>
      </w:pPr>
      <w:r>
        <w:rPr>
          <w:rStyle w:val="FootnoteReference"/>
        </w:rPr>
        <w:footnoteRef/>
      </w:r>
      <w:r>
        <w:t xml:space="preserve"> </w:t>
      </w:r>
      <w:r>
        <w:t xml:space="preserve">Reed College (2007)</w:t>
      </w:r>
    </w:p>
  </w:footnote>
  <w:footnote w:id="71">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2107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84e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9dac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jpg" /><Relationship Type="http://schemas.openxmlformats.org/officeDocument/2006/relationships/image" Id="rId57" Target="media/rId57.pdf"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Loïc Davadan</dc:creator>
  <dcterms:created xsi:type="dcterms:W3CDTF">2018-08-08T12:53:15Z</dcterms:created>
  <dcterms:modified xsi:type="dcterms:W3CDTF">2018-08-08T12:53:15Z</dcterms:modified>
</cp:coreProperties>
</file>