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PIA 模拟产品能力</w:t>
      </w:r>
    </w:p>
    <w:p>
      <w:pPr>
        <w:pStyle w:val="Heading2"/>
      </w:pPr>
      <w:r>
        <w:t>竞争事件证据追踪</w:t>
      </w:r>
    </w:p>
    <w:p>
      <w:r>
        <w:t>PIA 支持为竞争事件保留原始证据、来源地址和观察时间。</w:t>
      </w:r>
    </w:p>
    <w:p>
      <w:pPr>
        <w:pStyle w:val="ListBullet"/>
      </w:pPr>
      <w:r>
        <w:t>事件证据可以回溯到对应来源。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证据追踪</w:t>
            </w:r>
          </w:p>
        </w:tc>
        <w:tc>
          <w:tcPr>
            <w:tcW w:type="dxa" w:w="4320"/>
          </w:tcPr>
          <w:p>
            <w:r>
              <w:t>已支持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 模拟产品能力</dc:title>
  <dc:subject/>
  <dc:creator>PIA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