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EE040">
      <w:pPr>
        <w:pStyle w:val="34"/>
        <w:numPr>
          <w:ilvl w:val="1"/>
          <w:numId w:val="6"/>
        </w:numPr>
        <w:wordWrap/>
        <w:overflowPunct/>
        <w:topLinePunct w:val="0"/>
        <w:bidi w:val="0"/>
        <w:snapToGrid w:val="0"/>
        <w:spacing w:before="0" w:beforeLines="0" w:beforeAutospacing="0" w:after="0" w:afterLines="0" w:afterAutospacing="0" w:line="360" w:lineRule="auto"/>
        <w:rPr>
          <w:rFonts w:hint="eastAsia" w:ascii="仿宋_GB2312" w:hAnsi="仿宋_GB2312" w:eastAsia="仿宋_GB2312" w:cs="仿宋_GB2312"/>
          <w:color w:val="auto"/>
          <w:lang w:val="en-US" w:eastAsia="zh-CN"/>
        </w:rPr>
      </w:pPr>
      <w:bookmarkStart w:id="0" w:name="_Toc7839"/>
      <w:bookmarkStart w:id="1" w:name="_Toc13729"/>
      <w:bookmarkStart w:id="2" w:name="_Toc18256"/>
      <w:bookmarkStart w:id="3" w:name="_Toc28260"/>
      <w:bookmarkStart w:id="4" w:name="_Toc195102177"/>
      <w:bookmarkStart w:id="5" w:name="_Toc30022"/>
      <w:bookmarkStart w:id="6" w:name="_Toc8959"/>
      <w:r>
        <w:rPr>
          <w:rFonts w:hint="eastAsia" w:ascii="仿宋_GB2312" w:hAnsi="仿宋_GB2312" w:eastAsia="仿宋_GB2312" w:cs="仿宋_GB2312"/>
          <w:color w:val="auto"/>
          <w:lang w:val="en-US" w:eastAsia="zh-CN"/>
        </w:rPr>
        <w:t>功能模块设计（核心模块）</w:t>
      </w:r>
      <w:bookmarkEnd w:id="0"/>
      <w:bookmarkEnd w:id="1"/>
      <w:bookmarkEnd w:id="2"/>
    </w:p>
    <w:p w14:paraId="012CE3B5">
      <w:pPr>
        <w:pStyle w:val="36"/>
        <w:bidi w:val="0"/>
        <w:rPr>
          <w:rFonts w:hint="eastAsia"/>
          <w:color w:val="auto"/>
        </w:rPr>
      </w:pPr>
      <w:bookmarkStart w:id="7" w:name="_Toc195102178"/>
      <w:bookmarkStart w:id="8" w:name="_Toc11708"/>
      <w:bookmarkStart w:id="9" w:name="_Toc17983"/>
      <w:r>
        <w:rPr>
          <w:rFonts w:hint="eastAsia"/>
          <w:color w:val="auto"/>
        </w:rPr>
        <w:t>计划排程</w:t>
      </w:r>
      <w:r>
        <w:rPr>
          <w:rFonts w:hint="eastAsia"/>
          <w:color w:val="auto"/>
          <w:lang w:eastAsia="zh-CN"/>
        </w:rPr>
        <w:t>（</w:t>
      </w:r>
      <w:r>
        <w:rPr>
          <w:rFonts w:hint="eastAsia"/>
          <w:color w:val="auto"/>
          <w:lang w:val="en-US" w:eastAsia="zh-CN"/>
        </w:rPr>
        <w:t>定制开发</w:t>
      </w:r>
      <w:r>
        <w:rPr>
          <w:rFonts w:hint="eastAsia"/>
          <w:color w:val="auto"/>
          <w:lang w:eastAsia="zh-CN"/>
        </w:rPr>
        <w:t>）</w:t>
      </w:r>
    </w:p>
    <w:p w14:paraId="2CA20008">
      <w:pPr>
        <w:bidi w:val="0"/>
        <w:rPr>
          <w:rFonts w:hint="eastAsia"/>
          <w:color w:val="auto"/>
        </w:rPr>
      </w:pPr>
      <w:r>
        <w:rPr>
          <w:rFonts w:hint="eastAsia"/>
          <w:color w:val="auto"/>
        </w:rPr>
        <w:t>根据集团要求、库存状况、生产能力等因素，制定详细的生产计划，包括产品品种、数量、生产时间等，可支持年度、季度、月度及周度等不同时间维度的计划编制。</w:t>
      </w:r>
    </w:p>
    <w:p w14:paraId="42FFAB40">
      <w:pPr>
        <w:pStyle w:val="42"/>
        <w:wordWrap/>
        <w:overflowPunct/>
        <w:topLinePunct w:val="0"/>
        <w:bidi w:val="0"/>
        <w:snapToGrid w:val="0"/>
        <w:spacing w:beforeAutospacing="0" w:afterAutospacing="0" w:line="360" w:lineRule="auto"/>
        <w:rPr>
          <w:rFonts w:hint="eastAsia"/>
          <w:color w:val="auto"/>
        </w:rPr>
      </w:pPr>
      <w:r>
        <w:rPr>
          <w:color w:val="auto"/>
        </w:rPr>
        <w:drawing>
          <wp:inline distT="0" distB="0" distL="0" distR="0">
            <wp:extent cx="4728210" cy="2621280"/>
            <wp:effectExtent l="9525" t="9525" r="17145" b="20955"/>
            <wp:docPr id="380669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9143" name="图片 1"/>
                    <pic:cNvPicPr>
                      <a:picLocks noChangeAspect="1"/>
                    </pic:cNvPicPr>
                  </pic:nvPicPr>
                  <pic:blipFill>
                    <a:blip r:embed="rId8"/>
                    <a:stretch>
                      <a:fillRect/>
                    </a:stretch>
                  </pic:blipFill>
                  <pic:spPr>
                    <a:xfrm>
                      <a:off x="0" y="0"/>
                      <a:ext cx="4729647" cy="2622204"/>
                    </a:xfrm>
                    <a:prstGeom prst="rect">
                      <a:avLst/>
                    </a:prstGeom>
                    <a:ln>
                      <a:solidFill>
                        <a:schemeClr val="tx1"/>
                      </a:solidFill>
                    </a:ln>
                  </pic:spPr>
                </pic:pic>
              </a:graphicData>
            </a:graphic>
          </wp:inline>
        </w:drawing>
      </w:r>
    </w:p>
    <w:p w14:paraId="68614833">
      <w:pPr>
        <w:bidi w:val="0"/>
        <w:rPr>
          <w:rFonts w:hint="eastAsia"/>
          <w:color w:val="auto"/>
        </w:rPr>
      </w:pPr>
      <w:r>
        <w:rPr>
          <w:rFonts w:hint="eastAsia"/>
          <w:color w:val="auto"/>
        </w:rPr>
        <w:t>通过与生产现场的实时数据采集系统集成，实时获取生产线上各工序的生产进度信息，如产品生产数量、完成时间等，使管理人员能够及时了解生产计划的执行情况。</w:t>
      </w:r>
    </w:p>
    <w:p w14:paraId="7B973CEB">
      <w:pPr>
        <w:pStyle w:val="36"/>
        <w:bidi w:val="0"/>
        <w:rPr>
          <w:rFonts w:hint="eastAsia"/>
          <w:color w:val="auto"/>
        </w:rPr>
      </w:pPr>
      <w:r>
        <w:rPr>
          <w:color w:val="auto"/>
        </w:rPr>
        <w:t>生产</w:t>
      </w:r>
      <w:bookmarkEnd w:id="7"/>
      <w:bookmarkEnd w:id="8"/>
      <w:bookmarkEnd w:id="9"/>
      <w:r>
        <w:rPr>
          <w:rFonts w:hint="eastAsia"/>
          <w:color w:val="auto"/>
          <w:lang w:val="en-US" w:eastAsia="zh-CN"/>
        </w:rPr>
        <w:t>管控</w:t>
      </w:r>
    </w:p>
    <w:p w14:paraId="2315425B">
      <w:pPr>
        <w:bidi w:val="0"/>
        <w:rPr>
          <w:rFonts w:hint="eastAsia"/>
          <w:color w:val="auto"/>
        </w:rPr>
      </w:pPr>
      <w:r>
        <w:rPr>
          <w:rFonts w:hint="eastAsia"/>
          <w:color w:val="auto"/>
          <w:lang w:val="en-US" w:eastAsia="zh-CN"/>
        </w:rPr>
        <w:t>建设</w:t>
      </w:r>
      <w:r>
        <w:rPr>
          <w:rFonts w:hint="eastAsia"/>
          <w:color w:val="auto"/>
        </w:rPr>
        <w:t>生产管理</w:t>
      </w:r>
      <w:r>
        <w:rPr>
          <w:rFonts w:hint="eastAsia"/>
          <w:color w:val="auto"/>
          <w:lang w:val="en-US" w:eastAsia="zh-CN"/>
        </w:rPr>
        <w:t>模块实现</w:t>
      </w:r>
      <w:r>
        <w:rPr>
          <w:color w:val="auto"/>
        </w:rPr>
        <w:t>生产</w:t>
      </w:r>
      <w:r>
        <w:rPr>
          <w:rFonts w:hint="eastAsia"/>
          <w:color w:val="auto"/>
          <w:lang w:val="en-US" w:eastAsia="zh-CN"/>
        </w:rPr>
        <w:t>管控，</w:t>
      </w:r>
      <w:r>
        <w:rPr>
          <w:rFonts w:hint="eastAsia"/>
          <w:color w:val="auto"/>
        </w:rPr>
        <w:t>主要涵盖过程管理、生产库存报表、生产基础信息等核心功能模块。这些模块紧密协作，全面覆盖生产车间的每一道工序表单，深度整合生产过程中的各类数据。</w:t>
      </w:r>
    </w:p>
    <w:p w14:paraId="396446BA">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606925" cy="2446020"/>
            <wp:effectExtent l="9525" t="9525" r="16510" b="13335"/>
            <wp:docPr id="403238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8889" name="图片 1"/>
                    <pic:cNvPicPr>
                      <a:picLocks noChangeAspect="1"/>
                    </pic:cNvPicPr>
                  </pic:nvPicPr>
                  <pic:blipFill>
                    <a:blip r:embed="rId9"/>
                    <a:stretch>
                      <a:fillRect/>
                    </a:stretch>
                  </pic:blipFill>
                  <pic:spPr>
                    <a:xfrm>
                      <a:off x="0" y="0"/>
                      <a:ext cx="4607415" cy="2446267"/>
                    </a:xfrm>
                    <a:prstGeom prst="rect">
                      <a:avLst/>
                    </a:prstGeom>
                    <a:ln>
                      <a:solidFill>
                        <a:schemeClr val="tx1"/>
                      </a:solidFill>
                    </a:ln>
                  </pic:spPr>
                </pic:pic>
              </a:graphicData>
            </a:graphic>
          </wp:inline>
        </w:drawing>
      </w:r>
    </w:p>
    <w:p w14:paraId="6E6FFAAB">
      <w:pPr>
        <w:pStyle w:val="35"/>
        <w:bidi w:val="0"/>
        <w:rPr>
          <w:rFonts w:hint="eastAsia"/>
          <w:color w:val="auto"/>
        </w:rPr>
      </w:pPr>
      <w:bookmarkStart w:id="10" w:name="_Toc195102180"/>
      <w:bookmarkStart w:id="11" w:name="_Toc23779"/>
      <w:r>
        <w:rPr>
          <w:rFonts w:hint="eastAsia"/>
          <w:color w:val="auto"/>
        </w:rPr>
        <w:t>过程管理</w:t>
      </w:r>
      <w:bookmarkEnd w:id="10"/>
      <w:bookmarkEnd w:id="11"/>
    </w:p>
    <w:p w14:paraId="09F44524">
      <w:pPr>
        <w:bidi w:val="0"/>
        <w:rPr>
          <w:rFonts w:hint="eastAsia"/>
          <w:color w:val="auto"/>
        </w:rPr>
      </w:pPr>
      <w:r>
        <w:rPr>
          <w:rFonts w:hint="eastAsia"/>
          <w:color w:val="auto"/>
        </w:rPr>
        <w:t>过程管理围绕车间生产全流程，对各关键工序实施精细化线上管控。从车间管理出发，搭建集成化管理平台，实时掌握人员、设备、物料的动态信息，优化资源调配，提升车间运转效率。</w:t>
      </w:r>
    </w:p>
    <w:p w14:paraId="70C693B4">
      <w:pPr>
        <w:bidi w:val="0"/>
        <w:rPr>
          <w:rFonts w:hint="eastAsia"/>
          <w:color w:val="auto"/>
        </w:rPr>
      </w:pPr>
      <w:r>
        <w:rPr>
          <w:rFonts w:hint="eastAsia"/>
          <w:color w:val="auto"/>
        </w:rPr>
        <w:t>工序标准化建模：建立覆盖车间管理、称投料、配料、灌装等11个核心工序的标准化流程模板，定义各环节输入/输出数据、操作规范及表单格式。在系统构建过程中，并非简单复制线下所有业务表单与报告，而是对业务流程进行深度梳理与优化。通过系统的数据关联机制，打破数据孤岛，增强各表单之间的数据应用关系。例如，生产计划管理模块的信息能自动关联至过程管理模块，为生产执行提供精准指导；生产库存报表数据与生产计划实时交互，确保物料供应与生产需求相匹配。</w:t>
      </w:r>
    </w:p>
    <w:p w14:paraId="59980521">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792980" cy="2431415"/>
            <wp:effectExtent l="9525" t="9525" r="13335" b="12700"/>
            <wp:docPr id="1332552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52272" name="图片 1"/>
                    <pic:cNvPicPr>
                      <a:picLocks noChangeAspect="1"/>
                    </pic:cNvPicPr>
                  </pic:nvPicPr>
                  <pic:blipFill>
                    <a:blip r:embed="rId10"/>
                    <a:stretch>
                      <a:fillRect/>
                    </a:stretch>
                  </pic:blipFill>
                  <pic:spPr>
                    <a:xfrm>
                      <a:off x="0" y="0"/>
                      <a:ext cx="4795275" cy="2432432"/>
                    </a:xfrm>
                    <a:prstGeom prst="rect">
                      <a:avLst/>
                    </a:prstGeom>
                    <a:ln>
                      <a:solidFill>
                        <a:schemeClr val="tx1"/>
                      </a:solidFill>
                    </a:ln>
                  </pic:spPr>
                </pic:pic>
              </a:graphicData>
            </a:graphic>
          </wp:inline>
        </w:drawing>
      </w:r>
    </w:p>
    <w:p w14:paraId="45CBCCFC">
      <w:pPr>
        <w:bidi w:val="0"/>
        <w:rPr>
          <w:rFonts w:hint="eastAsia"/>
          <w:color w:val="auto"/>
        </w:rPr>
      </w:pPr>
      <w:r>
        <w:rPr>
          <w:rFonts w:hint="eastAsia"/>
          <w:color w:val="auto"/>
        </w:rPr>
        <w:t>针对称投料、配料、拆包等前端工序，构建标准化线上操作流程与数据采集体系。在称投料环节，借助智能称重设备与系统无缝对接，自动记录物料重量、批次等信息；配料工序依据预设配方自动计算各物料用量，并实时监控配比准确性；拆包工序同步记录物料拆封时间、来源等数据，确保物料流转可追溯。</w:t>
      </w:r>
    </w:p>
    <w:p w14:paraId="6B2BBB36">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705985" cy="2658110"/>
            <wp:effectExtent l="9525" t="9525" r="24130" b="14605"/>
            <wp:docPr id="226366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66757" name="图片 1"/>
                    <pic:cNvPicPr>
                      <a:picLocks noChangeAspect="1"/>
                    </pic:cNvPicPr>
                  </pic:nvPicPr>
                  <pic:blipFill>
                    <a:blip r:embed="rId11"/>
                    <a:stretch>
                      <a:fillRect/>
                    </a:stretch>
                  </pic:blipFill>
                  <pic:spPr>
                    <a:xfrm>
                      <a:off x="0" y="0"/>
                      <a:ext cx="4709848" cy="2660495"/>
                    </a:xfrm>
                    <a:prstGeom prst="rect">
                      <a:avLst/>
                    </a:prstGeom>
                    <a:ln>
                      <a:solidFill>
                        <a:schemeClr val="tx1"/>
                      </a:solidFill>
                    </a:ln>
                  </pic:spPr>
                </pic:pic>
              </a:graphicData>
            </a:graphic>
          </wp:inline>
        </w:drawing>
      </w:r>
    </w:p>
    <w:p w14:paraId="43D45885">
      <w:pPr>
        <w:bidi w:val="0"/>
        <w:rPr>
          <w:rFonts w:hint="eastAsia"/>
          <w:color w:val="auto"/>
        </w:rPr>
      </w:pPr>
      <w:r>
        <w:rPr>
          <w:rFonts w:hint="eastAsia"/>
          <w:color w:val="auto"/>
        </w:rPr>
        <w:t>灌装、打码、热缩、包装、码垛等生产与后处理工序，实现全流程数字化管控。灌装过程中，系统自动监测灌装量、设备运行参数；打码工序精准关联产品信息生成唯一追溯码；热缩、包装、码垛工序实时采集生产数量、质量检测结果等数据。</w:t>
      </w:r>
    </w:p>
    <w:p w14:paraId="22615559">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735830" cy="2625090"/>
            <wp:effectExtent l="9525" t="9525" r="9525" b="17145"/>
            <wp:docPr id="34090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089" name="图片 1"/>
                    <pic:cNvPicPr>
                      <a:picLocks noChangeAspect="1"/>
                    </pic:cNvPicPr>
                  </pic:nvPicPr>
                  <pic:blipFill>
                    <a:blip r:embed="rId12"/>
                    <a:stretch>
                      <a:fillRect/>
                    </a:stretch>
                  </pic:blipFill>
                  <pic:spPr>
                    <a:xfrm>
                      <a:off x="0" y="0"/>
                      <a:ext cx="4735830" cy="2625632"/>
                    </a:xfrm>
                    <a:prstGeom prst="rect">
                      <a:avLst/>
                    </a:prstGeom>
                    <a:ln>
                      <a:solidFill>
                        <a:schemeClr val="tx1"/>
                      </a:solidFill>
                    </a:ln>
                  </pic:spPr>
                </pic:pic>
              </a:graphicData>
            </a:graphic>
          </wp:inline>
        </w:drawing>
      </w:r>
    </w:p>
    <w:p w14:paraId="388AA5D0">
      <w:pPr>
        <w:bidi w:val="0"/>
        <w:rPr>
          <w:rFonts w:hint="eastAsia"/>
          <w:color w:val="auto"/>
        </w:rPr>
      </w:pPr>
      <w:r>
        <w:rPr>
          <w:rFonts w:hint="eastAsia"/>
          <w:color w:val="auto"/>
        </w:rPr>
        <w:t>制水、污水等辅助工序同样纳入线上管理范畴，实时监测水质指标、设备运行状态，记录处理数据。</w:t>
      </w:r>
    </w:p>
    <w:p w14:paraId="069388E7">
      <w:pPr>
        <w:pStyle w:val="37"/>
        <w:bidi w:val="0"/>
        <w:rPr>
          <w:rFonts w:hint="default"/>
          <w:color w:val="auto"/>
        </w:rPr>
      </w:pPr>
      <w:r>
        <w:rPr>
          <w:rFonts w:hint="default"/>
          <w:color w:val="auto"/>
        </w:rPr>
        <w:t>生产主管模块</w:t>
      </w:r>
    </w:p>
    <w:p w14:paraId="5D95AEC8">
      <w:pPr>
        <w:bidi w:val="0"/>
        <w:rPr>
          <w:rFonts w:hint="default"/>
          <w:color w:val="auto"/>
        </w:rPr>
      </w:pPr>
      <w:r>
        <w:rPr>
          <w:rFonts w:hint="default"/>
          <w:color w:val="auto"/>
        </w:rPr>
        <w:t>生产主管肩负着统筹生产流程、保障生产效率与合规性的核心职责，该模块围绕其生产组织、流程管控、合规监督、效率优化等具体职责，构建了全流程功能体系，助力生产主管高效开展工作。</w:t>
      </w:r>
    </w:p>
    <w:p w14:paraId="696A76E0">
      <w:pPr>
        <w:numPr>
          <w:ilvl w:val="0"/>
          <w:numId w:val="7"/>
        </w:numPr>
        <w:bidi w:val="0"/>
        <w:ind w:left="420" w:leftChars="0" w:hanging="420" w:firstLineChars="0"/>
        <w:rPr>
          <w:rFonts w:hint="default"/>
          <w:color w:val="auto"/>
        </w:rPr>
      </w:pPr>
      <w:r>
        <w:rPr>
          <w:rFonts w:hint="default"/>
          <w:color w:val="auto"/>
        </w:rPr>
        <w:t>生产交接班</w:t>
      </w:r>
    </w:p>
    <w:p w14:paraId="7765E0BE">
      <w:pPr>
        <w:bidi w:val="0"/>
        <w:rPr>
          <w:rFonts w:hint="default"/>
          <w:color w:val="auto"/>
        </w:rPr>
      </w:pPr>
      <w:r>
        <w:rPr>
          <w:rFonts w:hint="default"/>
          <w:color w:val="auto"/>
        </w:rPr>
        <w:t>生产交接班功能：生产主管需通过此功能监督生产班次间工作信息的无缝传递，涵盖生产进度、设备状态、待办事项等关键内容。这一功能帮助其明确班次间责任划分，确保交接班清晰，为后续生产平稳衔接负责，是其组织生产连续性的重要抓手。</w:t>
      </w:r>
    </w:p>
    <w:p w14:paraId="52CEC0CF">
      <w:pPr>
        <w:bidi w:val="0"/>
        <w:rPr>
          <w:rFonts w:hint="default"/>
          <w:color w:val="auto"/>
        </w:rPr>
      </w:pPr>
      <w:r>
        <w:rPr>
          <w:rFonts w:hint="default"/>
          <w:color w:val="auto"/>
        </w:rPr>
        <w:t>实现生产订单交接信息的集中管理，涵盖生产单号、日期、产品、班次等关键维度，支持生产主管及相关人员清晰掌握交接状态，保障生产连续性。通过检索类字段：生产订单号、生产日期、产品名称、大批次、产线、班次，可通过精准筛选快速定位特定交接单，提升信息查询效率；通过信息类字段：生产单号、生产日期、产品名称、产品类型、大批次、班次、组别、线别、制单人、创建时间、状态，全方位呈现交接单的基础信息与当前进展；通过操作类字段：详情、编辑、当班签字，支持对交接单进行信息查看、内容修改及责任确认，确保交接流程的规范性与可追溯性。</w:t>
      </w:r>
    </w:p>
    <w:p w14:paraId="768826E1">
      <w:pPr>
        <w:bidi w:val="0"/>
        <w:rPr>
          <w:rFonts w:hint="default"/>
          <w:color w:val="auto"/>
        </w:rPr>
      </w:pPr>
      <w:r>
        <w:rPr>
          <w:rFonts w:hint="default"/>
          <w:color w:val="auto"/>
        </w:rPr>
        <w:t>以数字化表单替代传统纸质交接记录，实现信息的实时共享、精准追溯与高效管理，助力生产团队明确交接责任、优化生产衔接，为生产效率与合规性提供有力支撑。</w:t>
      </w:r>
    </w:p>
    <w:p w14:paraId="322830E5">
      <w:pPr>
        <w:pStyle w:val="42"/>
        <w:bidi w:val="0"/>
        <w:rPr>
          <w:rFonts w:hint="default"/>
          <w:color w:val="auto"/>
        </w:rPr>
      </w:pPr>
      <w:r>
        <w:rPr>
          <w:rFonts w:hint="default"/>
          <w:color w:val="auto"/>
        </w:rPr>
        <w:drawing>
          <wp:inline distT="0" distB="0" distL="114300" distR="114300">
            <wp:extent cx="5266690" cy="2615565"/>
            <wp:effectExtent l="0" t="0" r="6350" b="571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13"/>
                    <a:stretch>
                      <a:fillRect/>
                    </a:stretch>
                  </pic:blipFill>
                  <pic:spPr>
                    <a:xfrm>
                      <a:off x="0" y="0"/>
                      <a:ext cx="5266690" cy="2615565"/>
                    </a:xfrm>
                    <a:prstGeom prst="rect">
                      <a:avLst/>
                    </a:prstGeom>
                  </pic:spPr>
                </pic:pic>
              </a:graphicData>
            </a:graphic>
          </wp:inline>
        </w:drawing>
      </w:r>
    </w:p>
    <w:p w14:paraId="5086D262">
      <w:pPr>
        <w:pStyle w:val="42"/>
        <w:bidi w:val="0"/>
        <w:rPr>
          <w:rFonts w:hint="default"/>
          <w:color w:val="auto"/>
        </w:rPr>
      </w:pPr>
      <w:r>
        <w:rPr>
          <w:rFonts w:hint="default"/>
          <w:color w:val="auto"/>
        </w:rPr>
        <w:drawing>
          <wp:inline distT="0" distB="0" distL="114300" distR="114300">
            <wp:extent cx="5266690" cy="2615565"/>
            <wp:effectExtent l="0" t="0" r="6350" b="571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14"/>
                    <a:stretch>
                      <a:fillRect/>
                    </a:stretch>
                  </pic:blipFill>
                  <pic:spPr>
                    <a:xfrm>
                      <a:off x="0" y="0"/>
                      <a:ext cx="5266690" cy="2615565"/>
                    </a:xfrm>
                    <a:prstGeom prst="rect">
                      <a:avLst/>
                    </a:prstGeom>
                  </pic:spPr>
                </pic:pic>
              </a:graphicData>
            </a:graphic>
          </wp:inline>
        </w:drawing>
      </w:r>
    </w:p>
    <w:p w14:paraId="5B999C05">
      <w:pPr>
        <w:numPr>
          <w:ilvl w:val="0"/>
          <w:numId w:val="7"/>
        </w:numPr>
        <w:bidi w:val="0"/>
        <w:ind w:left="420" w:leftChars="0" w:hanging="420" w:firstLineChars="0"/>
        <w:rPr>
          <w:rFonts w:hint="default"/>
          <w:color w:val="auto"/>
        </w:rPr>
      </w:pPr>
      <w:r>
        <w:rPr>
          <w:rFonts w:hint="default"/>
          <w:color w:val="auto"/>
        </w:rPr>
        <w:t>清场记录</w:t>
      </w:r>
    </w:p>
    <w:p w14:paraId="02643DC6">
      <w:pPr>
        <w:bidi w:val="0"/>
        <w:rPr>
          <w:rFonts w:hint="default"/>
          <w:color w:val="auto"/>
        </w:rPr>
      </w:pPr>
      <w:r>
        <w:rPr>
          <w:rFonts w:hint="default"/>
          <w:color w:val="auto"/>
        </w:rPr>
        <w:t>清场记录功能：生产主管需依托该功能规范生产区域清场管理，审核清场时间、区域、内容及确认情况的记录。以此保障生产环境符合洁净要求，避免产品交叉污染，履行其对生产合规性的监督职责。</w:t>
      </w:r>
    </w:p>
    <w:p w14:paraId="52E5F76F">
      <w:pPr>
        <w:bidi w:val="0"/>
        <w:rPr>
          <w:rFonts w:hint="default"/>
          <w:color w:val="auto"/>
        </w:rPr>
      </w:pPr>
      <w:r>
        <w:rPr>
          <w:rFonts w:hint="default"/>
          <w:color w:val="auto"/>
        </w:rPr>
        <w:t>围绕生产清场场景，实现清场过程的标准化记录与多维度审核，涵盖产品信息、清场区域、清场项目等关键要素，助力生产主管、QA 人员等相关角色高效开展清场管理工作。</w:t>
      </w:r>
    </w:p>
    <w:p w14:paraId="2E2C6C3D">
      <w:pPr>
        <w:bidi w:val="0"/>
        <w:rPr>
          <w:rFonts w:hint="default"/>
          <w:color w:val="auto"/>
        </w:rPr>
      </w:pPr>
      <w:r>
        <w:rPr>
          <w:rFonts w:hint="default"/>
          <w:color w:val="auto"/>
        </w:rPr>
        <w:t>基础信息管理：可录入产品名称、产线、产品类型、清场日期、工弃类型等基础信息，明确清场对象与时间范围，为清场工作划定边界。</w:t>
      </w:r>
    </w:p>
    <w:p w14:paraId="1359FFF2">
      <w:pPr>
        <w:bidi w:val="0"/>
        <w:rPr>
          <w:rFonts w:hint="default"/>
          <w:color w:val="auto"/>
        </w:rPr>
      </w:pPr>
      <w:r>
        <w:rPr>
          <w:rFonts w:hint="default"/>
          <w:color w:val="auto"/>
        </w:rPr>
        <w:t>清场标准展示：通过“清场指令”板块，清晰呈现清场的具体要求（如物料清理、设备清洁、文件归位等），确保清场人员明确工作准则。</w:t>
      </w:r>
    </w:p>
    <w:p w14:paraId="469F63F3">
      <w:pPr>
        <w:bidi w:val="0"/>
        <w:rPr>
          <w:rFonts w:hint="default"/>
          <w:color w:val="auto"/>
        </w:rPr>
      </w:pPr>
      <w:r>
        <w:rPr>
          <w:rFonts w:hint="default"/>
          <w:color w:val="auto"/>
        </w:rPr>
        <w:t>多维度检查记录：在“清场情况”板块，对物料、中间品、废弃物、工艺文件、工具器具等十余类检查项目，分别记录自检结果、清场人确认、QA 审核结果，并支持相关人员签字确认，实现清场过程的可追溯与多角色协同审核。</w:t>
      </w:r>
    </w:p>
    <w:p w14:paraId="2F0D2933">
      <w:pPr>
        <w:pStyle w:val="42"/>
        <w:bidi w:val="0"/>
        <w:rPr>
          <w:rFonts w:hint="default"/>
          <w:color w:val="auto"/>
        </w:rPr>
      </w:pPr>
      <w:r>
        <w:rPr>
          <w:rFonts w:hint="default"/>
          <w:color w:val="auto"/>
        </w:rPr>
        <w:drawing>
          <wp:inline distT="0" distB="0" distL="114300" distR="114300">
            <wp:extent cx="5266690" cy="2615565"/>
            <wp:effectExtent l="0" t="0" r="6350" b="571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15"/>
                    <a:stretch>
                      <a:fillRect/>
                    </a:stretch>
                  </pic:blipFill>
                  <pic:spPr>
                    <a:xfrm>
                      <a:off x="0" y="0"/>
                      <a:ext cx="5266690" cy="2615565"/>
                    </a:xfrm>
                    <a:prstGeom prst="rect">
                      <a:avLst/>
                    </a:prstGeom>
                  </pic:spPr>
                </pic:pic>
              </a:graphicData>
            </a:graphic>
          </wp:inline>
        </w:drawing>
      </w:r>
    </w:p>
    <w:p w14:paraId="189166B6">
      <w:pPr>
        <w:bidi w:val="0"/>
        <w:rPr>
          <w:rFonts w:hint="default"/>
          <w:color w:val="auto"/>
        </w:rPr>
      </w:pPr>
      <w:r>
        <w:rPr>
          <w:rFonts w:hint="default"/>
          <w:color w:val="auto"/>
        </w:rPr>
        <w:t>关键作用体现：</w:t>
      </w:r>
    </w:p>
    <w:p w14:paraId="0B7349DE">
      <w:pPr>
        <w:bidi w:val="0"/>
        <w:rPr>
          <w:rFonts w:hint="default"/>
          <w:color w:val="auto"/>
        </w:rPr>
      </w:pPr>
      <w:r>
        <w:rPr>
          <w:rFonts w:hint="default"/>
          <w:color w:val="auto"/>
        </w:rPr>
        <w:t>保障生产合规：通过标准化的清场流程与记录，确保生产区域符合洁净要求，避免不同产品生产间的交叉污染，满足 GMP 等生产合规性标准。</w:t>
      </w:r>
    </w:p>
    <w:p w14:paraId="21F4914A">
      <w:pPr>
        <w:bidi w:val="0"/>
        <w:rPr>
          <w:rFonts w:hint="default"/>
          <w:color w:val="auto"/>
        </w:rPr>
      </w:pPr>
      <w:r>
        <w:rPr>
          <w:rFonts w:hint="default"/>
          <w:color w:val="auto"/>
        </w:rPr>
        <w:t>强化质量管控：多角色参与的审核机制，从自检到 QA 复核，层层把关清场效果，为后续产品生产的质量稳定性筑牢环境基础。</w:t>
      </w:r>
    </w:p>
    <w:p w14:paraId="31E9BF4B">
      <w:pPr>
        <w:bidi w:val="0"/>
        <w:rPr>
          <w:rFonts w:hint="default"/>
          <w:color w:val="auto"/>
        </w:rPr>
      </w:pPr>
      <w:r>
        <w:rPr>
          <w:rFonts w:hint="default"/>
          <w:color w:val="auto"/>
        </w:rPr>
        <w:t>实现追溯管理：完整的清场记录可作为生产过程追溯的重要依据，在产品质量出现异常时，能快速排查清场环节是否存在疏漏，提升问题处理效率。</w:t>
      </w:r>
    </w:p>
    <w:p w14:paraId="191232B8">
      <w:pPr>
        <w:numPr>
          <w:ilvl w:val="0"/>
          <w:numId w:val="7"/>
        </w:numPr>
        <w:bidi w:val="0"/>
        <w:ind w:left="420" w:leftChars="0" w:hanging="420" w:firstLineChars="0"/>
        <w:rPr>
          <w:rFonts w:hint="default"/>
          <w:color w:val="auto"/>
        </w:rPr>
      </w:pPr>
      <w:r>
        <w:rPr>
          <w:rFonts w:hint="default"/>
          <w:color w:val="auto"/>
        </w:rPr>
        <w:t>生产误时原因</w:t>
      </w:r>
    </w:p>
    <w:p w14:paraId="5A208747">
      <w:pPr>
        <w:bidi w:val="0"/>
        <w:rPr>
          <w:rFonts w:hint="default"/>
          <w:color w:val="auto"/>
        </w:rPr>
      </w:pPr>
      <w:r>
        <w:rPr>
          <w:rFonts w:hint="default"/>
          <w:color w:val="auto"/>
        </w:rPr>
        <w:t>生产误时管理功能（含生产误时原因与当班误时信息登记表）：生产主管需通过记录和分析生产误时原因，借助登记表汇总详细信息，追溯误时根源并制定改进措施。这是其优化生产流程、提升时间利用率，保障生产效率的关键管理动作。</w:t>
      </w:r>
    </w:p>
    <w:p w14:paraId="38BAC46D">
      <w:pPr>
        <w:bidi w:val="0"/>
        <w:rPr>
          <w:rFonts w:hint="default"/>
          <w:color w:val="auto"/>
        </w:rPr>
      </w:pPr>
      <w:r>
        <w:rPr>
          <w:rFonts w:hint="default"/>
          <w:color w:val="auto"/>
        </w:rPr>
        <w:t>围绕生产误时场景，实现误时原因的多维度分类（原材料、人员、设备、连续球、工艺、其他）与全流程管理，支持新增、编辑、删除误时原因记录，为生产效率优化提供数据支撑。</w:t>
      </w:r>
    </w:p>
    <w:p w14:paraId="636CBE7B">
      <w:pPr>
        <w:bidi w:val="0"/>
        <w:rPr>
          <w:rFonts w:hint="default"/>
          <w:color w:val="auto"/>
        </w:rPr>
      </w:pPr>
      <w:r>
        <w:rPr>
          <w:rFonts w:hint="default"/>
          <w:color w:val="auto"/>
        </w:rPr>
        <w:t>多维度分类管理：通过“原材料误时原因”“人员误时原因”“设备误时原因”等多个标签页，对误时原因进行精细化分类，便于快速定位不同类型的延误诱因。</w:t>
      </w:r>
    </w:p>
    <w:p w14:paraId="745518CB">
      <w:pPr>
        <w:bidi w:val="0"/>
        <w:rPr>
          <w:rFonts w:hint="default"/>
          <w:color w:val="auto"/>
        </w:rPr>
      </w:pPr>
      <w:r>
        <w:rPr>
          <w:rFonts w:hint="default"/>
          <w:color w:val="auto"/>
        </w:rPr>
        <w:t>动态记录与维护：支持 “新增误时原因” 操作，可录入如“处理低质质量问题”“处理空罐质量问题” 等具体误时场景，并通过“编辑”“删除”功能对原因记录进行动态维护，确保信息的准确性与时效性。</w:t>
      </w:r>
    </w:p>
    <w:p w14:paraId="364E054D">
      <w:pPr>
        <w:pStyle w:val="42"/>
        <w:bidi w:val="0"/>
        <w:rPr>
          <w:rFonts w:hint="default"/>
          <w:color w:val="auto"/>
        </w:rPr>
      </w:pPr>
      <w:r>
        <w:rPr>
          <w:rFonts w:hint="default"/>
          <w:color w:val="auto"/>
        </w:rPr>
        <w:drawing>
          <wp:inline distT="0" distB="0" distL="114300" distR="114300">
            <wp:extent cx="5266690" cy="2615565"/>
            <wp:effectExtent l="0" t="0" r="6350" b="571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16"/>
                    <a:stretch>
                      <a:fillRect/>
                    </a:stretch>
                  </pic:blipFill>
                  <pic:spPr>
                    <a:xfrm>
                      <a:off x="0" y="0"/>
                      <a:ext cx="5266690" cy="2615565"/>
                    </a:xfrm>
                    <a:prstGeom prst="rect">
                      <a:avLst/>
                    </a:prstGeom>
                  </pic:spPr>
                </pic:pic>
              </a:graphicData>
            </a:graphic>
          </wp:inline>
        </w:drawing>
      </w:r>
    </w:p>
    <w:p w14:paraId="6945F86E">
      <w:pPr>
        <w:bidi w:val="0"/>
        <w:rPr>
          <w:rFonts w:hint="default"/>
          <w:color w:val="auto"/>
        </w:rPr>
      </w:pPr>
      <w:r>
        <w:rPr>
          <w:rFonts w:hint="default"/>
          <w:color w:val="auto"/>
        </w:rPr>
        <w:t>关键作用体现：</w:t>
      </w:r>
    </w:p>
    <w:p w14:paraId="633226B6">
      <w:pPr>
        <w:bidi w:val="0"/>
        <w:rPr>
          <w:rFonts w:hint="default"/>
          <w:color w:val="auto"/>
        </w:rPr>
      </w:pPr>
      <w:r>
        <w:rPr>
          <w:rFonts w:hint="default"/>
          <w:color w:val="auto"/>
        </w:rPr>
        <w:t>精准追溯延误根源：系统化的误时原因记录，让生产主管能快速追溯每次生产延误的具体诱因，为问题排查提供明确方向。</w:t>
      </w:r>
    </w:p>
    <w:p w14:paraId="5DBDB8CC">
      <w:pPr>
        <w:bidi w:val="0"/>
        <w:rPr>
          <w:rFonts w:hint="default"/>
          <w:color w:val="auto"/>
        </w:rPr>
      </w:pPr>
      <w:r>
        <w:rPr>
          <w:rFonts w:hint="default"/>
          <w:color w:val="auto"/>
        </w:rPr>
        <w:t>助力效率优化决策：基于分类化的误时原因数据，可分析出生产环节的高频延误点（如质量问题类误时），进而制定针对性改进措施（如优化质检流程、加强原料品控），持续提升生产时间利用率。</w:t>
      </w:r>
    </w:p>
    <w:p w14:paraId="39E656E5">
      <w:pPr>
        <w:bidi w:val="0"/>
        <w:rPr>
          <w:rFonts w:hint="default"/>
          <w:color w:val="auto"/>
        </w:rPr>
      </w:pPr>
      <w:r>
        <w:rPr>
          <w:rFonts w:hint="default"/>
          <w:color w:val="auto"/>
        </w:rPr>
        <w:t>实现管理闭环：从误时原因的记录、分析到优化措施的落地，形成完整的生产效率管理闭环，推动生产流程的持续迭代与优化。</w:t>
      </w:r>
    </w:p>
    <w:p w14:paraId="5016D22B">
      <w:pPr>
        <w:numPr>
          <w:ilvl w:val="0"/>
          <w:numId w:val="7"/>
        </w:numPr>
        <w:bidi w:val="0"/>
        <w:ind w:left="420" w:leftChars="0" w:hanging="420" w:firstLineChars="0"/>
        <w:rPr>
          <w:rFonts w:hint="default"/>
          <w:color w:val="auto"/>
        </w:rPr>
      </w:pPr>
      <w:r>
        <w:rPr>
          <w:rFonts w:hint="default"/>
          <w:color w:val="auto"/>
        </w:rPr>
        <w:t>开机前检查</w:t>
      </w:r>
    </w:p>
    <w:p w14:paraId="24040AD6">
      <w:pPr>
        <w:bidi w:val="0"/>
        <w:rPr>
          <w:rFonts w:hint="default"/>
          <w:color w:val="auto"/>
        </w:rPr>
      </w:pPr>
      <w:r>
        <w:rPr>
          <w:rFonts w:hint="default"/>
          <w:color w:val="auto"/>
        </w:rPr>
        <w:t>用于系统化规范开机前的设备、环境、产品等多维度检查流程，保障生产启动环节的合规性与安全性。</w:t>
      </w:r>
    </w:p>
    <w:p w14:paraId="5B3C4BA3">
      <w:pPr>
        <w:bidi w:val="0"/>
        <w:rPr>
          <w:rFonts w:hint="default"/>
          <w:color w:val="auto"/>
        </w:rPr>
      </w:pPr>
      <w:r>
        <w:rPr>
          <w:rFonts w:hint="default"/>
          <w:color w:val="auto"/>
        </w:rPr>
        <w:t>功能定位：围绕设备开机前的准备场景，实现从人员资质、设备状态、环境指标到产品信息的全维度检查记录与审核，支持检查项的逐项确认、异常标注及多角色签字（如设备员、生产主管），为生产启动筑牢风险防控屏障。</w:t>
      </w:r>
    </w:p>
    <w:p w14:paraId="10E7C3E0">
      <w:pPr>
        <w:bidi w:val="0"/>
        <w:rPr>
          <w:rFonts w:hint="default"/>
          <w:color w:val="auto"/>
        </w:rPr>
      </w:pPr>
      <w:r>
        <w:rPr>
          <w:rFonts w:hint="default"/>
          <w:color w:val="auto"/>
        </w:rPr>
        <w:t>核心功能说明：</w:t>
      </w:r>
    </w:p>
    <w:p w14:paraId="3F22328A">
      <w:pPr>
        <w:bidi w:val="0"/>
        <w:rPr>
          <w:rFonts w:hint="default"/>
          <w:color w:val="auto"/>
        </w:rPr>
      </w:pPr>
      <w:r>
        <w:rPr>
          <w:rFonts w:hint="default"/>
          <w:color w:val="auto"/>
        </w:rPr>
        <w:t>多维度检查项管理：涵盖人员资质（如生产人员是否经培训）、设备状态（如汽水系统、杀菌设备、灌装机等关键设备的运行参数与外观检查）、环境指标（如纯净度、酸碱度、温度等）、产品信息（如生产日期、保质期、批次信息等），确保开机前各要素符合生产要求。</w:t>
      </w:r>
    </w:p>
    <w:p w14:paraId="1347CA8A">
      <w:pPr>
        <w:bidi w:val="0"/>
        <w:rPr>
          <w:rFonts w:hint="default"/>
          <w:color w:val="auto"/>
        </w:rPr>
      </w:pPr>
      <w:r>
        <w:rPr>
          <w:rFonts w:hint="default"/>
          <w:color w:val="auto"/>
        </w:rPr>
        <w:t>检查结果动态记录：对每个检查项设置“合格/不合格”的确认选项，支持对不合格项标注备注，同时关联产品的条码扫描、批次信息录入等操作，实现检查过程的可追溯与精细化管理。</w:t>
      </w:r>
    </w:p>
    <w:p w14:paraId="296D4677">
      <w:pPr>
        <w:bidi w:val="0"/>
        <w:rPr>
          <w:rFonts w:hint="default"/>
          <w:color w:val="auto"/>
        </w:rPr>
      </w:pPr>
      <w:r>
        <w:rPr>
          <w:rFonts w:hint="default"/>
          <w:color w:val="auto"/>
        </w:rPr>
        <w:t>多角色协同审核：设备员、生产主管等角色需在表单中签字确认，形成 “检查-审核” 的闭环管理，强化各环节责任落实。</w:t>
      </w:r>
    </w:p>
    <w:p w14:paraId="06123013">
      <w:pPr>
        <w:pStyle w:val="42"/>
        <w:bidi w:val="0"/>
        <w:rPr>
          <w:rFonts w:hint="default"/>
          <w:color w:val="auto"/>
        </w:rPr>
      </w:pPr>
      <w:r>
        <w:rPr>
          <w:rFonts w:hint="default"/>
          <w:color w:val="auto"/>
        </w:rPr>
        <w:drawing>
          <wp:inline distT="0" distB="0" distL="114300" distR="114300">
            <wp:extent cx="5266690" cy="2615565"/>
            <wp:effectExtent l="0" t="0" r="6350" b="571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17"/>
                    <a:stretch>
                      <a:fillRect/>
                    </a:stretch>
                  </pic:blipFill>
                  <pic:spPr>
                    <a:xfrm>
                      <a:off x="0" y="0"/>
                      <a:ext cx="5266690" cy="2615565"/>
                    </a:xfrm>
                    <a:prstGeom prst="rect">
                      <a:avLst/>
                    </a:prstGeom>
                  </pic:spPr>
                </pic:pic>
              </a:graphicData>
            </a:graphic>
          </wp:inline>
        </w:drawing>
      </w:r>
    </w:p>
    <w:p w14:paraId="79AF0DCF">
      <w:pPr>
        <w:bidi w:val="0"/>
        <w:rPr>
          <w:rFonts w:hint="default"/>
          <w:color w:val="auto"/>
        </w:rPr>
      </w:pPr>
      <w:r>
        <w:rPr>
          <w:rFonts w:hint="default"/>
          <w:color w:val="auto"/>
        </w:rPr>
        <w:t>关键作用体现：</w:t>
      </w:r>
    </w:p>
    <w:p w14:paraId="2926B5DC">
      <w:pPr>
        <w:bidi w:val="0"/>
        <w:rPr>
          <w:rFonts w:hint="default"/>
          <w:color w:val="auto"/>
        </w:rPr>
      </w:pPr>
      <w:r>
        <w:rPr>
          <w:rFonts w:hint="default"/>
          <w:color w:val="auto"/>
        </w:rPr>
        <w:t>保障生产安全性：通过开机前的全面检查，及时排查设备故障、环境异常、人员资质不足等潜在风险，避免带“病”生产导致的安全事故或产品质量问题。</w:t>
      </w:r>
    </w:p>
    <w:p w14:paraId="3C56717F">
      <w:pPr>
        <w:bidi w:val="0"/>
        <w:rPr>
          <w:rFonts w:hint="default"/>
          <w:color w:val="auto"/>
        </w:rPr>
      </w:pPr>
      <w:r>
        <w:rPr>
          <w:rFonts w:hint="default"/>
          <w:color w:val="auto"/>
        </w:rPr>
        <w:t>确保生产合规性：标准化的检查流程与记录，符合 GMP 等生产管理规范，为生产过程的合规性提供可追溯的书面依据。</w:t>
      </w:r>
    </w:p>
    <w:p w14:paraId="50156532">
      <w:pPr>
        <w:bidi w:val="0"/>
        <w:rPr>
          <w:rFonts w:hint="default"/>
          <w:color w:val="auto"/>
        </w:rPr>
      </w:pPr>
      <w:r>
        <w:rPr>
          <w:rFonts w:hint="default"/>
          <w:color w:val="auto"/>
        </w:rPr>
        <w:t>提升生产稳定性：提前解决开机前的各类隐患，保障设备开机后能稳定运行，减少生产过程中的停机或返工，提升整体生产效率。</w:t>
      </w:r>
    </w:p>
    <w:p w14:paraId="78E718FC">
      <w:pPr>
        <w:numPr>
          <w:ilvl w:val="0"/>
          <w:numId w:val="7"/>
        </w:numPr>
        <w:bidi w:val="0"/>
        <w:ind w:left="420" w:leftChars="0" w:hanging="420" w:firstLineChars="0"/>
        <w:rPr>
          <w:rFonts w:hint="default"/>
          <w:color w:val="auto"/>
        </w:rPr>
      </w:pPr>
      <w:r>
        <w:rPr>
          <w:rFonts w:hint="default"/>
          <w:color w:val="auto"/>
        </w:rPr>
        <w:t>停机检查</w:t>
      </w:r>
    </w:p>
    <w:p w14:paraId="1A5CFA6B">
      <w:pPr>
        <w:bidi w:val="0"/>
        <w:rPr>
          <w:rFonts w:hint="default"/>
          <w:color w:val="auto"/>
        </w:rPr>
      </w:pPr>
      <w:r>
        <w:rPr>
          <w:rFonts w:hint="default"/>
          <w:color w:val="auto"/>
        </w:rPr>
        <w:t>停机检查用于系统化规范停机后的设备、环境、各岗位状态等多维度检查流程，保障停机环节的合规性与后续生产的准备充分性。</w:t>
      </w:r>
    </w:p>
    <w:p w14:paraId="5700F969">
      <w:pPr>
        <w:bidi w:val="0"/>
        <w:rPr>
          <w:rFonts w:hint="default"/>
          <w:color w:val="auto"/>
        </w:rPr>
      </w:pPr>
      <w:r>
        <w:rPr>
          <w:rFonts w:hint="default"/>
          <w:color w:val="auto"/>
        </w:rPr>
        <w:t>功能定位：围绕设备停机后的收尾场景，实现从各生产岗位（如制瓶岗位、灌装岗位、码垛岗位等）的设备状态、物料清理、环境清洁到整体设施的全维度检查记录与结果确认，支持检查项的逐项“是/否”确认及最终结论判定，为下一次生产启动筑牢基础。</w:t>
      </w:r>
    </w:p>
    <w:p w14:paraId="1BE65CCD">
      <w:pPr>
        <w:bidi w:val="0"/>
        <w:rPr>
          <w:rFonts w:hint="default"/>
          <w:color w:val="auto"/>
        </w:rPr>
      </w:pPr>
      <w:r>
        <w:rPr>
          <w:rFonts w:hint="default"/>
          <w:color w:val="auto"/>
        </w:rPr>
        <w:t>核心功能说明：</w:t>
      </w:r>
    </w:p>
    <w:p w14:paraId="4F40799E">
      <w:pPr>
        <w:bidi w:val="0"/>
        <w:rPr>
          <w:rFonts w:hint="default"/>
          <w:color w:val="auto"/>
        </w:rPr>
      </w:pPr>
      <w:r>
        <w:rPr>
          <w:rFonts w:hint="default"/>
          <w:color w:val="auto"/>
        </w:rPr>
        <w:t>多岗位细分检查项：针对制瓶、灌装、码垛等不同生产岗位，分别设置专属检查内容（如制瓶岗位需检查瓶胚输送是否畅通、设备外观是否洁净；灌装岗位需检查管道清洁、压力参数等），确保停机检查覆盖生产全环节。</w:t>
      </w:r>
    </w:p>
    <w:p w14:paraId="18B6F0AD">
      <w:pPr>
        <w:bidi w:val="0"/>
        <w:rPr>
          <w:rFonts w:hint="default"/>
          <w:color w:val="auto"/>
        </w:rPr>
      </w:pPr>
      <w:r>
        <w:rPr>
          <w:rFonts w:hint="default"/>
          <w:color w:val="auto"/>
        </w:rPr>
        <w:t>检查结果动态记录：每个检查项设置“是/否”的确认选项，可直观记录各环节停机后的状态是否符合要求，同时支持对异常项的追溯与整改跟踪。</w:t>
      </w:r>
    </w:p>
    <w:p w14:paraId="3A1F4281">
      <w:pPr>
        <w:bidi w:val="0"/>
        <w:rPr>
          <w:rFonts w:hint="default"/>
          <w:color w:val="auto"/>
        </w:rPr>
      </w:pPr>
      <w:r>
        <w:rPr>
          <w:rFonts w:hint="default"/>
          <w:color w:val="auto"/>
        </w:rPr>
        <w:t>结论性判定：表单底部设置“结论”栏（合格/不合格），对本次停机检查的整体情况进行判定，明确后续是否可安全进入下一轮生产准备阶段。</w:t>
      </w:r>
    </w:p>
    <w:p w14:paraId="349C115F">
      <w:pPr>
        <w:pStyle w:val="42"/>
        <w:bidi w:val="0"/>
        <w:rPr>
          <w:rFonts w:hint="default"/>
          <w:color w:val="auto"/>
        </w:rPr>
      </w:pPr>
      <w:r>
        <w:rPr>
          <w:rFonts w:hint="default"/>
          <w:color w:val="auto"/>
        </w:rPr>
        <w:drawing>
          <wp:inline distT="0" distB="0" distL="114300" distR="114300">
            <wp:extent cx="5266690" cy="2615565"/>
            <wp:effectExtent l="0" t="0" r="6350" b="571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18"/>
                    <a:stretch>
                      <a:fillRect/>
                    </a:stretch>
                  </pic:blipFill>
                  <pic:spPr>
                    <a:xfrm>
                      <a:off x="0" y="0"/>
                      <a:ext cx="5266690" cy="2615565"/>
                    </a:xfrm>
                    <a:prstGeom prst="rect">
                      <a:avLst/>
                    </a:prstGeom>
                  </pic:spPr>
                </pic:pic>
              </a:graphicData>
            </a:graphic>
          </wp:inline>
        </w:drawing>
      </w:r>
    </w:p>
    <w:p w14:paraId="34D83078">
      <w:pPr>
        <w:bidi w:val="0"/>
        <w:rPr>
          <w:rFonts w:hint="default"/>
          <w:color w:val="auto"/>
        </w:rPr>
      </w:pPr>
      <w:r>
        <w:rPr>
          <w:rFonts w:hint="default"/>
          <w:color w:val="auto"/>
        </w:rPr>
        <w:t>关键作用体现：</w:t>
      </w:r>
    </w:p>
    <w:p w14:paraId="057AFF10">
      <w:pPr>
        <w:bidi w:val="0"/>
        <w:rPr>
          <w:rFonts w:hint="default"/>
          <w:color w:val="auto"/>
        </w:rPr>
      </w:pPr>
      <w:r>
        <w:rPr>
          <w:rFonts w:hint="default"/>
          <w:color w:val="auto"/>
        </w:rPr>
        <w:t>保障设备维护基础：通过停机后对设备的全面检查，及时发现设备磨损、管道堵塞等潜在问题，为设备维护保养提供精准依据，延长设备使用寿命。</w:t>
      </w:r>
    </w:p>
    <w:p w14:paraId="3299AEEC">
      <w:pPr>
        <w:bidi w:val="0"/>
        <w:rPr>
          <w:rFonts w:hint="default"/>
          <w:color w:val="auto"/>
        </w:rPr>
      </w:pPr>
      <w:r>
        <w:rPr>
          <w:rFonts w:hint="default"/>
          <w:color w:val="auto"/>
        </w:rPr>
        <w:t>确保环境与物料合规：检查停机后物料是否清理到位、环境是否清洁，避免物料残留导致的交叉污染，保障生产环境的合规性。</w:t>
      </w:r>
    </w:p>
    <w:p w14:paraId="4EC41C19">
      <w:pPr>
        <w:bidi w:val="0"/>
        <w:rPr>
          <w:rFonts w:hint="default"/>
          <w:color w:val="auto"/>
        </w:rPr>
      </w:pPr>
      <w:r>
        <w:rPr>
          <w:rFonts w:hint="default"/>
          <w:color w:val="auto"/>
        </w:rPr>
        <w:t>提升生产衔接效率：规范的停机检查流程与记录，让下一次开机前的准备工作更具针对性，减少因停机环节疏漏导致的开机延误，提升生产流程的衔接效率。</w:t>
      </w:r>
    </w:p>
    <w:p w14:paraId="157EA61C">
      <w:pPr>
        <w:pStyle w:val="37"/>
        <w:bidi w:val="0"/>
        <w:rPr>
          <w:rFonts w:hint="default"/>
          <w:color w:val="auto"/>
        </w:rPr>
      </w:pPr>
      <w:r>
        <w:rPr>
          <w:rFonts w:hint="default"/>
          <w:color w:val="auto"/>
        </w:rPr>
        <w:t>巡检模块</w:t>
      </w:r>
    </w:p>
    <w:p w14:paraId="37EBB830">
      <w:pPr>
        <w:bidi w:val="0"/>
        <w:rPr>
          <w:rFonts w:hint="default"/>
          <w:color w:val="auto"/>
        </w:rPr>
      </w:pPr>
      <w:r>
        <w:rPr>
          <w:rFonts w:hint="default"/>
          <w:color w:val="auto"/>
        </w:rPr>
        <w:t>该模块深度聚焦生产巡检场景，凭借多类型、精细化的表单体系，实现巡检工作从 “设备状态监测、质量风险防控、环境合规管理到物料全流程追溯” 的全维度覆盖式管理。</w:t>
      </w:r>
    </w:p>
    <w:p w14:paraId="491BDC86">
      <w:pPr>
        <w:bidi w:val="0"/>
        <w:rPr>
          <w:rFonts w:hint="default"/>
          <w:color w:val="auto"/>
        </w:rPr>
      </w:pPr>
      <w:r>
        <w:rPr>
          <w:rFonts w:hint="default"/>
          <w:color w:val="auto"/>
        </w:rPr>
        <w:t>它助力企业精准把控生产过程中设备运行的稳定性、产品质量的可靠性（如防伪抽检、巡检中的质量隐患排查）、生产环境的卫生安全性（如灭粘鼠板使用、灭蝇灯清洁检查）以及物料流转的规范性（如废品出入库管理）等关键环节，通过标准化的记录留痕、多维度的风险预警与闭环式的问题处理，全方位保障生产流程的合规性，从源头筑牢产品质量防线，为企业生产效率提升与品牌口碑维护提供坚实的数字化管理支撑。</w:t>
      </w:r>
    </w:p>
    <w:p w14:paraId="561FDF1B">
      <w:pPr>
        <w:numPr>
          <w:ilvl w:val="0"/>
          <w:numId w:val="8"/>
        </w:numPr>
        <w:bidi w:val="0"/>
        <w:ind w:left="420" w:leftChars="0" w:hanging="420" w:firstLineChars="0"/>
        <w:rPr>
          <w:rFonts w:hint="default"/>
          <w:color w:val="auto"/>
        </w:rPr>
      </w:pPr>
      <w:r>
        <w:rPr>
          <w:rFonts w:hint="default"/>
          <w:color w:val="auto"/>
        </w:rPr>
        <w:t>防伪抽检记录</w:t>
      </w:r>
    </w:p>
    <w:p w14:paraId="5DE3CF95">
      <w:pPr>
        <w:bidi w:val="0"/>
        <w:rPr>
          <w:rFonts w:hint="default"/>
          <w:color w:val="auto"/>
        </w:rPr>
      </w:pPr>
      <w:r>
        <w:rPr>
          <w:rFonts w:hint="default"/>
          <w:color w:val="auto"/>
        </w:rPr>
        <w:t>用于系统化记录产品防伪抽检的全流程信息，保障产品防伪性能的可靠性与市场流通的安全性。</w:t>
      </w:r>
    </w:p>
    <w:p w14:paraId="2210A020">
      <w:pPr>
        <w:bidi w:val="0"/>
        <w:rPr>
          <w:rFonts w:hint="default"/>
          <w:color w:val="auto"/>
        </w:rPr>
      </w:pPr>
      <w:r>
        <w:rPr>
          <w:rFonts w:hint="default"/>
          <w:color w:val="auto"/>
        </w:rPr>
        <w:t>核心功能说明：</w:t>
      </w:r>
    </w:p>
    <w:p w14:paraId="080C79E3">
      <w:pPr>
        <w:bidi w:val="0"/>
        <w:rPr>
          <w:rFonts w:hint="default"/>
          <w:color w:val="auto"/>
        </w:rPr>
      </w:pPr>
      <w:r>
        <w:rPr>
          <w:rFonts w:hint="default"/>
          <w:color w:val="auto"/>
        </w:rPr>
        <w:t>基础信息管理：可录入抽检日期、产线、班组、班次等信息，明确抽检的时间与生产维度，为抽检工作划定范围。</w:t>
      </w:r>
    </w:p>
    <w:p w14:paraId="00CCE5D1">
      <w:pPr>
        <w:bidi w:val="0"/>
        <w:rPr>
          <w:rFonts w:hint="default"/>
          <w:color w:val="auto"/>
        </w:rPr>
      </w:pPr>
      <w:r>
        <w:rPr>
          <w:rFonts w:hint="default"/>
          <w:color w:val="auto"/>
        </w:rPr>
        <w:t>多维度抽检记录：在“抽检记录”板块，详细记录产品批号、保压时间、抽检数量，同时对不合格类型（如漏点、拖尾、无荧光绿、废品、本次未注检量、返工数量）进行分类统计，直观呈现抽检质量状况。</w:t>
      </w:r>
    </w:p>
    <w:p w14:paraId="059A0878">
      <w:pPr>
        <w:bidi w:val="0"/>
        <w:rPr>
          <w:rFonts w:hint="default"/>
          <w:color w:val="auto"/>
        </w:rPr>
      </w:pPr>
      <w:r>
        <w:rPr>
          <w:rFonts w:hint="default"/>
          <w:color w:val="auto"/>
        </w:rPr>
        <w:t>数据统计与导出：自动计算抽检总数、不合格总数、抽检合格率、累计保压时间、废品合计等关键指标，并支持“报告预览”“报告导出”功能，实现抽检数据的可视化分析与归档留存。</w:t>
      </w:r>
    </w:p>
    <w:p w14:paraId="0AC262B8">
      <w:pPr>
        <w:pStyle w:val="42"/>
        <w:bidi w:val="0"/>
        <w:rPr>
          <w:rFonts w:hint="default"/>
          <w:color w:val="auto"/>
        </w:rPr>
      </w:pPr>
      <w:r>
        <w:rPr>
          <w:rFonts w:hint="default"/>
          <w:color w:val="auto"/>
        </w:rPr>
        <w:drawing>
          <wp:inline distT="0" distB="0" distL="114300" distR="114300">
            <wp:extent cx="5266690" cy="2615565"/>
            <wp:effectExtent l="0" t="0" r="6350" b="5715"/>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pic:cNvPicPr>
                  </pic:nvPicPr>
                  <pic:blipFill>
                    <a:blip r:embed="rId19"/>
                    <a:stretch>
                      <a:fillRect/>
                    </a:stretch>
                  </pic:blipFill>
                  <pic:spPr>
                    <a:xfrm>
                      <a:off x="0" y="0"/>
                      <a:ext cx="5266690" cy="2615565"/>
                    </a:xfrm>
                    <a:prstGeom prst="rect">
                      <a:avLst/>
                    </a:prstGeom>
                  </pic:spPr>
                </pic:pic>
              </a:graphicData>
            </a:graphic>
          </wp:inline>
        </w:drawing>
      </w:r>
    </w:p>
    <w:p w14:paraId="52BE4336">
      <w:pPr>
        <w:bidi w:val="0"/>
        <w:rPr>
          <w:rFonts w:hint="default"/>
          <w:color w:val="auto"/>
        </w:rPr>
      </w:pPr>
      <w:r>
        <w:rPr>
          <w:rFonts w:hint="default"/>
          <w:color w:val="auto"/>
        </w:rPr>
        <w:t>关键作用体现：</w:t>
      </w:r>
    </w:p>
    <w:p w14:paraId="6812B1B9">
      <w:pPr>
        <w:bidi w:val="0"/>
        <w:rPr>
          <w:rFonts w:hint="default"/>
          <w:color w:val="auto"/>
        </w:rPr>
      </w:pPr>
      <w:r>
        <w:rPr>
          <w:rFonts w:hint="default"/>
          <w:color w:val="auto"/>
        </w:rPr>
        <w:t>保障防伪质量：通过标准化的防伪抽检流程与记录，及时发现产品防伪性能的缺陷，确保流入市场的产品具备有效防伪能力，维护品牌的市场公信力。</w:t>
      </w:r>
    </w:p>
    <w:p w14:paraId="19AC1745">
      <w:pPr>
        <w:bidi w:val="0"/>
        <w:rPr>
          <w:rFonts w:hint="default"/>
          <w:color w:val="auto"/>
        </w:rPr>
      </w:pPr>
      <w:r>
        <w:rPr>
          <w:rFonts w:hint="default"/>
          <w:color w:val="auto"/>
        </w:rPr>
        <w:t>助力质量分析：多维度的抽检数据统计，为质量管理人员分析防伪质量波动原因（如产线差异、班组操作差异）提供数据支撑，便于制定针对性的质量改进措施。</w:t>
      </w:r>
    </w:p>
    <w:p w14:paraId="3C73BD73">
      <w:pPr>
        <w:bidi w:val="0"/>
        <w:rPr>
          <w:rFonts w:hint="default"/>
          <w:color w:val="auto"/>
        </w:rPr>
      </w:pPr>
      <w:r>
        <w:rPr>
          <w:rFonts w:hint="default"/>
          <w:color w:val="auto"/>
        </w:rPr>
        <w:t>实现合规追溯：完整的抽检记录可作为产品质量追溯的重要依据，在市场出现防伪纠纷时，能快速调取抽检数据证明产品防伪的合规性，降低品牌风险。</w:t>
      </w:r>
    </w:p>
    <w:p w14:paraId="7DBB3C4D">
      <w:pPr>
        <w:numPr>
          <w:ilvl w:val="0"/>
          <w:numId w:val="8"/>
        </w:numPr>
        <w:bidi w:val="0"/>
        <w:ind w:left="420" w:leftChars="0" w:hanging="420" w:firstLineChars="0"/>
        <w:rPr>
          <w:rFonts w:hint="default"/>
          <w:color w:val="auto"/>
        </w:rPr>
      </w:pPr>
      <w:r>
        <w:rPr>
          <w:rFonts w:hint="default"/>
          <w:color w:val="auto"/>
        </w:rPr>
        <w:t>生产环境类表单（生产环节灭粘鼠板使用记录、生产环节灭蝇灯检查清洁记录）</w:t>
      </w:r>
    </w:p>
    <w:p w14:paraId="6B503179">
      <w:pPr>
        <w:numPr>
          <w:ilvl w:val="0"/>
          <w:numId w:val="9"/>
        </w:numPr>
        <w:bidi w:val="0"/>
        <w:ind w:left="420" w:leftChars="0" w:hanging="420" w:firstLineChars="0"/>
        <w:rPr>
          <w:rFonts w:hint="default"/>
          <w:color w:val="auto"/>
        </w:rPr>
      </w:pPr>
      <w:r>
        <w:rPr>
          <w:rFonts w:hint="default"/>
          <w:color w:val="auto"/>
        </w:rPr>
        <w:t>生产环节灭粘鼠板使用记录单</w:t>
      </w:r>
    </w:p>
    <w:p w14:paraId="48AFB337">
      <w:pPr>
        <w:bidi w:val="0"/>
        <w:rPr>
          <w:rFonts w:hint="default"/>
          <w:color w:val="auto"/>
        </w:rPr>
      </w:pPr>
      <w:r>
        <w:rPr>
          <w:rFonts w:hint="default"/>
          <w:color w:val="auto"/>
        </w:rPr>
        <w:t>功能：记录灭粘鼠板的使用场景（日期、地点、区域数量）、检查标准（是否捕获鼠类/昆虫、粘鼠板是否破损失效）及检查结果（是否符合、是否更换），涵盖检查人、更换人及备注信息。</w:t>
      </w:r>
    </w:p>
    <w:p w14:paraId="28A07039">
      <w:pPr>
        <w:bidi w:val="0"/>
        <w:rPr>
          <w:rFonts w:hint="default"/>
          <w:color w:val="auto"/>
        </w:rPr>
      </w:pPr>
      <w:r>
        <w:rPr>
          <w:rFonts w:hint="default"/>
          <w:color w:val="auto"/>
        </w:rPr>
        <w:t>作用：通过规范灭粘鼠板的使用与检查流程，及时发现并处理鼠类隐患，保障生产环境免受鼠类污染，符合食品、药品等行业的卫生合规要求；同时实现灭粘鼠板更换的可追溯管理，优化物料使用效率。</w:t>
      </w:r>
    </w:p>
    <w:p w14:paraId="738CD142">
      <w:pPr>
        <w:pStyle w:val="42"/>
        <w:bidi w:val="0"/>
        <w:rPr>
          <w:rFonts w:hint="default"/>
          <w:color w:val="auto"/>
        </w:rPr>
      </w:pPr>
      <w:r>
        <w:rPr>
          <w:rFonts w:hint="default"/>
          <w:color w:val="auto"/>
        </w:rPr>
        <w:drawing>
          <wp:inline distT="0" distB="0" distL="114300" distR="114300">
            <wp:extent cx="5266690" cy="2615565"/>
            <wp:effectExtent l="0" t="0" r="6350" b="5715"/>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pic:cNvPicPr>
                  </pic:nvPicPr>
                  <pic:blipFill>
                    <a:blip r:embed="rId20"/>
                    <a:stretch>
                      <a:fillRect/>
                    </a:stretch>
                  </pic:blipFill>
                  <pic:spPr>
                    <a:xfrm>
                      <a:off x="0" y="0"/>
                      <a:ext cx="5266690" cy="2615565"/>
                    </a:xfrm>
                    <a:prstGeom prst="rect">
                      <a:avLst/>
                    </a:prstGeom>
                  </pic:spPr>
                </pic:pic>
              </a:graphicData>
            </a:graphic>
          </wp:inline>
        </w:drawing>
      </w:r>
    </w:p>
    <w:p w14:paraId="2731FAC2">
      <w:pPr>
        <w:numPr>
          <w:ilvl w:val="0"/>
          <w:numId w:val="9"/>
        </w:numPr>
        <w:bidi w:val="0"/>
        <w:ind w:left="420" w:leftChars="0" w:hanging="420" w:firstLineChars="0"/>
        <w:rPr>
          <w:rFonts w:hint="default"/>
          <w:color w:val="auto"/>
        </w:rPr>
      </w:pPr>
      <w:r>
        <w:rPr>
          <w:rFonts w:hint="default"/>
          <w:color w:val="auto"/>
        </w:rPr>
        <w:t>生产环节灭蝇灯检查清洁记录单</w:t>
      </w:r>
    </w:p>
    <w:p w14:paraId="420E2C22">
      <w:pPr>
        <w:bidi w:val="0"/>
        <w:rPr>
          <w:rFonts w:hint="default"/>
          <w:color w:val="auto"/>
        </w:rPr>
      </w:pPr>
      <w:r>
        <w:rPr>
          <w:rFonts w:hint="default"/>
          <w:color w:val="auto"/>
        </w:rPr>
        <w:t>功能：记录灭蝇灯的检查场景（日期、地点）、检查标准（灯罩/灯管清洁度、是否有蝇虫及灰尘、清洁更换周期）及检查结果（是否符合、是否更换灭蝇贴），涵盖检查人、更换人及备注信息。</w:t>
      </w:r>
    </w:p>
    <w:p w14:paraId="408D7A4C">
      <w:pPr>
        <w:pStyle w:val="42"/>
        <w:bidi w:val="0"/>
        <w:rPr>
          <w:rFonts w:hint="default"/>
          <w:color w:val="auto"/>
        </w:rPr>
      </w:pPr>
      <w:r>
        <w:rPr>
          <w:rFonts w:hint="default"/>
          <w:color w:val="auto"/>
        </w:rPr>
        <w:drawing>
          <wp:inline distT="0" distB="0" distL="114300" distR="114300">
            <wp:extent cx="5266690" cy="2615565"/>
            <wp:effectExtent l="0" t="0" r="6350" b="5715"/>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pic:cNvPicPr>
                  </pic:nvPicPr>
                  <pic:blipFill>
                    <a:blip r:embed="rId21"/>
                    <a:stretch>
                      <a:fillRect/>
                    </a:stretch>
                  </pic:blipFill>
                  <pic:spPr>
                    <a:xfrm>
                      <a:off x="0" y="0"/>
                      <a:ext cx="5266690" cy="2615565"/>
                    </a:xfrm>
                    <a:prstGeom prst="rect">
                      <a:avLst/>
                    </a:prstGeom>
                  </pic:spPr>
                </pic:pic>
              </a:graphicData>
            </a:graphic>
          </wp:inline>
        </w:drawing>
      </w:r>
    </w:p>
    <w:p w14:paraId="4099D2D4">
      <w:pPr>
        <w:bidi w:val="0"/>
        <w:rPr>
          <w:rFonts w:hint="default"/>
          <w:color w:val="auto"/>
        </w:rPr>
      </w:pPr>
      <w:r>
        <w:rPr>
          <w:rFonts w:hint="default"/>
          <w:color w:val="auto"/>
        </w:rPr>
        <w:t>作用：通过标准化的灭蝇灯检查与清洁记录，确保灭蝇灯处于有效灭蝇状态，防范蝇类对生产环境和产品的污染；明确的清洁更换周期管理，保障灭蝇灯功能的持续性，为生产环境的卫生安全筑牢防线。</w:t>
      </w:r>
    </w:p>
    <w:p w14:paraId="4D5FC599">
      <w:pPr>
        <w:pStyle w:val="37"/>
        <w:bidi w:val="0"/>
        <w:rPr>
          <w:rFonts w:hint="default"/>
          <w:color w:val="auto"/>
        </w:rPr>
      </w:pPr>
      <w:r>
        <w:rPr>
          <w:rFonts w:hint="default"/>
          <w:color w:val="auto"/>
        </w:rPr>
        <w:t>扫码模块</w:t>
      </w:r>
    </w:p>
    <w:p w14:paraId="1A005476">
      <w:pPr>
        <w:bidi w:val="0"/>
        <w:rPr>
          <w:rFonts w:hint="default"/>
          <w:color w:val="auto"/>
        </w:rPr>
      </w:pPr>
      <w:r>
        <w:rPr>
          <w:rFonts w:hint="default"/>
          <w:color w:val="auto"/>
        </w:rPr>
        <w:t>该模块聚焦生产环节的物料追溯、流程管控与数据精准管理，通过扫码技术实现多类型表单的数字化管理，助力企业把控生产订单执行、物料平衡、特殊物料（化学品、咖啡因）使用及包材退库等关键环节，保障生产数据的准确性与流程合规性。</w:t>
      </w:r>
    </w:p>
    <w:p w14:paraId="57C11022">
      <w:pPr>
        <w:numPr>
          <w:ilvl w:val="0"/>
          <w:numId w:val="10"/>
        </w:numPr>
        <w:bidi w:val="0"/>
        <w:ind w:left="420" w:leftChars="0" w:hanging="420" w:firstLineChars="0"/>
        <w:rPr>
          <w:rFonts w:hint="default"/>
          <w:color w:val="auto"/>
        </w:rPr>
      </w:pPr>
      <w:r>
        <w:rPr>
          <w:rFonts w:hint="default"/>
          <w:color w:val="auto"/>
        </w:rPr>
        <w:t>生产订单</w:t>
      </w:r>
    </w:p>
    <w:p w14:paraId="68F4E277">
      <w:pPr>
        <w:bidi w:val="0"/>
        <w:rPr>
          <w:rFonts w:hint="default"/>
          <w:color w:val="auto"/>
        </w:rPr>
      </w:pPr>
      <w:r>
        <w:rPr>
          <w:rFonts w:hint="default"/>
          <w:color w:val="auto"/>
        </w:rPr>
        <w:t>该表单是“数智工厂”生产管理模块中生产订单管理的核心载体，用于精细化呈现生产订单的关键信息，助力生产团队明确任务要求、把控生产流程，保障订单执行的准确性与高效性。</w:t>
      </w:r>
    </w:p>
    <w:p w14:paraId="3FC9531D">
      <w:pPr>
        <w:bidi w:val="0"/>
        <w:rPr>
          <w:rFonts w:hint="default"/>
          <w:color w:val="auto"/>
        </w:rPr>
      </w:pPr>
      <w:r>
        <w:rPr>
          <w:rFonts w:hint="default"/>
          <w:color w:val="auto"/>
        </w:rPr>
        <w:t>功能定位：</w:t>
      </w:r>
    </w:p>
    <w:p w14:paraId="5EB4CC3B">
      <w:pPr>
        <w:bidi w:val="0"/>
        <w:rPr>
          <w:rFonts w:hint="default"/>
          <w:color w:val="auto"/>
        </w:rPr>
      </w:pPr>
      <w:r>
        <w:rPr>
          <w:rFonts w:hint="default"/>
          <w:color w:val="auto"/>
        </w:rPr>
        <w:t>围绕生产订单的全周期管理，实现订单基础信息（产品、产线、班组、班次、生产日期）的集中展示与管理，支持订单信息的查询、核对与追溯，是生产任务执行的“指挥中枢”。</w:t>
      </w:r>
    </w:p>
    <w:p w14:paraId="790BFA54">
      <w:pPr>
        <w:bidi w:val="0"/>
        <w:rPr>
          <w:rFonts w:hint="default"/>
          <w:color w:val="auto"/>
        </w:rPr>
      </w:pPr>
      <w:r>
        <w:rPr>
          <w:rFonts w:hint="default"/>
          <w:color w:val="auto"/>
        </w:rPr>
        <w:t>核心功能说明：</w:t>
      </w:r>
    </w:p>
    <w:p w14:paraId="39A75A07">
      <w:pPr>
        <w:bidi w:val="0"/>
        <w:rPr>
          <w:rFonts w:hint="default"/>
          <w:color w:val="auto"/>
        </w:rPr>
      </w:pPr>
      <w:r>
        <w:rPr>
          <w:rFonts w:hint="default"/>
          <w:color w:val="auto"/>
        </w:rPr>
        <w:t>关键信息聚合：整合产品批号、生产订单号、产线、产品名称、产品类型、班组、班次、生产日期等核心字段，清晰呈现订单的生产维度与产品属性，让生产人员快速明确任务边界。</w:t>
      </w:r>
    </w:p>
    <w:p w14:paraId="0A6AE148">
      <w:pPr>
        <w:bidi w:val="0"/>
        <w:rPr>
          <w:rFonts w:hint="default"/>
          <w:color w:val="auto"/>
        </w:rPr>
      </w:pPr>
      <w:r>
        <w:rPr>
          <w:rFonts w:hint="default"/>
          <w:color w:val="auto"/>
        </w:rPr>
        <w:t>流程关联与追溯：通过“单据日志”“审批流程”标签页，可追溯订单的创建、审批、执行等全流程节点，便于管理团队把控订单进度与权责划分。</w:t>
      </w:r>
    </w:p>
    <w:p w14:paraId="42D3EEA3">
      <w:pPr>
        <w:pStyle w:val="42"/>
        <w:bidi w:val="0"/>
        <w:rPr>
          <w:rFonts w:hint="default"/>
          <w:color w:val="auto"/>
        </w:rPr>
      </w:pPr>
      <w:r>
        <w:rPr>
          <w:rFonts w:hint="default"/>
          <w:color w:val="auto"/>
        </w:rPr>
        <w:drawing>
          <wp:inline distT="0" distB="0" distL="114300" distR="114300">
            <wp:extent cx="5266690" cy="2615565"/>
            <wp:effectExtent l="0" t="0" r="6350" b="5715"/>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pic:cNvPicPr>
                  </pic:nvPicPr>
                  <pic:blipFill>
                    <a:blip r:embed="rId22"/>
                    <a:stretch>
                      <a:fillRect/>
                    </a:stretch>
                  </pic:blipFill>
                  <pic:spPr>
                    <a:xfrm>
                      <a:off x="0" y="0"/>
                      <a:ext cx="5266690" cy="2615565"/>
                    </a:xfrm>
                    <a:prstGeom prst="rect">
                      <a:avLst/>
                    </a:prstGeom>
                  </pic:spPr>
                </pic:pic>
              </a:graphicData>
            </a:graphic>
          </wp:inline>
        </w:drawing>
      </w:r>
    </w:p>
    <w:p w14:paraId="447347CC">
      <w:pPr>
        <w:bidi w:val="0"/>
        <w:rPr>
          <w:rFonts w:hint="default"/>
          <w:color w:val="auto"/>
        </w:rPr>
      </w:pPr>
      <w:r>
        <w:rPr>
          <w:rFonts w:hint="default"/>
          <w:color w:val="auto"/>
        </w:rPr>
        <w:t>关键作用体现：</w:t>
      </w:r>
    </w:p>
    <w:p w14:paraId="095914B8">
      <w:pPr>
        <w:bidi w:val="0"/>
        <w:rPr>
          <w:rFonts w:hint="default"/>
          <w:color w:val="auto"/>
        </w:rPr>
      </w:pPr>
      <w:r>
        <w:rPr>
          <w:rFonts w:hint="default"/>
          <w:color w:val="auto"/>
        </w:rPr>
        <w:t>明确生产任务：为生产车间、班组提供清晰的任务指令，确保生产执行与订单要求的一致性，避免生产偏差。</w:t>
      </w:r>
    </w:p>
    <w:p w14:paraId="56AD2DBC">
      <w:pPr>
        <w:bidi w:val="0"/>
        <w:rPr>
          <w:rFonts w:hint="default"/>
          <w:color w:val="auto"/>
        </w:rPr>
      </w:pPr>
      <w:r>
        <w:rPr>
          <w:rFonts w:hint="default"/>
          <w:color w:val="auto"/>
        </w:rPr>
        <w:t>保障数据精准：标准化的订单信息录入与展示，为生产过程中的物料核算、设备调度、质量管控提供精准数据支撑。</w:t>
      </w:r>
    </w:p>
    <w:p w14:paraId="05633AFD">
      <w:pPr>
        <w:bidi w:val="0"/>
        <w:rPr>
          <w:rFonts w:hint="default"/>
          <w:color w:val="auto"/>
        </w:rPr>
      </w:pPr>
      <w:r>
        <w:rPr>
          <w:rFonts w:hint="default"/>
          <w:color w:val="auto"/>
        </w:rPr>
        <w:t>实现流程合规：完整的订单记录与审批流程，符合生产管理的合规性要求，在产品质量追溯、审计等场景中可提供有效依据。</w:t>
      </w:r>
    </w:p>
    <w:p w14:paraId="0C17A8DF">
      <w:pPr>
        <w:numPr>
          <w:ilvl w:val="0"/>
          <w:numId w:val="10"/>
        </w:numPr>
        <w:bidi w:val="0"/>
        <w:ind w:left="420" w:leftChars="0" w:hanging="420" w:firstLineChars="0"/>
        <w:rPr>
          <w:rFonts w:hint="default"/>
          <w:color w:val="auto"/>
        </w:rPr>
      </w:pPr>
      <w:r>
        <w:rPr>
          <w:rFonts w:hint="default"/>
          <w:color w:val="auto"/>
        </w:rPr>
        <w:t>原辅料物料平衡表</w:t>
      </w:r>
    </w:p>
    <w:p w14:paraId="52277F1C">
      <w:pPr>
        <w:bidi w:val="0"/>
        <w:rPr>
          <w:rFonts w:hint="default"/>
          <w:color w:val="auto"/>
        </w:rPr>
      </w:pPr>
      <w:r>
        <w:rPr>
          <w:rFonts w:hint="default"/>
          <w:color w:val="auto"/>
        </w:rPr>
        <w:t>该表单是 “数智工厂” 生产管理模块中原辅料物料管控的核心工具，用于系统化统计与分析生产过程中原辅料的使用、损耗及平衡情况，助力企业实现物料成本优化与生产合规性管理。</w:t>
      </w:r>
    </w:p>
    <w:p w14:paraId="7C57EE65">
      <w:pPr>
        <w:bidi w:val="0"/>
        <w:rPr>
          <w:rFonts w:hint="default"/>
          <w:color w:val="auto"/>
        </w:rPr>
      </w:pPr>
      <w:r>
        <w:rPr>
          <w:rFonts w:hint="default"/>
          <w:color w:val="auto"/>
        </w:rPr>
        <w:t>功能定位：围绕原辅料的全流程管理，整合生产基础信息（产品、批次、产线、生产时间）、原辅料使用信息（入库量、退库量、报废量、取样量、领用量）及物料平衡分析（偏差范围、平衡率、是否正常偏差），实现原辅料从领用至成品产出的全链路数据闭环管理。</w:t>
      </w:r>
    </w:p>
    <w:p w14:paraId="267011F6">
      <w:pPr>
        <w:bidi w:val="0"/>
        <w:rPr>
          <w:rFonts w:hint="default"/>
          <w:color w:val="auto"/>
        </w:rPr>
      </w:pPr>
      <w:r>
        <w:rPr>
          <w:rFonts w:hint="default"/>
          <w:color w:val="auto"/>
        </w:rPr>
        <w:t>核心功能说明：</w:t>
      </w:r>
    </w:p>
    <w:p w14:paraId="276D1F9A">
      <w:pPr>
        <w:bidi w:val="0"/>
        <w:rPr>
          <w:rFonts w:hint="default"/>
          <w:color w:val="auto"/>
        </w:rPr>
      </w:pPr>
      <w:r>
        <w:rPr>
          <w:rFonts w:hint="default"/>
          <w:color w:val="auto"/>
        </w:rPr>
        <w:t>多维度信息聚合：集中呈现产品名称、大批次、规格、产线、生产起止时间等基础信息，明确物料管理的生产场景；同时细分空罐、顶盖、纸皮、热缩膜、热熔胶等原辅料的使用数据，精准刻画每类物料的流转轨迹。</w:t>
      </w:r>
    </w:p>
    <w:p w14:paraId="4B29D0C9">
      <w:pPr>
        <w:bidi w:val="0"/>
        <w:rPr>
          <w:rFonts w:hint="default"/>
          <w:color w:val="auto"/>
        </w:rPr>
      </w:pPr>
      <w:r>
        <w:rPr>
          <w:rFonts w:hint="default"/>
          <w:color w:val="auto"/>
        </w:rPr>
        <w:t>物料平衡智能分析：通过公式 “（成品入库量 + 原材料退库量 + 成品报废量 + 成品取样量）/ 原材料领用量” 自动计算物料平衡率，结合预设的偏差范围，判定物料使用是否处于正常区间，直观呈现物料损耗的合理性。</w:t>
      </w:r>
    </w:p>
    <w:p w14:paraId="74558777">
      <w:pPr>
        <w:bidi w:val="0"/>
        <w:rPr>
          <w:rFonts w:hint="default"/>
          <w:color w:val="auto"/>
        </w:rPr>
      </w:pPr>
      <w:r>
        <w:rPr>
          <w:rFonts w:hint="default"/>
          <w:color w:val="auto"/>
        </w:rPr>
        <w:t>流程追溯与审批：支持 “单据日志”“审批流程” 的追溯与管理，确保物料管理流程的权责清晰、可审计。</w:t>
      </w:r>
    </w:p>
    <w:p w14:paraId="5408F7DD">
      <w:pPr>
        <w:pStyle w:val="42"/>
        <w:bidi w:val="0"/>
        <w:rPr>
          <w:rFonts w:hint="default"/>
          <w:color w:val="auto"/>
        </w:rPr>
      </w:pPr>
      <w:r>
        <w:rPr>
          <w:rFonts w:hint="default"/>
          <w:color w:val="auto"/>
        </w:rPr>
        <w:drawing>
          <wp:inline distT="0" distB="0" distL="114300" distR="114300">
            <wp:extent cx="5266690" cy="2615565"/>
            <wp:effectExtent l="0" t="0" r="6350" b="5715"/>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pic:cNvPicPr>
                  </pic:nvPicPr>
                  <pic:blipFill>
                    <a:blip r:embed="rId23"/>
                    <a:stretch>
                      <a:fillRect/>
                    </a:stretch>
                  </pic:blipFill>
                  <pic:spPr>
                    <a:xfrm>
                      <a:off x="0" y="0"/>
                      <a:ext cx="5266690" cy="2615565"/>
                    </a:xfrm>
                    <a:prstGeom prst="rect">
                      <a:avLst/>
                    </a:prstGeom>
                  </pic:spPr>
                </pic:pic>
              </a:graphicData>
            </a:graphic>
          </wp:inline>
        </w:drawing>
      </w:r>
    </w:p>
    <w:p w14:paraId="564AFFA9">
      <w:pPr>
        <w:bidi w:val="0"/>
        <w:rPr>
          <w:rFonts w:hint="default"/>
          <w:color w:val="auto"/>
        </w:rPr>
      </w:pPr>
      <w:r>
        <w:rPr>
          <w:rFonts w:hint="default"/>
          <w:color w:val="auto"/>
        </w:rPr>
        <w:t>关键作用体现：</w:t>
      </w:r>
    </w:p>
    <w:p w14:paraId="52404A5A">
      <w:pPr>
        <w:bidi w:val="0"/>
        <w:rPr>
          <w:rFonts w:hint="default"/>
          <w:color w:val="auto"/>
        </w:rPr>
      </w:pPr>
      <w:r>
        <w:rPr>
          <w:rFonts w:hint="default"/>
          <w:color w:val="auto"/>
        </w:rPr>
        <w:t>优化物料成本：通过精准的物料平衡分析，及时发现原辅料损耗异常（如超出偏差范围），助力企业追溯损耗根源（如生产浪费、设备故障），进而制定改进措施，降低物料成本。</w:t>
      </w:r>
    </w:p>
    <w:p w14:paraId="7070A5DB">
      <w:pPr>
        <w:bidi w:val="0"/>
        <w:rPr>
          <w:rFonts w:hint="default"/>
          <w:color w:val="auto"/>
        </w:rPr>
      </w:pPr>
      <w:r>
        <w:rPr>
          <w:rFonts w:hint="default"/>
          <w:color w:val="auto"/>
        </w:rPr>
        <w:t>保障生产合规：完整的原辅料流转记录与平衡分析，符合医药、食品等行业对物料管理的合规性要求，为生产审计、产品追溯提供可靠数据支撑。</w:t>
      </w:r>
    </w:p>
    <w:p w14:paraId="780BD5A6">
      <w:pPr>
        <w:bidi w:val="0"/>
        <w:rPr>
          <w:rFonts w:hint="default"/>
          <w:color w:val="auto"/>
        </w:rPr>
      </w:pPr>
      <w:r>
        <w:rPr>
          <w:rFonts w:hint="default"/>
          <w:color w:val="auto"/>
        </w:rPr>
        <w:t>提升生产效率：清晰的物料使用数据的，为生产计划制定、物料采购决策提供依据，避免物料短缺或积压，保障生产流程的顺畅衔接。</w:t>
      </w:r>
    </w:p>
    <w:p w14:paraId="37FD75B0">
      <w:pPr>
        <w:pStyle w:val="37"/>
        <w:bidi w:val="0"/>
        <w:rPr>
          <w:rFonts w:hint="default"/>
          <w:color w:val="auto"/>
        </w:rPr>
      </w:pPr>
      <w:r>
        <w:rPr>
          <w:rFonts w:hint="default"/>
          <w:color w:val="auto"/>
        </w:rPr>
        <w:t>称料模块</w:t>
      </w:r>
      <w:r>
        <w:rPr>
          <w:rFonts w:hint="eastAsia"/>
          <w:color w:val="auto"/>
          <w:lang w:eastAsia="zh-CN"/>
        </w:rPr>
        <w:t>（</w:t>
      </w:r>
      <w:r>
        <w:rPr>
          <w:rFonts w:hint="eastAsia"/>
          <w:color w:val="auto"/>
          <w:lang w:val="en-US" w:eastAsia="zh-CN"/>
        </w:rPr>
        <w:t>定制开发</w:t>
      </w:r>
      <w:r>
        <w:rPr>
          <w:rFonts w:hint="eastAsia"/>
          <w:color w:val="auto"/>
          <w:lang w:eastAsia="zh-CN"/>
        </w:rPr>
        <w:t>）</w:t>
      </w:r>
    </w:p>
    <w:p w14:paraId="78308E93">
      <w:pPr>
        <w:bidi w:val="0"/>
        <w:rPr>
          <w:rFonts w:hint="default"/>
          <w:color w:val="auto"/>
        </w:rPr>
      </w:pPr>
      <w:r>
        <w:rPr>
          <w:rFonts w:hint="default"/>
          <w:color w:val="auto"/>
        </w:rPr>
        <w:t>该模块聚焦生产环节的物料称量、领用、转运及异常处理，通过多类型表单实现称料全流程的数字化管理，助力企业精准把控原辅料、特殊物料（咖啡因、VB12 等）的流转，保障生产配方的准确性与物料管理的合规性。</w:t>
      </w:r>
    </w:p>
    <w:p w14:paraId="3BDEFA3A">
      <w:pPr>
        <w:numPr>
          <w:ilvl w:val="0"/>
          <w:numId w:val="11"/>
        </w:numPr>
        <w:bidi w:val="0"/>
        <w:ind w:left="420" w:leftChars="0" w:hanging="420" w:firstLineChars="0"/>
        <w:rPr>
          <w:rFonts w:hint="default"/>
          <w:color w:val="auto"/>
        </w:rPr>
      </w:pPr>
      <w:r>
        <w:rPr>
          <w:rFonts w:hint="default"/>
          <w:color w:val="auto"/>
        </w:rPr>
        <w:t>车间原材料物资称量记录</w:t>
      </w:r>
    </w:p>
    <w:p w14:paraId="278DEB8C">
      <w:pPr>
        <w:bidi w:val="0"/>
        <w:rPr>
          <w:rFonts w:hint="default"/>
          <w:color w:val="auto"/>
        </w:rPr>
      </w:pPr>
      <w:r>
        <w:rPr>
          <w:rFonts w:hint="default"/>
          <w:color w:val="auto"/>
        </w:rPr>
        <w:t>该表单是 “数智工厂” 生产管理模块中原材料称量管理的核心工具，用于精准记录车间原材料的称量过程与数据，保障生产配方中物料用量的准确性，助力企业实现物料成本管控与产品质量追溯。</w:t>
      </w:r>
    </w:p>
    <w:p w14:paraId="2497B1CF">
      <w:pPr>
        <w:bidi w:val="0"/>
        <w:rPr>
          <w:rFonts w:hint="default"/>
          <w:color w:val="auto"/>
        </w:rPr>
      </w:pPr>
      <w:r>
        <w:rPr>
          <w:rFonts w:hint="default"/>
          <w:color w:val="auto"/>
        </w:rPr>
        <w:t>功能定位：围绕车间原材料称量场景，整合产品信息、称量人员信息与物料称量数据（上期尾料、领料量、配方重量、称量总数等），实现原材料从领料到称量使用的全流程数据闭环管理。</w:t>
      </w:r>
    </w:p>
    <w:p w14:paraId="11BF765A">
      <w:pPr>
        <w:bidi w:val="0"/>
        <w:rPr>
          <w:rFonts w:hint="default"/>
          <w:color w:val="auto"/>
        </w:rPr>
      </w:pPr>
      <w:r>
        <w:rPr>
          <w:rFonts w:hint="default"/>
          <w:color w:val="auto"/>
        </w:rPr>
        <w:t>核心功能说明：</w:t>
      </w:r>
    </w:p>
    <w:p w14:paraId="7253110E">
      <w:pPr>
        <w:bidi w:val="0"/>
        <w:rPr>
          <w:rFonts w:hint="default"/>
          <w:color w:val="auto"/>
        </w:rPr>
      </w:pPr>
      <w:r>
        <w:rPr>
          <w:rFonts w:hint="default"/>
          <w:color w:val="auto"/>
        </w:rPr>
        <w:t>多维度信息聚合：集中呈现产品名称、称量日期、称量人、复核人等基础信息，明确称量任务的生产场景；同时细分物料名称、规格、上期尾料、领料量、配方重量、称量数、称量总数、剩余尾料等关键数据，精准刻画每批原材料的称量流转轨迹。</w:t>
      </w:r>
    </w:p>
    <w:p w14:paraId="3BE1F306">
      <w:pPr>
        <w:bidi w:val="0"/>
        <w:rPr>
          <w:rFonts w:hint="default"/>
          <w:color w:val="auto"/>
        </w:rPr>
      </w:pPr>
      <w:r>
        <w:rPr>
          <w:rFonts w:hint="default"/>
          <w:color w:val="auto"/>
        </w:rPr>
        <w:t>数据追溯与权责管理：通过 “单据日志”“审批流程” 标签页，可追溯称量记录的创建、修改及审批节点，确保称量过程的权责清晰、可审计；称量人、复核人的签字（或电子签名）机制，强化了称量环节的责任落实。</w:t>
      </w:r>
    </w:p>
    <w:p w14:paraId="4A21AF14">
      <w:pPr>
        <w:pStyle w:val="42"/>
        <w:bidi w:val="0"/>
        <w:rPr>
          <w:rFonts w:hint="default"/>
          <w:color w:val="auto"/>
        </w:rPr>
      </w:pPr>
      <w:r>
        <w:rPr>
          <w:rFonts w:hint="default"/>
          <w:color w:val="auto"/>
        </w:rPr>
        <w:drawing>
          <wp:inline distT="0" distB="0" distL="114300" distR="114300">
            <wp:extent cx="5266690" cy="2615565"/>
            <wp:effectExtent l="0" t="0" r="6350" b="5715"/>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24"/>
                    <a:stretch>
                      <a:fillRect/>
                    </a:stretch>
                  </pic:blipFill>
                  <pic:spPr>
                    <a:xfrm>
                      <a:off x="0" y="0"/>
                      <a:ext cx="5266690" cy="2615565"/>
                    </a:xfrm>
                    <a:prstGeom prst="rect">
                      <a:avLst/>
                    </a:prstGeom>
                  </pic:spPr>
                </pic:pic>
              </a:graphicData>
            </a:graphic>
          </wp:inline>
        </w:drawing>
      </w:r>
    </w:p>
    <w:p w14:paraId="1FC94165">
      <w:pPr>
        <w:bidi w:val="0"/>
        <w:rPr>
          <w:rFonts w:hint="default"/>
          <w:color w:val="auto"/>
        </w:rPr>
      </w:pPr>
      <w:r>
        <w:rPr>
          <w:rFonts w:hint="default"/>
          <w:color w:val="auto"/>
        </w:rPr>
        <w:t>关键作用体现：</w:t>
      </w:r>
    </w:p>
    <w:p w14:paraId="64C2FC70">
      <w:pPr>
        <w:bidi w:val="0"/>
        <w:rPr>
          <w:rFonts w:hint="default"/>
          <w:color w:val="auto"/>
        </w:rPr>
      </w:pPr>
      <w:r>
        <w:rPr>
          <w:rFonts w:hint="default"/>
          <w:color w:val="auto"/>
        </w:rPr>
        <w:t>保障配方精准性：精准的称量数据（如配方重量、称量总数）确保生产配方中物料用量的准确性，为产品质量的稳定性筑牢基础，避免因物料称量误差导致的产品质量波动。</w:t>
      </w:r>
    </w:p>
    <w:p w14:paraId="08EDE8CE">
      <w:pPr>
        <w:bidi w:val="0"/>
        <w:rPr>
          <w:rFonts w:hint="default"/>
          <w:color w:val="auto"/>
        </w:rPr>
      </w:pPr>
      <w:r>
        <w:rPr>
          <w:rFonts w:hint="default"/>
          <w:color w:val="auto"/>
        </w:rPr>
        <w:t>优化物料成本：通过上期尾料、剩余尾料的记录与分析，可有效管控物料损耗，避免尾料浪费或积压，助力企业优化原材料成本。</w:t>
      </w:r>
    </w:p>
    <w:p w14:paraId="51021E45">
      <w:pPr>
        <w:bidi w:val="0"/>
        <w:rPr>
          <w:rFonts w:hint="default"/>
          <w:color w:val="auto"/>
        </w:rPr>
      </w:pPr>
      <w:r>
        <w:rPr>
          <w:rFonts w:hint="default"/>
          <w:color w:val="auto"/>
        </w:rPr>
        <w:t>实现合规追溯：完整的称量记录可作为产品质量追溯的重要依据，在生产审计、质量纠纷等场景中，能快速调取数据证明原材料使用的合规性，降低企业运营风险。</w:t>
      </w:r>
    </w:p>
    <w:p w14:paraId="288469B2">
      <w:pPr>
        <w:numPr>
          <w:ilvl w:val="0"/>
          <w:numId w:val="11"/>
        </w:numPr>
        <w:bidi w:val="0"/>
        <w:ind w:left="420" w:leftChars="0" w:hanging="420" w:firstLineChars="0"/>
        <w:rPr>
          <w:rFonts w:hint="default"/>
          <w:color w:val="auto"/>
        </w:rPr>
      </w:pPr>
      <w:r>
        <w:rPr>
          <w:rFonts w:hint="default"/>
          <w:color w:val="auto"/>
        </w:rPr>
        <w:t>复合香精称量记录</w:t>
      </w:r>
    </w:p>
    <w:p w14:paraId="647DF9D5">
      <w:pPr>
        <w:bidi w:val="0"/>
        <w:rPr>
          <w:rFonts w:hint="default"/>
          <w:color w:val="auto"/>
        </w:rPr>
      </w:pPr>
      <w:r>
        <w:rPr>
          <w:rFonts w:hint="default"/>
          <w:color w:val="auto"/>
        </w:rPr>
        <w:t>该表单是 “数智工厂” 生产管理模块中复合香精称量管理的核心工具，用于精准记录复合香精的称量过程、数据及人员权责，保障生产配方中香精用量的准确性，助力企业实现香精物料的精细化管控与产品质量追溯。</w:t>
      </w:r>
    </w:p>
    <w:p w14:paraId="3F91D0E8">
      <w:pPr>
        <w:bidi w:val="0"/>
        <w:rPr>
          <w:rFonts w:hint="default"/>
          <w:color w:val="auto"/>
        </w:rPr>
      </w:pPr>
      <w:r>
        <w:rPr>
          <w:rFonts w:hint="default"/>
          <w:color w:val="auto"/>
        </w:rPr>
        <w:t>功能定位：围绕复合香精称量场景，整合产品、时间、车间等基础信息与多规格香精的称量数据（桶号、称量值），并通过称量人、复核人签字机制，实现复合香精从称量到使用的全流程数据闭环与责任追溯。</w:t>
      </w:r>
    </w:p>
    <w:p w14:paraId="640EBA5A">
      <w:pPr>
        <w:bidi w:val="0"/>
        <w:rPr>
          <w:rFonts w:hint="default"/>
          <w:color w:val="auto"/>
        </w:rPr>
      </w:pPr>
      <w:r>
        <w:rPr>
          <w:rFonts w:hint="default"/>
          <w:color w:val="auto"/>
        </w:rPr>
        <w:t>核心功能说明：</w:t>
      </w:r>
    </w:p>
    <w:p w14:paraId="2E4E4DD3">
      <w:pPr>
        <w:bidi w:val="0"/>
        <w:rPr>
          <w:rFonts w:hint="default"/>
          <w:color w:val="auto"/>
        </w:rPr>
      </w:pPr>
      <w:r>
        <w:rPr>
          <w:rFonts w:hint="default"/>
          <w:color w:val="auto"/>
        </w:rPr>
        <w:t>多维度信息聚合：集中呈现产品名称、称量日期、车间等基础信息，明确称量任务的生产场景；同时细分不同规格（3kg、4.5kg、2.5kg、6kg）复合香精的桶号、称量数据，精准刻画每批香精的称量流转轨迹。</w:t>
      </w:r>
    </w:p>
    <w:p w14:paraId="6B66999C">
      <w:pPr>
        <w:bidi w:val="0"/>
        <w:rPr>
          <w:rFonts w:hint="default"/>
          <w:color w:val="auto"/>
        </w:rPr>
      </w:pPr>
      <w:r>
        <w:rPr>
          <w:rFonts w:hint="default"/>
          <w:color w:val="auto"/>
        </w:rPr>
        <w:t>人员权责管理：设置 “称量人签字”“复核人签字” 栏，通过电子签名（或手写签名）机制明确称量环节的责任主体，确保称量过程的规范性与可追溯性；支持 “报告预览”“报告导出” 功能，实现称量数据的可视化归档与对外输出。</w:t>
      </w:r>
    </w:p>
    <w:p w14:paraId="47C561C6">
      <w:pPr>
        <w:pStyle w:val="42"/>
        <w:bidi w:val="0"/>
        <w:rPr>
          <w:rFonts w:hint="default"/>
          <w:color w:val="auto"/>
        </w:rPr>
      </w:pPr>
      <w:r>
        <w:rPr>
          <w:rFonts w:hint="default"/>
          <w:color w:val="auto"/>
        </w:rPr>
        <w:drawing>
          <wp:inline distT="0" distB="0" distL="114300" distR="114300">
            <wp:extent cx="5266690" cy="2615565"/>
            <wp:effectExtent l="0" t="0" r="6350" b="5715"/>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25"/>
                    <a:stretch>
                      <a:fillRect/>
                    </a:stretch>
                  </pic:blipFill>
                  <pic:spPr>
                    <a:xfrm>
                      <a:off x="0" y="0"/>
                      <a:ext cx="5266690" cy="2615565"/>
                    </a:xfrm>
                    <a:prstGeom prst="rect">
                      <a:avLst/>
                    </a:prstGeom>
                  </pic:spPr>
                </pic:pic>
              </a:graphicData>
            </a:graphic>
          </wp:inline>
        </w:drawing>
      </w:r>
    </w:p>
    <w:p w14:paraId="38DDD38F">
      <w:pPr>
        <w:bidi w:val="0"/>
        <w:rPr>
          <w:rFonts w:hint="default"/>
          <w:color w:val="auto"/>
        </w:rPr>
      </w:pPr>
      <w:r>
        <w:rPr>
          <w:rFonts w:hint="default"/>
          <w:color w:val="auto"/>
        </w:rPr>
        <w:t>关键作用体现：</w:t>
      </w:r>
    </w:p>
    <w:p w14:paraId="58BD0660">
      <w:pPr>
        <w:bidi w:val="0"/>
        <w:rPr>
          <w:rFonts w:hint="default"/>
          <w:color w:val="auto"/>
        </w:rPr>
      </w:pPr>
      <w:r>
        <w:rPr>
          <w:rFonts w:hint="default"/>
          <w:color w:val="auto"/>
        </w:rPr>
        <w:t>保障配方精准性：精准的多规格香精称量数据，确保生产配方中香精用量的准确性，为产品风味的稳定性提供关键支撑，避免因香精称量误差导致的产品风味波动。</w:t>
      </w:r>
    </w:p>
    <w:p w14:paraId="055F158F">
      <w:pPr>
        <w:bidi w:val="0"/>
        <w:rPr>
          <w:rFonts w:hint="default"/>
          <w:color w:val="auto"/>
        </w:rPr>
      </w:pPr>
      <w:r>
        <w:rPr>
          <w:rFonts w:hint="default"/>
          <w:color w:val="auto"/>
        </w:rPr>
        <w:t>强化物料管控：通过桶号、规格的关联记录，实现复合香精物料从入库到称量使用的全链路追溯，便于排查香精物料的流转异常，优化香精库存与成本管理。</w:t>
      </w:r>
    </w:p>
    <w:p w14:paraId="19E9D038">
      <w:pPr>
        <w:bidi w:val="0"/>
        <w:rPr>
          <w:rFonts w:hint="default"/>
          <w:color w:val="auto"/>
        </w:rPr>
      </w:pPr>
      <w:r>
        <w:rPr>
          <w:rFonts w:hint="default"/>
          <w:color w:val="auto"/>
        </w:rPr>
        <w:t>实现合规审计：完整的称量记录（含人员签字、数据明细）可作为生产合规性审计的重要依据，在食品、饮料行业的质量审计、监管检查中，能有效证明香精使用的规范性与可追溯性。</w:t>
      </w:r>
    </w:p>
    <w:p w14:paraId="3E06DA3F">
      <w:pPr>
        <w:pStyle w:val="37"/>
        <w:bidi w:val="0"/>
        <w:rPr>
          <w:rFonts w:hint="default"/>
          <w:color w:val="auto"/>
        </w:rPr>
      </w:pPr>
      <w:r>
        <w:rPr>
          <w:rFonts w:hint="default"/>
          <w:color w:val="auto"/>
        </w:rPr>
        <w:t>配料模块</w:t>
      </w:r>
      <w:r>
        <w:rPr>
          <w:rFonts w:hint="eastAsia"/>
          <w:color w:val="auto"/>
          <w:lang w:eastAsia="zh-CN"/>
        </w:rPr>
        <w:t>（</w:t>
      </w:r>
      <w:r>
        <w:rPr>
          <w:rFonts w:hint="eastAsia"/>
          <w:color w:val="auto"/>
          <w:lang w:val="en-US" w:eastAsia="zh-CN"/>
        </w:rPr>
        <w:t>定制开发</w:t>
      </w:r>
      <w:r>
        <w:rPr>
          <w:rFonts w:hint="eastAsia"/>
          <w:color w:val="auto"/>
          <w:lang w:eastAsia="zh-CN"/>
        </w:rPr>
        <w:t>）</w:t>
      </w:r>
    </w:p>
    <w:p w14:paraId="7D1C4C5B">
      <w:pPr>
        <w:bidi w:val="0"/>
        <w:rPr>
          <w:rFonts w:hint="default"/>
          <w:color w:val="auto"/>
        </w:rPr>
      </w:pPr>
      <w:r>
        <w:rPr>
          <w:rFonts w:hint="default"/>
          <w:color w:val="auto"/>
        </w:rPr>
        <w:t>该模块聚焦生产配料环节的全流程管控，通过多类型表单实现配料工序、物料投用、特殊物料交接、质量检验、物料退库及清洁管理的数字化管理，助力企业保障配料精度、产品质量与生产合规性。</w:t>
      </w:r>
    </w:p>
    <w:p w14:paraId="20B663EE">
      <w:pPr>
        <w:numPr>
          <w:ilvl w:val="0"/>
          <w:numId w:val="12"/>
        </w:numPr>
        <w:bidi w:val="0"/>
        <w:ind w:left="420" w:leftChars="0" w:hanging="420" w:firstLineChars="0"/>
        <w:rPr>
          <w:rFonts w:hint="default"/>
          <w:color w:val="auto"/>
        </w:rPr>
      </w:pPr>
      <w:r>
        <w:rPr>
          <w:rFonts w:hint="default"/>
          <w:color w:val="auto"/>
        </w:rPr>
        <w:t>配料工序记录</w:t>
      </w:r>
    </w:p>
    <w:p w14:paraId="2929FBF0">
      <w:pPr>
        <w:bidi w:val="0"/>
        <w:rPr>
          <w:rFonts w:hint="default"/>
          <w:color w:val="auto"/>
        </w:rPr>
      </w:pPr>
      <w:r>
        <w:rPr>
          <w:rFonts w:hint="default"/>
          <w:color w:val="auto"/>
        </w:rPr>
        <w:t>该表单是 “数智工厂” 生产管理模块中配料工序全流程管控的核心工具，用于精准记录配料环节的生产订单信息、工序参数及物料使用情况，保障配料工序的标准化执行与产品质量追溯。</w:t>
      </w:r>
    </w:p>
    <w:p w14:paraId="53FD2B3B">
      <w:pPr>
        <w:bidi w:val="0"/>
        <w:rPr>
          <w:rFonts w:hint="default"/>
          <w:color w:val="auto"/>
        </w:rPr>
      </w:pPr>
      <w:r>
        <w:rPr>
          <w:rFonts w:hint="default"/>
          <w:color w:val="auto"/>
        </w:rPr>
        <w:t>功能定位：围绕配料工序的执行场景，整合生产订单（生产订单号、大批次、生产日期、产线、班次）与多规格物料（如不同重量的 RBM 系列物料）的工序记录，实现配料从任务下发到工序执行的全流程数据闭环管理。</w:t>
      </w:r>
    </w:p>
    <w:p w14:paraId="5E17FF4F">
      <w:pPr>
        <w:bidi w:val="0"/>
        <w:rPr>
          <w:rFonts w:hint="default"/>
          <w:color w:val="auto"/>
        </w:rPr>
      </w:pPr>
      <w:r>
        <w:rPr>
          <w:rFonts w:hint="default"/>
          <w:color w:val="auto"/>
        </w:rPr>
        <w:t>核心功能说明：</w:t>
      </w:r>
    </w:p>
    <w:p w14:paraId="6F7112F3">
      <w:pPr>
        <w:bidi w:val="0"/>
        <w:rPr>
          <w:rFonts w:hint="default"/>
          <w:color w:val="auto"/>
        </w:rPr>
      </w:pPr>
      <w:r>
        <w:rPr>
          <w:rFonts w:hint="default"/>
          <w:color w:val="auto"/>
        </w:rPr>
        <w:t>多维度信息聚合：集中呈现生产订单号、大批次、生产日期、产品名称、产线、班次等基础信息，明确配料任务的生产维度；同时细分配料缸号、盛料桶号及各类规格物料的使用记录，精准刻画配料工序的物料流转与工艺执行轨迹。</w:t>
      </w:r>
    </w:p>
    <w:p w14:paraId="4BD2093A">
      <w:pPr>
        <w:bidi w:val="0"/>
        <w:rPr>
          <w:rFonts w:hint="default"/>
          <w:color w:val="auto"/>
        </w:rPr>
      </w:pPr>
      <w:r>
        <w:rPr>
          <w:rFonts w:hint="default"/>
          <w:color w:val="auto"/>
        </w:rPr>
        <w:t>流程追溯与权责管理：支持 “单据日志”“审批流程” 的追溯，确保配料工序的操作可查、责任可追；“签字提交” 功能强化了工序执行的责任落实，保障配料数据的真实性与规范性。</w:t>
      </w:r>
    </w:p>
    <w:p w14:paraId="5619238A">
      <w:pPr>
        <w:pStyle w:val="42"/>
        <w:bidi w:val="0"/>
        <w:rPr>
          <w:rFonts w:hint="default"/>
          <w:color w:val="auto"/>
        </w:rPr>
      </w:pPr>
      <w:r>
        <w:rPr>
          <w:rFonts w:hint="default"/>
          <w:color w:val="auto"/>
        </w:rPr>
        <w:drawing>
          <wp:inline distT="0" distB="0" distL="114300" distR="114300">
            <wp:extent cx="5266690" cy="2615565"/>
            <wp:effectExtent l="0" t="0" r="6350" b="571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pic:cNvPicPr>
                  </pic:nvPicPr>
                  <pic:blipFill>
                    <a:blip r:embed="rId26"/>
                    <a:stretch>
                      <a:fillRect/>
                    </a:stretch>
                  </pic:blipFill>
                  <pic:spPr>
                    <a:xfrm>
                      <a:off x="0" y="0"/>
                      <a:ext cx="5266690" cy="2615565"/>
                    </a:xfrm>
                    <a:prstGeom prst="rect">
                      <a:avLst/>
                    </a:prstGeom>
                  </pic:spPr>
                </pic:pic>
              </a:graphicData>
            </a:graphic>
          </wp:inline>
        </w:drawing>
      </w:r>
    </w:p>
    <w:p w14:paraId="51611284">
      <w:pPr>
        <w:bidi w:val="0"/>
        <w:rPr>
          <w:rFonts w:hint="default"/>
          <w:color w:val="auto"/>
        </w:rPr>
      </w:pPr>
      <w:r>
        <w:rPr>
          <w:rFonts w:hint="default"/>
          <w:color w:val="auto"/>
        </w:rPr>
        <w:t>关键作用体现：</w:t>
      </w:r>
    </w:p>
    <w:p w14:paraId="1522FD97">
      <w:pPr>
        <w:bidi w:val="0"/>
        <w:rPr>
          <w:rFonts w:hint="default"/>
          <w:color w:val="auto"/>
        </w:rPr>
      </w:pPr>
      <w:r>
        <w:rPr>
          <w:rFonts w:hint="default"/>
          <w:color w:val="auto"/>
        </w:rPr>
        <w:t>保障工序标准化：通过明确的生产订单与物料规格记录，确保配料工序严格按照工艺要求执行，为产品配方的一致性与质量稳定性提供关键支撑。</w:t>
      </w:r>
    </w:p>
    <w:p w14:paraId="3FE26AD0">
      <w:pPr>
        <w:bidi w:val="0"/>
        <w:rPr>
          <w:rFonts w:hint="default"/>
          <w:color w:val="auto"/>
        </w:rPr>
      </w:pPr>
      <w:r>
        <w:rPr>
          <w:rFonts w:hint="default"/>
          <w:color w:val="auto"/>
        </w:rPr>
        <w:t>实现物料精准管控：多规格物料的工序记录，便于追溯每种物料在配料环节的使用情况，优化物料成本管理，避免物料浪费或误用。</w:t>
      </w:r>
    </w:p>
    <w:p w14:paraId="084FBFF9">
      <w:pPr>
        <w:bidi w:val="0"/>
        <w:rPr>
          <w:rFonts w:hint="default"/>
          <w:color w:val="auto"/>
        </w:rPr>
      </w:pPr>
      <w:r>
        <w:rPr>
          <w:rFonts w:hint="default"/>
          <w:color w:val="auto"/>
        </w:rPr>
        <w:t>满足合规审计要求：完整的配料工序记录（含生产订单、物料规格、签字确认）可作为生产合规性审计的重要依据，在食品、饮料行业的质量监管与审计中，有效证明配料工序的规范性与可追溯性。</w:t>
      </w:r>
    </w:p>
    <w:p w14:paraId="5A49AE73">
      <w:pPr>
        <w:numPr>
          <w:ilvl w:val="0"/>
          <w:numId w:val="12"/>
        </w:numPr>
        <w:bidi w:val="0"/>
        <w:ind w:left="420" w:leftChars="0" w:hanging="420" w:firstLineChars="0"/>
        <w:rPr>
          <w:rFonts w:hint="default"/>
          <w:color w:val="auto"/>
        </w:rPr>
      </w:pPr>
      <w:r>
        <w:rPr>
          <w:rFonts w:hint="default"/>
          <w:color w:val="auto"/>
        </w:rPr>
        <w:t>盛料桶投料</w:t>
      </w:r>
    </w:p>
    <w:p w14:paraId="4FB75FF1">
      <w:pPr>
        <w:bidi w:val="0"/>
        <w:rPr>
          <w:rFonts w:hint="default"/>
          <w:color w:val="auto"/>
        </w:rPr>
      </w:pPr>
      <w:r>
        <w:rPr>
          <w:rFonts w:hint="default"/>
          <w:color w:val="auto"/>
        </w:rPr>
        <w:t>该表单是 “数智工厂” 生产管理模块中盛料桶投料环节全流程管控的核心工具，用于精准记录投料环境、物料交接及多规格物料的投料数据，保障投料环节的准确性、规范性与可追溯性。</w:t>
      </w:r>
    </w:p>
    <w:p w14:paraId="5DE8117B">
      <w:pPr>
        <w:bidi w:val="0"/>
        <w:rPr>
          <w:rFonts w:hint="default"/>
          <w:color w:val="auto"/>
        </w:rPr>
      </w:pPr>
      <w:r>
        <w:rPr>
          <w:rFonts w:hint="default"/>
          <w:color w:val="auto"/>
        </w:rPr>
        <w:t>功能定位：围绕盛料桶投料场景，整合环境监测（温度、湿度）、物料交接（数量、外观）与多规格物料（如 RBM 系列）的投料记录，实现从环境确认到物料投放的全流程数据闭环管理。</w:t>
      </w:r>
    </w:p>
    <w:p w14:paraId="03F13F3C">
      <w:pPr>
        <w:bidi w:val="0"/>
        <w:rPr>
          <w:rFonts w:hint="default"/>
          <w:color w:val="auto"/>
        </w:rPr>
      </w:pPr>
      <w:r>
        <w:rPr>
          <w:rFonts w:hint="default"/>
          <w:color w:val="auto"/>
        </w:rPr>
        <w:t>核心功能说明：</w:t>
      </w:r>
    </w:p>
    <w:p w14:paraId="1842FBD7">
      <w:pPr>
        <w:bidi w:val="0"/>
        <w:rPr>
          <w:rFonts w:hint="default"/>
          <w:color w:val="auto"/>
        </w:rPr>
      </w:pPr>
      <w:r>
        <w:rPr>
          <w:rFonts w:hint="default"/>
          <w:color w:val="auto"/>
        </w:rPr>
        <w:t>多维度信息聚合：</w:t>
      </w:r>
    </w:p>
    <w:p w14:paraId="3DF8ED3E">
      <w:pPr>
        <w:bidi w:val="0"/>
        <w:rPr>
          <w:rFonts w:hint="default"/>
          <w:color w:val="auto"/>
        </w:rPr>
      </w:pPr>
      <w:r>
        <w:rPr>
          <w:rFonts w:hint="default"/>
          <w:color w:val="auto"/>
        </w:rPr>
        <w:t>环境维度：记录投料时的环境温度、湿度，确保投料环境符合工艺要求；</w:t>
      </w:r>
    </w:p>
    <w:p w14:paraId="5864ABEC">
      <w:pPr>
        <w:bidi w:val="0"/>
        <w:rPr>
          <w:rFonts w:hint="default"/>
          <w:color w:val="auto"/>
        </w:rPr>
      </w:pPr>
      <w:r>
        <w:rPr>
          <w:rFonts w:hint="default"/>
          <w:color w:val="auto"/>
        </w:rPr>
        <w:t>物料交接维度：确认物料数量无误、外观完整，明确送料人、承诺人、接收人权责；</w:t>
      </w:r>
    </w:p>
    <w:p w14:paraId="3FB7FA46">
      <w:pPr>
        <w:bidi w:val="0"/>
        <w:rPr>
          <w:rFonts w:hint="default"/>
          <w:color w:val="auto"/>
        </w:rPr>
      </w:pPr>
      <w:r>
        <w:rPr>
          <w:rFonts w:hint="default"/>
          <w:color w:val="auto"/>
        </w:rPr>
        <w:t>投料数据维度：细分盛料桶号、各类规格物料的批次与投料记录，精准刻画每桶物料的投放轨迹。</w:t>
      </w:r>
    </w:p>
    <w:p w14:paraId="4E74FA27">
      <w:pPr>
        <w:bidi w:val="0"/>
        <w:rPr>
          <w:rFonts w:hint="default"/>
          <w:color w:val="auto"/>
        </w:rPr>
      </w:pPr>
      <w:r>
        <w:rPr>
          <w:rFonts w:hint="default"/>
          <w:color w:val="auto"/>
        </w:rPr>
        <w:t>流程追溯与权责管理：支持 “单据日志”“审批流程” 追溯，确保投料操作可查、责任可追；送料人、复核人电子签名（或手写签名）机制，强化投料环节的责任落实。</w:t>
      </w:r>
    </w:p>
    <w:p w14:paraId="0270AF8C">
      <w:pPr>
        <w:bidi w:val="0"/>
        <w:rPr>
          <w:rFonts w:hint="default"/>
          <w:color w:val="auto"/>
        </w:rPr>
      </w:pPr>
      <w:r>
        <w:rPr>
          <w:rFonts w:hint="default"/>
          <w:color w:val="auto"/>
        </w:rPr>
        <w:t>数据输出与归档：提供 “报告预览”“报告导出” 功能，实现投料数据的可视化归档与对外审计支撑。</w:t>
      </w:r>
    </w:p>
    <w:p w14:paraId="60B59C52">
      <w:pPr>
        <w:pStyle w:val="42"/>
        <w:bidi w:val="0"/>
        <w:rPr>
          <w:rFonts w:hint="default"/>
          <w:color w:val="auto"/>
        </w:rPr>
      </w:pPr>
      <w:r>
        <w:rPr>
          <w:rFonts w:hint="default"/>
          <w:color w:val="auto"/>
        </w:rPr>
        <w:drawing>
          <wp:inline distT="0" distB="0" distL="114300" distR="114300">
            <wp:extent cx="5266690" cy="2615565"/>
            <wp:effectExtent l="0" t="0" r="6350" b="5715"/>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pic:cNvPicPr>
                  </pic:nvPicPr>
                  <pic:blipFill>
                    <a:blip r:embed="rId27"/>
                    <a:stretch>
                      <a:fillRect/>
                    </a:stretch>
                  </pic:blipFill>
                  <pic:spPr>
                    <a:xfrm>
                      <a:off x="0" y="0"/>
                      <a:ext cx="5266690" cy="2615565"/>
                    </a:xfrm>
                    <a:prstGeom prst="rect">
                      <a:avLst/>
                    </a:prstGeom>
                  </pic:spPr>
                </pic:pic>
              </a:graphicData>
            </a:graphic>
          </wp:inline>
        </w:drawing>
      </w:r>
    </w:p>
    <w:p w14:paraId="5A0B0B3E">
      <w:pPr>
        <w:bidi w:val="0"/>
        <w:rPr>
          <w:rFonts w:hint="default"/>
          <w:color w:val="auto"/>
        </w:rPr>
      </w:pPr>
      <w:r>
        <w:rPr>
          <w:rFonts w:hint="default"/>
          <w:color w:val="auto"/>
        </w:rPr>
        <w:t>关键作用体现：</w:t>
      </w:r>
    </w:p>
    <w:p w14:paraId="1984E8FF">
      <w:pPr>
        <w:bidi w:val="0"/>
        <w:rPr>
          <w:rFonts w:hint="default"/>
          <w:color w:val="auto"/>
        </w:rPr>
      </w:pPr>
      <w:r>
        <w:rPr>
          <w:rFonts w:hint="default"/>
          <w:color w:val="auto"/>
        </w:rPr>
        <w:t>保障投料精准性：通过环境监测与物料交接确认，确保投料前环境与物料状态符合要求；多规格物料的精准记录，保障投料量与配方的一致性，为产品质量稳定性筑牢基础。</w:t>
      </w:r>
    </w:p>
    <w:p w14:paraId="641C92A5">
      <w:pPr>
        <w:bidi w:val="0"/>
        <w:rPr>
          <w:rFonts w:hint="default"/>
          <w:color w:val="auto"/>
        </w:rPr>
      </w:pPr>
      <w:r>
        <w:rPr>
          <w:rFonts w:hint="default"/>
          <w:color w:val="auto"/>
        </w:rPr>
        <w:t>强化物料追溯：盛料桶号与物料批次的关联记录，实现物料从投放至成品的全链路追溯，便于排查质量异常时的物料根源。</w:t>
      </w:r>
    </w:p>
    <w:p w14:paraId="7CCD3451">
      <w:pPr>
        <w:bidi w:val="0"/>
        <w:rPr>
          <w:rFonts w:hint="default"/>
          <w:color w:val="auto"/>
        </w:rPr>
      </w:pPr>
      <w:r>
        <w:rPr>
          <w:rFonts w:hint="default"/>
          <w:color w:val="auto"/>
        </w:rPr>
        <w:t>满足合规审计：完整的环境、交接、投料记录（含人员签字），可作为生产合规性审计的关键依据，在食品、饮料行业的监管检查中，有效证明投料环节的规范性。</w:t>
      </w:r>
    </w:p>
    <w:p w14:paraId="4CCB4A42">
      <w:pPr>
        <w:pStyle w:val="37"/>
        <w:bidi w:val="0"/>
        <w:rPr>
          <w:rFonts w:hint="default"/>
          <w:color w:val="auto"/>
        </w:rPr>
      </w:pPr>
      <w:r>
        <w:rPr>
          <w:rFonts w:hint="default"/>
          <w:color w:val="auto"/>
        </w:rPr>
        <w:t>拆包工序</w:t>
      </w:r>
    </w:p>
    <w:p w14:paraId="2ED73521">
      <w:pPr>
        <w:bidi w:val="0"/>
        <w:rPr>
          <w:rFonts w:hint="default"/>
          <w:color w:val="auto"/>
        </w:rPr>
      </w:pPr>
      <w:r>
        <w:rPr>
          <w:rFonts w:hint="default"/>
          <w:color w:val="auto"/>
        </w:rPr>
        <w:t>该表单是 “数智工厂” 生产管理模块中拆包环节全流程管控的核心工具，用于精准记录拆包工序的生产信息、物料流转、工序状况及交接数据，保障拆包环节的标准化执行与物料追溯的完整性。</w:t>
      </w:r>
    </w:p>
    <w:p w14:paraId="67466A8A">
      <w:pPr>
        <w:bidi w:val="0"/>
        <w:rPr>
          <w:rFonts w:hint="default"/>
          <w:color w:val="auto"/>
        </w:rPr>
      </w:pPr>
      <w:r>
        <w:rPr>
          <w:rFonts w:hint="default"/>
          <w:color w:val="auto"/>
        </w:rPr>
        <w:t>功能定位：围绕拆包工序的执行场景，整合生产基础信息（订单号、产品、产线、班次）、空罐拆包记录、工序状况（工作状态、安全卫生）、物料统计（空罐库存、使用量、损耗）及交接记录，实现拆包从任务启动到工序完成的全流程数据闭环管理。</w:t>
      </w:r>
    </w:p>
    <w:p w14:paraId="44A78F90">
      <w:pPr>
        <w:bidi w:val="0"/>
        <w:rPr>
          <w:rFonts w:hint="default"/>
          <w:color w:val="auto"/>
        </w:rPr>
      </w:pPr>
      <w:r>
        <w:rPr>
          <w:rFonts w:hint="default"/>
          <w:color w:val="auto"/>
        </w:rPr>
        <w:t>核心功能说明：</w:t>
      </w:r>
    </w:p>
    <w:p w14:paraId="0358AC91">
      <w:pPr>
        <w:bidi w:val="0"/>
        <w:rPr>
          <w:rFonts w:hint="default"/>
          <w:color w:val="auto"/>
        </w:rPr>
      </w:pPr>
      <w:r>
        <w:rPr>
          <w:rFonts w:hint="default"/>
          <w:color w:val="auto"/>
        </w:rPr>
        <w:t>多维度信息聚合：</w:t>
      </w:r>
    </w:p>
    <w:p w14:paraId="5DB32C8A">
      <w:pPr>
        <w:bidi w:val="0"/>
        <w:rPr>
          <w:rFonts w:hint="default"/>
          <w:color w:val="auto"/>
        </w:rPr>
      </w:pPr>
      <w:r>
        <w:rPr>
          <w:rFonts w:hint="default"/>
          <w:color w:val="auto"/>
        </w:rPr>
        <w:t>生产维度：记录生产订单号、产品名称、产线、班次等，明确拆包任务的生产边界；</w:t>
      </w:r>
    </w:p>
    <w:p w14:paraId="219214C0">
      <w:pPr>
        <w:bidi w:val="0"/>
        <w:rPr>
          <w:rFonts w:hint="default"/>
          <w:color w:val="auto"/>
        </w:rPr>
      </w:pPr>
      <w:r>
        <w:rPr>
          <w:rFonts w:hint="default"/>
          <w:color w:val="auto"/>
        </w:rPr>
        <w:t>拆包操作维度：通过空罐拆包记录（托盘号、数量、供应商、上下机时间等），精准刻画空罐拆包的操作轨迹；</w:t>
      </w:r>
    </w:p>
    <w:p w14:paraId="117C0036">
      <w:pPr>
        <w:bidi w:val="0"/>
        <w:rPr>
          <w:rFonts w:hint="default"/>
          <w:color w:val="auto"/>
        </w:rPr>
      </w:pPr>
      <w:r>
        <w:rPr>
          <w:rFonts w:hint="default"/>
          <w:color w:val="auto"/>
        </w:rPr>
        <w:t>工序与物料维度：记录工序状况（工作状态、安全卫生）、空罐物料统计（库存、使用量、损耗、合格率）及异常损耗（变形罐、有异物罐等），全面覆盖拆包环节的质量与物料管控。</w:t>
      </w:r>
    </w:p>
    <w:p w14:paraId="4267CA96">
      <w:pPr>
        <w:bidi w:val="0"/>
        <w:rPr>
          <w:rFonts w:hint="default"/>
          <w:color w:val="auto"/>
        </w:rPr>
      </w:pPr>
      <w:r>
        <w:rPr>
          <w:rFonts w:hint="default"/>
          <w:color w:val="auto"/>
        </w:rPr>
        <w:t>流程追溯与权责管理：支持 “单据日志”“审批流程” 追溯，确保拆包操作可查、责任可追；当班签字、接班签字机制强化了工序交接的责任落实。</w:t>
      </w:r>
    </w:p>
    <w:p w14:paraId="1A1A2F28">
      <w:pPr>
        <w:bidi w:val="0"/>
        <w:rPr>
          <w:rFonts w:hint="default"/>
          <w:color w:val="auto"/>
        </w:rPr>
      </w:pPr>
      <w:r>
        <w:rPr>
          <w:rFonts w:hint="default"/>
          <w:color w:val="auto"/>
        </w:rPr>
        <w:t>异常与统计管理：支持工序异常（如故障停机）与物料异常（如损耗罐）的记录，同时通过物料统计模块实现空罐使用的量化分析，为成本优化提供数据支撑。</w:t>
      </w:r>
    </w:p>
    <w:p w14:paraId="5C791640">
      <w:pPr>
        <w:pStyle w:val="42"/>
        <w:bidi w:val="0"/>
        <w:rPr>
          <w:rFonts w:hint="default"/>
          <w:color w:val="auto"/>
        </w:rPr>
      </w:pPr>
      <w:r>
        <w:rPr>
          <w:rFonts w:hint="default"/>
          <w:color w:val="auto"/>
        </w:rPr>
        <w:drawing>
          <wp:inline distT="0" distB="0" distL="114300" distR="114300">
            <wp:extent cx="5266690" cy="2615565"/>
            <wp:effectExtent l="0" t="0" r="6350" b="5715"/>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28"/>
                    <a:stretch>
                      <a:fillRect/>
                    </a:stretch>
                  </pic:blipFill>
                  <pic:spPr>
                    <a:xfrm>
                      <a:off x="0" y="0"/>
                      <a:ext cx="5266690" cy="2615565"/>
                    </a:xfrm>
                    <a:prstGeom prst="rect">
                      <a:avLst/>
                    </a:prstGeom>
                  </pic:spPr>
                </pic:pic>
              </a:graphicData>
            </a:graphic>
          </wp:inline>
        </w:drawing>
      </w:r>
    </w:p>
    <w:p w14:paraId="588D2578">
      <w:pPr>
        <w:bidi w:val="0"/>
        <w:rPr>
          <w:rFonts w:hint="default"/>
          <w:color w:val="auto"/>
        </w:rPr>
      </w:pPr>
      <w:r>
        <w:rPr>
          <w:rFonts w:hint="default"/>
          <w:color w:val="auto"/>
        </w:rPr>
        <w:t>关键作用体现：</w:t>
      </w:r>
    </w:p>
    <w:p w14:paraId="21624B4D">
      <w:pPr>
        <w:bidi w:val="0"/>
        <w:rPr>
          <w:rFonts w:hint="default"/>
          <w:color w:val="auto"/>
        </w:rPr>
      </w:pPr>
      <w:r>
        <w:rPr>
          <w:rFonts w:hint="default"/>
          <w:color w:val="auto"/>
        </w:rPr>
        <w:t>保障拆包标准化：通过明确的生产信息与拆包操作记录，确保拆包工序严格按流程执行，为后续生产环节的物料供应提供稳定支撑。</w:t>
      </w:r>
    </w:p>
    <w:p w14:paraId="339DBC68">
      <w:pPr>
        <w:bidi w:val="0"/>
        <w:rPr>
          <w:rFonts w:hint="default"/>
          <w:color w:val="auto"/>
        </w:rPr>
      </w:pPr>
      <w:r>
        <w:rPr>
          <w:rFonts w:hint="default"/>
          <w:color w:val="auto"/>
        </w:rPr>
        <w:t>实现物料精准追溯：空罐拆包记录与物料统计的关联，可追溯每批空罐的来源、使用及损耗情况，便于排查物料异常时的根源，优化空罐库存管理。</w:t>
      </w:r>
    </w:p>
    <w:p w14:paraId="4998EC97">
      <w:pPr>
        <w:bidi w:val="0"/>
        <w:rPr>
          <w:rFonts w:hint="default"/>
          <w:color w:val="auto"/>
        </w:rPr>
      </w:pPr>
      <w:r>
        <w:rPr>
          <w:rFonts w:hint="default"/>
          <w:color w:val="auto"/>
        </w:rPr>
        <w:t>满足合规与审计要求：完整的拆包记录（含生产信息、操作轨迹、人员签字）可作为生产合规性审计的重要依据，在食品、饮料行业的质量监管中，有效证明拆包环节的规范性与可追溯性。</w:t>
      </w:r>
    </w:p>
    <w:p w14:paraId="75871963">
      <w:pPr>
        <w:pStyle w:val="37"/>
        <w:bidi w:val="0"/>
        <w:rPr>
          <w:rFonts w:hint="default"/>
          <w:color w:val="auto"/>
        </w:rPr>
      </w:pPr>
      <w:r>
        <w:rPr>
          <w:rFonts w:hint="default"/>
          <w:color w:val="auto"/>
        </w:rPr>
        <w:t>灌装模块</w:t>
      </w:r>
      <w:r>
        <w:rPr>
          <w:rFonts w:hint="eastAsia"/>
          <w:color w:val="auto"/>
          <w:lang w:eastAsia="zh-CN"/>
        </w:rPr>
        <w:t>（</w:t>
      </w:r>
      <w:r>
        <w:rPr>
          <w:rFonts w:hint="eastAsia"/>
          <w:color w:val="auto"/>
          <w:lang w:val="en-US" w:eastAsia="zh-CN"/>
        </w:rPr>
        <w:t>定制开发</w:t>
      </w:r>
      <w:r>
        <w:rPr>
          <w:rFonts w:hint="eastAsia"/>
          <w:color w:val="auto"/>
          <w:lang w:eastAsia="zh-CN"/>
        </w:rPr>
        <w:t>）</w:t>
      </w:r>
    </w:p>
    <w:p w14:paraId="457DEBA8">
      <w:pPr>
        <w:bidi w:val="0"/>
        <w:rPr>
          <w:rFonts w:hint="default"/>
          <w:color w:val="auto"/>
        </w:rPr>
      </w:pPr>
      <w:r>
        <w:rPr>
          <w:rFonts w:hint="default"/>
          <w:color w:val="auto"/>
        </w:rPr>
        <w:t>该模块聚焦生产灌装环节的全流程管控，通过多类型表单实现灌装工序、设备清洁、物料管理、环境卫生及成品检验的数字化管理，助力企业保障灌装精度、设备合规性与产品质量稳定性。</w:t>
      </w:r>
    </w:p>
    <w:p w14:paraId="742556F1">
      <w:pPr>
        <w:numPr>
          <w:ilvl w:val="0"/>
          <w:numId w:val="13"/>
        </w:numPr>
        <w:bidi w:val="0"/>
        <w:ind w:left="420" w:leftChars="0" w:hanging="420" w:firstLineChars="0"/>
        <w:rPr>
          <w:rFonts w:hint="default"/>
          <w:color w:val="auto"/>
        </w:rPr>
      </w:pPr>
      <w:r>
        <w:rPr>
          <w:rFonts w:hint="default"/>
          <w:color w:val="auto"/>
        </w:rPr>
        <w:t>灌装工序</w:t>
      </w:r>
    </w:p>
    <w:p w14:paraId="36887E9F">
      <w:pPr>
        <w:bidi w:val="0"/>
        <w:rPr>
          <w:rFonts w:hint="default"/>
          <w:color w:val="auto"/>
        </w:rPr>
      </w:pPr>
      <w:r>
        <w:rPr>
          <w:rFonts w:hint="default"/>
          <w:color w:val="auto"/>
        </w:rPr>
        <w:t>该表单是 “数智工厂” 生产管理模块中灌装环节全流程管控的核心工具，用于精准记录灌装工序的生产信息、工艺参数、设备状态、环境指标及人员权责，保障灌装环节的标准化执行、产品质量稳定与生产合规性。</w:t>
      </w:r>
    </w:p>
    <w:p w14:paraId="4A88E9B3">
      <w:pPr>
        <w:bidi w:val="0"/>
        <w:rPr>
          <w:rFonts w:hint="default"/>
          <w:color w:val="auto"/>
        </w:rPr>
      </w:pPr>
      <w:r>
        <w:rPr>
          <w:rFonts w:hint="default"/>
          <w:color w:val="auto"/>
        </w:rPr>
        <w:t>功能定位：围绕灌装工序的全周期管理，整合生产基础信息（订单号、产品、产线、班次）、工艺参数（灌装速度、温度、压力等）、设备清洁（封口机清理）、环境消毒（消毒方式、时间）、物料管理（上机顶盖信息）及工序状态（设备运行、卫生状况），实现灌装从任务启动到工序交接的全流程数据闭环管理。</w:t>
      </w:r>
    </w:p>
    <w:p w14:paraId="659AE785">
      <w:pPr>
        <w:bidi w:val="0"/>
        <w:rPr>
          <w:rFonts w:hint="default"/>
          <w:color w:val="auto"/>
        </w:rPr>
      </w:pPr>
      <w:r>
        <w:rPr>
          <w:rFonts w:hint="default"/>
          <w:color w:val="auto"/>
        </w:rPr>
        <w:t>核心功能说明：</w:t>
      </w:r>
    </w:p>
    <w:p w14:paraId="39EB4450">
      <w:pPr>
        <w:bidi w:val="0"/>
        <w:rPr>
          <w:rFonts w:hint="default"/>
          <w:color w:val="auto"/>
        </w:rPr>
      </w:pPr>
      <w:r>
        <w:rPr>
          <w:rFonts w:hint="default"/>
          <w:color w:val="auto"/>
        </w:rPr>
        <w:t>多维度信息聚合：</w:t>
      </w:r>
    </w:p>
    <w:p w14:paraId="49764B1F">
      <w:pPr>
        <w:bidi w:val="0"/>
        <w:rPr>
          <w:rFonts w:hint="default"/>
          <w:color w:val="auto"/>
        </w:rPr>
      </w:pPr>
      <w:r>
        <w:rPr>
          <w:rFonts w:hint="default"/>
          <w:color w:val="auto"/>
        </w:rPr>
        <w:t>生产维度：记录生产订单号、产品名称、产线、班次等，明确灌装任务的生产边界；</w:t>
      </w:r>
    </w:p>
    <w:p w14:paraId="1621D398">
      <w:pPr>
        <w:bidi w:val="0"/>
        <w:rPr>
          <w:rFonts w:hint="default"/>
          <w:color w:val="auto"/>
        </w:rPr>
      </w:pPr>
      <w:r>
        <w:rPr>
          <w:rFonts w:hint="default"/>
          <w:color w:val="auto"/>
        </w:rPr>
        <w:t>工艺与设备维度：通过工序记录（洗涤水温、灌装温度、压力等）、封口机清理记录，精准刻画灌装工艺的执行轨迹与设备清洁状态；</w:t>
      </w:r>
    </w:p>
    <w:p w14:paraId="62066C68">
      <w:pPr>
        <w:bidi w:val="0"/>
        <w:rPr>
          <w:rFonts w:hint="default"/>
          <w:color w:val="auto"/>
        </w:rPr>
      </w:pPr>
      <w:r>
        <w:rPr>
          <w:rFonts w:hint="default"/>
          <w:color w:val="auto"/>
        </w:rPr>
        <w:t>环境与物料维度：记录环境消毒方式、洁净间温湿度压差，以及上机顶盖的供应商、包装状态、使用量等，全面覆盖灌装环节的环境合规与物料管控；</w:t>
      </w:r>
    </w:p>
    <w:p w14:paraId="20C6269A">
      <w:pPr>
        <w:bidi w:val="0"/>
        <w:rPr>
          <w:rFonts w:hint="default"/>
          <w:color w:val="auto"/>
        </w:rPr>
      </w:pPr>
      <w:r>
        <w:rPr>
          <w:rFonts w:hint="default"/>
          <w:color w:val="auto"/>
        </w:rPr>
        <w:t>工序状态维度：记录设备运行状况、卫生状况、计量器具状态（温度计、气压表、糖度计），实时掌握灌装工序的整体运行健康度。</w:t>
      </w:r>
    </w:p>
    <w:p w14:paraId="6959AE62">
      <w:pPr>
        <w:bidi w:val="0"/>
        <w:rPr>
          <w:rFonts w:hint="default"/>
          <w:color w:val="auto"/>
        </w:rPr>
      </w:pPr>
      <w:r>
        <w:rPr>
          <w:rFonts w:hint="default"/>
          <w:color w:val="auto"/>
        </w:rPr>
        <w:t>流程追溯与权责管理：支持 “单据日志”“审批流程” 追溯，确保灌装操作可查、责任可追；当班签字、接班签字、审核签字机制强化了工序交接与审批的责任落实。</w:t>
      </w:r>
    </w:p>
    <w:p w14:paraId="4A0C92B3">
      <w:pPr>
        <w:bidi w:val="0"/>
        <w:rPr>
          <w:rFonts w:hint="default"/>
          <w:color w:val="auto"/>
        </w:rPr>
      </w:pPr>
      <w:r>
        <w:rPr>
          <w:rFonts w:hint="default"/>
          <w:color w:val="auto"/>
        </w:rPr>
        <w:t>异常与统计管理：支持故障维修记录、工序异常（如设备调整耗罐）的记录，同时通过物料统计（废罐量、取样量）实现灌装物料的量化分析，为成本优化与质量改进提供数据支撑。</w:t>
      </w:r>
    </w:p>
    <w:p w14:paraId="05C3AF1C">
      <w:pPr>
        <w:pStyle w:val="42"/>
        <w:bidi w:val="0"/>
        <w:rPr>
          <w:rFonts w:hint="default"/>
          <w:color w:val="auto"/>
        </w:rPr>
      </w:pPr>
      <w:r>
        <w:rPr>
          <w:rFonts w:hint="default"/>
          <w:color w:val="auto"/>
        </w:rPr>
        <w:drawing>
          <wp:inline distT="0" distB="0" distL="114300" distR="114300">
            <wp:extent cx="5266690" cy="2216785"/>
            <wp:effectExtent l="0" t="0" r="6350" b="8255"/>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pic:cNvPicPr>
                  </pic:nvPicPr>
                  <pic:blipFill>
                    <a:blip r:embed="rId29"/>
                    <a:stretch>
                      <a:fillRect/>
                    </a:stretch>
                  </pic:blipFill>
                  <pic:spPr>
                    <a:xfrm>
                      <a:off x="0" y="0"/>
                      <a:ext cx="5266690" cy="2216785"/>
                    </a:xfrm>
                    <a:prstGeom prst="rect">
                      <a:avLst/>
                    </a:prstGeom>
                  </pic:spPr>
                </pic:pic>
              </a:graphicData>
            </a:graphic>
          </wp:inline>
        </w:drawing>
      </w:r>
    </w:p>
    <w:p w14:paraId="5E708E6D">
      <w:pPr>
        <w:pStyle w:val="42"/>
        <w:bidi w:val="0"/>
        <w:rPr>
          <w:rFonts w:hint="default"/>
          <w:color w:val="auto"/>
        </w:rPr>
      </w:pPr>
      <w:r>
        <w:rPr>
          <w:rFonts w:hint="default"/>
          <w:color w:val="auto"/>
        </w:rPr>
        <w:drawing>
          <wp:inline distT="0" distB="0" distL="114300" distR="114300">
            <wp:extent cx="5266690" cy="2615565"/>
            <wp:effectExtent l="0" t="0" r="6350" b="5715"/>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pic:cNvPicPr>
                  </pic:nvPicPr>
                  <pic:blipFill>
                    <a:blip r:embed="rId30"/>
                    <a:stretch>
                      <a:fillRect/>
                    </a:stretch>
                  </pic:blipFill>
                  <pic:spPr>
                    <a:xfrm>
                      <a:off x="0" y="0"/>
                      <a:ext cx="5266690" cy="2615565"/>
                    </a:xfrm>
                    <a:prstGeom prst="rect">
                      <a:avLst/>
                    </a:prstGeom>
                  </pic:spPr>
                </pic:pic>
              </a:graphicData>
            </a:graphic>
          </wp:inline>
        </w:drawing>
      </w:r>
    </w:p>
    <w:p w14:paraId="609565FC">
      <w:pPr>
        <w:bidi w:val="0"/>
        <w:rPr>
          <w:rFonts w:hint="default"/>
          <w:color w:val="auto"/>
        </w:rPr>
      </w:pPr>
      <w:r>
        <w:rPr>
          <w:rFonts w:hint="default"/>
          <w:color w:val="auto"/>
        </w:rPr>
        <w:t>关键作用体现：</w:t>
      </w:r>
    </w:p>
    <w:p w14:paraId="4562349D">
      <w:pPr>
        <w:bidi w:val="0"/>
        <w:rPr>
          <w:rFonts w:hint="default"/>
          <w:color w:val="auto"/>
        </w:rPr>
      </w:pPr>
      <w:r>
        <w:rPr>
          <w:rFonts w:hint="default"/>
          <w:color w:val="auto"/>
        </w:rPr>
        <w:t>保障灌装标准化：通过明确的工艺参数与操作记录，确保灌装工序严格按流程执行，为产品灌装精度与质量稳定性筑牢基础。</w:t>
      </w:r>
    </w:p>
    <w:p w14:paraId="6AC0A6EB">
      <w:pPr>
        <w:bidi w:val="0"/>
        <w:rPr>
          <w:rFonts w:hint="default"/>
          <w:color w:val="auto"/>
        </w:rPr>
      </w:pPr>
      <w:r>
        <w:rPr>
          <w:rFonts w:hint="default"/>
          <w:color w:val="auto"/>
        </w:rPr>
        <w:t>实现全链路追溯：从生产订单到物料使用、工艺执行、环境消毒的完整记录，可追溯每批产品的灌装过程，便于排查质量异常时的根源，提升问题处理效率。</w:t>
      </w:r>
    </w:p>
    <w:p w14:paraId="53B567E9">
      <w:pPr>
        <w:bidi w:val="0"/>
        <w:rPr>
          <w:rFonts w:hint="default"/>
          <w:color w:val="auto"/>
        </w:rPr>
      </w:pPr>
      <w:r>
        <w:rPr>
          <w:rFonts w:hint="default"/>
          <w:color w:val="auto"/>
        </w:rPr>
        <w:t>满足合规与审计要求：完整的灌装记录（含工艺、环境、物料、人员签字）可作为生产合规性审计的重要依据，在食品、饮料行业的质量监管与审计中，有效证明灌装环节的规范性与可追溯性。</w:t>
      </w:r>
    </w:p>
    <w:p w14:paraId="4A382C91">
      <w:pPr>
        <w:numPr>
          <w:ilvl w:val="0"/>
          <w:numId w:val="13"/>
        </w:numPr>
        <w:bidi w:val="0"/>
        <w:ind w:left="420" w:leftChars="0" w:hanging="420" w:firstLineChars="0"/>
        <w:rPr>
          <w:rFonts w:hint="default"/>
          <w:color w:val="auto"/>
        </w:rPr>
      </w:pPr>
      <w:r>
        <w:rPr>
          <w:rFonts w:hint="default"/>
          <w:color w:val="auto"/>
        </w:rPr>
        <w:t>CIP工序记录</w:t>
      </w:r>
    </w:p>
    <w:p w14:paraId="76F6DD9B">
      <w:pPr>
        <w:bidi w:val="0"/>
        <w:rPr>
          <w:rFonts w:hint="default"/>
          <w:color w:val="auto"/>
        </w:rPr>
      </w:pPr>
      <w:r>
        <w:rPr>
          <w:rFonts w:hint="default"/>
          <w:color w:val="auto"/>
        </w:rPr>
        <w:t>该表单是 “数智工厂” 生产管理模块中CIP（原位清洗）环节全流程管控的核心工具，用于精准记录 CIP 清洗的工艺参数、卫生验证、指标检测及人员权责，保障生产设备清洁度与生产合规性，为产品质量安全筑牢基础。</w:t>
      </w:r>
    </w:p>
    <w:p w14:paraId="5D26EA9F">
      <w:pPr>
        <w:bidi w:val="0"/>
        <w:rPr>
          <w:rFonts w:hint="default"/>
          <w:color w:val="auto"/>
        </w:rPr>
      </w:pPr>
      <w:r>
        <w:rPr>
          <w:rFonts w:hint="default"/>
          <w:color w:val="auto"/>
        </w:rPr>
        <w:t>功能定位：围绕 CIP 清洗的全周期管理，整合清洗类型（开机 CIP、停机期间 CIP 等）、工艺参数（RO 水用量、温度、压力、时间）、卫生清洁验证（设备管道、清洗口、环境消毒等）、指标检测（水样 pH、含氯量、CO₂含量等）及人员签字（操作工、化验员），实现 CIP 清洗从启动到验证的全流程数据闭环管理。</w:t>
      </w:r>
    </w:p>
    <w:p w14:paraId="465FAD77">
      <w:pPr>
        <w:bidi w:val="0"/>
        <w:rPr>
          <w:rFonts w:hint="default"/>
          <w:color w:val="auto"/>
        </w:rPr>
      </w:pPr>
      <w:r>
        <w:rPr>
          <w:rFonts w:hint="default"/>
          <w:color w:val="auto"/>
        </w:rPr>
        <w:t>核心功能说明：</w:t>
      </w:r>
    </w:p>
    <w:p w14:paraId="6308DB16">
      <w:pPr>
        <w:bidi w:val="0"/>
        <w:rPr>
          <w:rFonts w:hint="default"/>
          <w:color w:val="auto"/>
        </w:rPr>
      </w:pPr>
      <w:r>
        <w:rPr>
          <w:rFonts w:hint="default"/>
          <w:color w:val="auto"/>
        </w:rPr>
        <w:t>多维度信息聚合：</w:t>
      </w:r>
    </w:p>
    <w:p w14:paraId="2DCA3059">
      <w:pPr>
        <w:bidi w:val="0"/>
        <w:rPr>
          <w:rFonts w:hint="default"/>
          <w:color w:val="auto"/>
        </w:rPr>
      </w:pPr>
      <w:r>
        <w:rPr>
          <w:rFonts w:hint="default"/>
          <w:color w:val="auto"/>
        </w:rPr>
        <w:t>工艺参数维度：记录 RO 水用量、水温、减压后蒸汽压力、压缩空气压力等关键参数，确保 CIP 清洗工艺的标准化执行；</w:t>
      </w:r>
    </w:p>
    <w:p w14:paraId="78D915BA">
      <w:pPr>
        <w:bidi w:val="0"/>
        <w:rPr>
          <w:rFonts w:hint="default"/>
          <w:color w:val="auto"/>
        </w:rPr>
      </w:pPr>
      <w:r>
        <w:rPr>
          <w:rFonts w:hint="default"/>
          <w:color w:val="auto"/>
        </w:rPr>
        <w:t>卫生验证维度：对设备管道、清洗口、环境消毒等 7 项卫生指标进行 “合格 / 不合格” 确认，保障清洗后设备与环境的卫生合规性；</w:t>
      </w:r>
    </w:p>
    <w:p w14:paraId="041DE0AC">
      <w:pPr>
        <w:bidi w:val="0"/>
        <w:rPr>
          <w:rFonts w:hint="default"/>
          <w:color w:val="auto"/>
        </w:rPr>
      </w:pPr>
      <w:r>
        <w:rPr>
          <w:rFonts w:hint="default"/>
          <w:color w:val="auto"/>
        </w:rPr>
        <w:t>指标检测维度：通过水样 pH、含氯量、CO₂含量等检测项目，量化验证 CIP 清洗的效果，确保设备清洁度满足生产要求；</w:t>
      </w:r>
    </w:p>
    <w:p w14:paraId="67D8C62D">
      <w:pPr>
        <w:bidi w:val="0"/>
        <w:rPr>
          <w:rFonts w:hint="default"/>
          <w:color w:val="auto"/>
        </w:rPr>
      </w:pPr>
      <w:r>
        <w:rPr>
          <w:rFonts w:hint="default"/>
          <w:color w:val="auto"/>
        </w:rPr>
        <w:t>人员权责维度：操作工、化验员、生产主管的签字机制，明确 CIP 清洗各环节的责任主体，强化流程的可追溯性。</w:t>
      </w:r>
    </w:p>
    <w:p w14:paraId="0E07C720">
      <w:pPr>
        <w:bidi w:val="0"/>
        <w:rPr>
          <w:rFonts w:hint="default"/>
          <w:color w:val="auto"/>
        </w:rPr>
      </w:pPr>
      <w:r>
        <w:rPr>
          <w:rFonts w:hint="default"/>
          <w:color w:val="auto"/>
        </w:rPr>
        <w:t>流程追溯与异常管理：支持 “单据日志”“审批流程” 追溯，确保 CIP 操作可查、责任可追；针对 CIP 结果不合格的情况，可录入原因与整改记录，形成异常处理的闭环管理。</w:t>
      </w:r>
    </w:p>
    <w:p w14:paraId="12FB152D">
      <w:pPr>
        <w:pStyle w:val="42"/>
        <w:bidi w:val="0"/>
        <w:rPr>
          <w:rFonts w:hint="default"/>
          <w:color w:val="auto"/>
        </w:rPr>
      </w:pPr>
      <w:r>
        <w:rPr>
          <w:rFonts w:hint="default"/>
          <w:color w:val="auto"/>
        </w:rPr>
        <w:drawing>
          <wp:inline distT="0" distB="0" distL="114300" distR="114300">
            <wp:extent cx="5266690" cy="2615565"/>
            <wp:effectExtent l="0" t="0" r="6350" b="5715"/>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31"/>
                    <a:stretch>
                      <a:fillRect/>
                    </a:stretch>
                  </pic:blipFill>
                  <pic:spPr>
                    <a:xfrm>
                      <a:off x="0" y="0"/>
                      <a:ext cx="5266690" cy="2615565"/>
                    </a:xfrm>
                    <a:prstGeom prst="rect">
                      <a:avLst/>
                    </a:prstGeom>
                  </pic:spPr>
                </pic:pic>
              </a:graphicData>
            </a:graphic>
          </wp:inline>
        </w:drawing>
      </w:r>
    </w:p>
    <w:p w14:paraId="04B8AC32">
      <w:pPr>
        <w:bidi w:val="0"/>
        <w:rPr>
          <w:rFonts w:hint="default"/>
          <w:color w:val="auto"/>
        </w:rPr>
      </w:pPr>
      <w:r>
        <w:rPr>
          <w:rFonts w:hint="default"/>
          <w:color w:val="auto"/>
        </w:rPr>
        <w:t>关键作用体现：</w:t>
      </w:r>
    </w:p>
    <w:p w14:paraId="2695CD38">
      <w:pPr>
        <w:bidi w:val="0"/>
        <w:rPr>
          <w:rFonts w:hint="default"/>
          <w:color w:val="auto"/>
        </w:rPr>
      </w:pPr>
      <w:r>
        <w:rPr>
          <w:rFonts w:hint="default"/>
          <w:color w:val="auto"/>
        </w:rPr>
        <w:t>保障设备清洁度：通过标准化的工艺参数与卫生验证，确保生产设备在 CIP 清洗后达到无菌、无残留的清洁状态，为后续生产环节的产品质量提供基础保障。</w:t>
      </w:r>
    </w:p>
    <w:p w14:paraId="7682D0BA">
      <w:pPr>
        <w:bidi w:val="0"/>
        <w:rPr>
          <w:rFonts w:hint="default"/>
          <w:color w:val="auto"/>
        </w:rPr>
      </w:pPr>
      <w:r>
        <w:rPr>
          <w:rFonts w:hint="default"/>
          <w:color w:val="auto"/>
        </w:rPr>
        <w:t>满足合规审计要求：完整的 CIP 记录（含工艺参数、卫生验证、指标检测、人员签字）是食品、饮料等行业生产合规性审计的关键依据，可有效证明设备清洁环节的规范性与可追溯性。</w:t>
      </w:r>
    </w:p>
    <w:p w14:paraId="565FBF07">
      <w:pPr>
        <w:bidi w:val="0"/>
        <w:rPr>
          <w:rFonts w:hint="default"/>
          <w:color w:val="auto"/>
        </w:rPr>
      </w:pPr>
      <w:r>
        <w:rPr>
          <w:rFonts w:hint="default"/>
          <w:color w:val="auto"/>
        </w:rPr>
        <w:t>降低质量风险：精准的指标检测与卫生验证，能及时发现 CIP 清洗的疏漏，避免因设备清洁不到位导致的产品污染风险，提升整体生产质量的稳定性。</w:t>
      </w:r>
    </w:p>
    <w:p w14:paraId="6936D905">
      <w:pPr>
        <w:pStyle w:val="37"/>
        <w:bidi w:val="0"/>
        <w:rPr>
          <w:rFonts w:hint="default"/>
          <w:color w:val="auto"/>
        </w:rPr>
      </w:pPr>
      <w:r>
        <w:rPr>
          <w:rFonts w:hint="default"/>
          <w:color w:val="auto"/>
        </w:rPr>
        <w:t>打码模块</w:t>
      </w:r>
    </w:p>
    <w:p w14:paraId="1F3CE688">
      <w:pPr>
        <w:bidi w:val="0"/>
        <w:rPr>
          <w:rFonts w:hint="default"/>
          <w:color w:val="auto"/>
        </w:rPr>
      </w:pPr>
      <w:r>
        <w:rPr>
          <w:rFonts w:hint="default"/>
          <w:color w:val="auto"/>
        </w:rPr>
        <w:t>该模块聚焦生产打码环节的全流程管控，通过多类型表单实现打码工序、样品采集、质量修正及外箱码复核的数字化管理，助力企业保障打码信息的准确性、产品追溯的完整性与质量管控的有效性。</w:t>
      </w:r>
    </w:p>
    <w:p w14:paraId="5CD3BB0D">
      <w:pPr>
        <w:numPr>
          <w:ilvl w:val="0"/>
          <w:numId w:val="14"/>
        </w:numPr>
        <w:bidi w:val="0"/>
        <w:ind w:left="420" w:leftChars="0" w:hanging="420" w:firstLineChars="0"/>
        <w:rPr>
          <w:rFonts w:hint="default"/>
          <w:color w:val="auto"/>
        </w:rPr>
      </w:pPr>
      <w:r>
        <w:rPr>
          <w:rFonts w:hint="default"/>
          <w:color w:val="auto"/>
        </w:rPr>
        <w:t>打码工序</w:t>
      </w:r>
    </w:p>
    <w:p w14:paraId="0287B8D7">
      <w:pPr>
        <w:bidi w:val="0"/>
        <w:rPr>
          <w:rFonts w:hint="default"/>
          <w:color w:val="auto"/>
        </w:rPr>
      </w:pPr>
      <w:r>
        <w:rPr>
          <w:rFonts w:hint="default"/>
          <w:color w:val="auto"/>
        </w:rPr>
        <w:t>该表单是用于精准记录打码工序的生产信息、工艺参数、设备状态、质量检测及交接数据，保障打码信息的准确性、产品追溯的完整性与生产流程的合规性。</w:t>
      </w:r>
    </w:p>
    <w:p w14:paraId="56C27AA8">
      <w:pPr>
        <w:bidi w:val="0"/>
        <w:rPr>
          <w:rFonts w:hint="default"/>
          <w:color w:val="auto"/>
        </w:rPr>
      </w:pPr>
      <w:r>
        <w:rPr>
          <w:rFonts w:hint="default"/>
          <w:color w:val="auto"/>
        </w:rPr>
        <w:t>功能定位：围绕打码工序的全周期管理，整合生产基础信息（订单号、产品、产线、班次）、工序记录（批次、时间、合格品、废品、样品量）、设备与环境状态（冷却系统、工序状况、卫生状况）及交接记录（批次编码、生产日期、保质期），实现打码从任务启动到工序交接的全流程数据闭环管理。</w:t>
      </w:r>
    </w:p>
    <w:p w14:paraId="74268760">
      <w:pPr>
        <w:bidi w:val="0"/>
        <w:rPr>
          <w:rFonts w:hint="default"/>
          <w:color w:val="auto"/>
        </w:rPr>
      </w:pPr>
      <w:r>
        <w:rPr>
          <w:rFonts w:hint="default"/>
          <w:color w:val="auto"/>
        </w:rPr>
        <w:t>核心功能说明：</w:t>
      </w:r>
    </w:p>
    <w:p w14:paraId="2A90966E">
      <w:pPr>
        <w:bidi w:val="0"/>
        <w:rPr>
          <w:rFonts w:hint="default"/>
          <w:color w:val="auto"/>
        </w:rPr>
      </w:pPr>
      <w:r>
        <w:rPr>
          <w:rFonts w:hint="default"/>
          <w:color w:val="auto"/>
        </w:rPr>
        <w:t>生产维度：记录生产订单号、产品名称、产线、班次等，明确打码任务的生产边界；</w:t>
      </w:r>
    </w:p>
    <w:p w14:paraId="77719792">
      <w:pPr>
        <w:bidi w:val="0"/>
        <w:rPr>
          <w:rFonts w:hint="default"/>
          <w:color w:val="auto"/>
        </w:rPr>
      </w:pPr>
      <w:r>
        <w:rPr>
          <w:rFonts w:hint="default"/>
          <w:color w:val="auto"/>
        </w:rPr>
        <w:t>工艺与质量维度：通过工序记录（批次、时间、合格品、废品、样品量）、化验取样记录，精准刻画打码工艺的执行轨迹与质量管控情况；</w:t>
      </w:r>
    </w:p>
    <w:p w14:paraId="43CA5B29">
      <w:pPr>
        <w:bidi w:val="0"/>
        <w:rPr>
          <w:rFonts w:hint="default"/>
          <w:color w:val="auto"/>
        </w:rPr>
      </w:pPr>
      <w:r>
        <w:rPr>
          <w:rFonts w:hint="default"/>
          <w:color w:val="auto"/>
        </w:rPr>
        <w:t>设备与环境维度：记录冷却系统水温、设备运行状况（液位检测、循环水、工序运转）、卫生状况，实时掌握打码工序的设备健康度与环境合规性；</w:t>
      </w:r>
    </w:p>
    <w:p w14:paraId="7223EC35">
      <w:pPr>
        <w:bidi w:val="0"/>
        <w:rPr>
          <w:rFonts w:hint="default"/>
          <w:color w:val="auto"/>
        </w:rPr>
      </w:pPr>
      <w:r>
        <w:rPr>
          <w:rFonts w:hint="default"/>
          <w:color w:val="auto"/>
        </w:rPr>
        <w:t>交接维度：记录批次编码、生产日期、保质期等信息，确保打码后产品流转的追溯连贯性。</w:t>
      </w:r>
    </w:p>
    <w:p w14:paraId="747B70A9">
      <w:pPr>
        <w:bidi w:val="0"/>
        <w:rPr>
          <w:rFonts w:hint="default"/>
          <w:color w:val="auto"/>
        </w:rPr>
      </w:pPr>
      <w:r>
        <w:rPr>
          <w:rFonts w:hint="default"/>
          <w:color w:val="auto"/>
        </w:rPr>
        <w:t>流程追溯与权责管理：支持 “单据日志”“审批流程” 追溯，确保打码操作可查、责任可追；当班签字、接班签字机制强化了工序交接的责任落实。</w:t>
      </w:r>
    </w:p>
    <w:p w14:paraId="74D6AC21">
      <w:pPr>
        <w:bidi w:val="0"/>
        <w:rPr>
          <w:rFonts w:hint="default"/>
          <w:color w:val="auto"/>
        </w:rPr>
      </w:pPr>
      <w:r>
        <w:rPr>
          <w:rFonts w:hint="default"/>
          <w:color w:val="auto"/>
        </w:rPr>
        <w:t>异常与统计管理：支持设备故障、工序异常的记录，同时通过合格品、废品、取样量的统计，实现打码环节的质量分析与成本优化，为工艺改进提供数据支撑。</w:t>
      </w:r>
    </w:p>
    <w:p w14:paraId="1E8505B9">
      <w:pPr>
        <w:pStyle w:val="42"/>
        <w:bidi w:val="0"/>
        <w:rPr>
          <w:rFonts w:hint="default"/>
          <w:color w:val="auto"/>
        </w:rPr>
      </w:pPr>
      <w:r>
        <w:rPr>
          <w:rFonts w:hint="default"/>
          <w:color w:val="auto"/>
        </w:rPr>
        <w:drawing>
          <wp:inline distT="0" distB="0" distL="114300" distR="114300">
            <wp:extent cx="5266690" cy="2028825"/>
            <wp:effectExtent l="0" t="0" r="6350" b="13335"/>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32"/>
                    <a:stretch>
                      <a:fillRect/>
                    </a:stretch>
                  </pic:blipFill>
                  <pic:spPr>
                    <a:xfrm>
                      <a:off x="0" y="0"/>
                      <a:ext cx="5266690" cy="2028825"/>
                    </a:xfrm>
                    <a:prstGeom prst="rect">
                      <a:avLst/>
                    </a:prstGeom>
                  </pic:spPr>
                </pic:pic>
              </a:graphicData>
            </a:graphic>
          </wp:inline>
        </w:drawing>
      </w:r>
    </w:p>
    <w:p w14:paraId="435C5937">
      <w:pPr>
        <w:pStyle w:val="42"/>
        <w:bidi w:val="0"/>
        <w:rPr>
          <w:rFonts w:hint="default"/>
          <w:color w:val="auto"/>
        </w:rPr>
      </w:pPr>
      <w:r>
        <w:rPr>
          <w:rFonts w:hint="default"/>
          <w:color w:val="auto"/>
        </w:rPr>
        <w:drawing>
          <wp:inline distT="0" distB="0" distL="114300" distR="114300">
            <wp:extent cx="5266690" cy="2615565"/>
            <wp:effectExtent l="0" t="0" r="6350" b="5715"/>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pic:cNvPicPr>
                  </pic:nvPicPr>
                  <pic:blipFill>
                    <a:blip r:embed="rId33"/>
                    <a:stretch>
                      <a:fillRect/>
                    </a:stretch>
                  </pic:blipFill>
                  <pic:spPr>
                    <a:xfrm>
                      <a:off x="0" y="0"/>
                      <a:ext cx="5266690" cy="2615565"/>
                    </a:xfrm>
                    <a:prstGeom prst="rect">
                      <a:avLst/>
                    </a:prstGeom>
                  </pic:spPr>
                </pic:pic>
              </a:graphicData>
            </a:graphic>
          </wp:inline>
        </w:drawing>
      </w:r>
    </w:p>
    <w:p w14:paraId="37CD4400">
      <w:pPr>
        <w:bidi w:val="0"/>
        <w:rPr>
          <w:rFonts w:hint="default"/>
          <w:color w:val="auto"/>
        </w:rPr>
      </w:pPr>
      <w:r>
        <w:rPr>
          <w:rFonts w:hint="default"/>
          <w:color w:val="auto"/>
        </w:rPr>
        <w:t>关键作用体现：</w:t>
      </w:r>
    </w:p>
    <w:p w14:paraId="50171503">
      <w:pPr>
        <w:bidi w:val="0"/>
        <w:rPr>
          <w:rFonts w:hint="default"/>
          <w:color w:val="auto"/>
        </w:rPr>
      </w:pPr>
      <w:r>
        <w:rPr>
          <w:rFonts w:hint="default"/>
          <w:color w:val="auto"/>
        </w:rPr>
        <w:t>保障打码准确性：通过明确的工艺参数与质量检测记录，确保打码信息（生产日期、保质期、批次编码）的准确性，为产品全生命周期追溯提供可靠依据。</w:t>
      </w:r>
    </w:p>
    <w:p w14:paraId="3B8382B3">
      <w:pPr>
        <w:bidi w:val="0"/>
        <w:rPr>
          <w:rFonts w:hint="default"/>
          <w:color w:val="auto"/>
        </w:rPr>
      </w:pPr>
      <w:r>
        <w:rPr>
          <w:rFonts w:hint="default"/>
          <w:color w:val="auto"/>
        </w:rPr>
        <w:t>实现全链路追溯：从生产订单到打码工艺、设备状态、交接记录的完整数据，可追溯每批产品的打码过程，便于排查质量异常时的根源，提升问题处理效率。</w:t>
      </w:r>
    </w:p>
    <w:p w14:paraId="1AAE53EC">
      <w:pPr>
        <w:bidi w:val="0"/>
        <w:rPr>
          <w:rFonts w:hint="default"/>
          <w:color w:val="auto"/>
        </w:rPr>
      </w:pPr>
      <w:r>
        <w:rPr>
          <w:rFonts w:hint="default"/>
          <w:color w:val="auto"/>
        </w:rPr>
        <w:t>满足合规与审计要求：完整的打码记录（含工艺、质量、设备、人员签字）是食品、饮料等行业生产合规性审计的关键依据，有效证明打码环节的规范性与可追溯性。</w:t>
      </w:r>
    </w:p>
    <w:p w14:paraId="53731CA5">
      <w:pPr>
        <w:numPr>
          <w:ilvl w:val="0"/>
          <w:numId w:val="14"/>
        </w:numPr>
        <w:bidi w:val="0"/>
        <w:ind w:left="420" w:leftChars="0" w:hanging="420" w:firstLineChars="0"/>
        <w:rPr>
          <w:rFonts w:hint="default"/>
          <w:color w:val="auto"/>
        </w:rPr>
      </w:pPr>
      <w:r>
        <w:rPr>
          <w:rFonts w:hint="default"/>
          <w:color w:val="auto"/>
        </w:rPr>
        <w:t>生产车间现场取样记录</w:t>
      </w:r>
    </w:p>
    <w:p w14:paraId="662103CF">
      <w:pPr>
        <w:bidi w:val="0"/>
        <w:rPr>
          <w:rFonts w:hint="default"/>
          <w:color w:val="auto"/>
        </w:rPr>
      </w:pPr>
      <w:r>
        <w:rPr>
          <w:rFonts w:hint="default"/>
          <w:color w:val="auto"/>
        </w:rPr>
        <w:t>该表单用于精准记录打码工序等生产环节的取样时间、数量、目的及人员权责，保障样品的代表性与质量检验的有效性，助力企业实现生产过程的质量追溯与合规管理。</w:t>
      </w:r>
    </w:p>
    <w:p w14:paraId="152669DC">
      <w:pPr>
        <w:bidi w:val="0"/>
        <w:rPr>
          <w:rFonts w:hint="default"/>
          <w:color w:val="auto"/>
        </w:rPr>
      </w:pPr>
      <w:r>
        <w:rPr>
          <w:rFonts w:hint="default"/>
          <w:color w:val="auto"/>
        </w:rPr>
        <w:t>功能定位：围绕生产现场取样场景，整合取样基础信息（日期、取样点）与取样记录（时间、数量、目的、取样人、操作工），实现从取样启动到样品流转的全流程数据闭环管理。</w:t>
      </w:r>
    </w:p>
    <w:p w14:paraId="59FBB1B2">
      <w:pPr>
        <w:bidi w:val="0"/>
        <w:rPr>
          <w:rFonts w:hint="default"/>
          <w:color w:val="auto"/>
        </w:rPr>
      </w:pPr>
      <w:r>
        <w:rPr>
          <w:rFonts w:hint="default"/>
          <w:color w:val="auto"/>
        </w:rPr>
        <w:t>核心功能说明：</w:t>
      </w:r>
    </w:p>
    <w:p w14:paraId="73647E56">
      <w:pPr>
        <w:bidi w:val="0"/>
        <w:rPr>
          <w:rFonts w:hint="default"/>
          <w:color w:val="auto"/>
        </w:rPr>
      </w:pPr>
      <w:r>
        <w:rPr>
          <w:rFonts w:hint="default"/>
          <w:color w:val="auto"/>
        </w:rPr>
        <w:t>集中呈现取样日期、取样点（如一线打码），明确取样的生产场景；同时细分取样开始 / 结束时间、取样量、取样目的（如工序取样）、取样人、操作工及本组累计取样量，精准刻画每批样品的取样轨迹。取样人、操作工的签字（或电子签名）机制明确取样环节的责任主体，确保取样过程的规范性与可追溯性；支持 “报告预览”“报告导出” 功能，实现取样数据的可视化归档与对外审计支撑。</w:t>
      </w:r>
    </w:p>
    <w:p w14:paraId="767D0EDD">
      <w:pPr>
        <w:pStyle w:val="42"/>
        <w:bidi w:val="0"/>
        <w:rPr>
          <w:rFonts w:hint="default"/>
          <w:color w:val="auto"/>
        </w:rPr>
      </w:pPr>
      <w:r>
        <w:rPr>
          <w:rFonts w:hint="default"/>
          <w:color w:val="auto"/>
        </w:rPr>
        <w:drawing>
          <wp:inline distT="0" distB="0" distL="114300" distR="114300">
            <wp:extent cx="5266690" cy="2615565"/>
            <wp:effectExtent l="0" t="0" r="6350" b="571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pic:cNvPicPr>
                  </pic:nvPicPr>
                  <pic:blipFill>
                    <a:blip r:embed="rId34"/>
                    <a:stretch>
                      <a:fillRect/>
                    </a:stretch>
                  </pic:blipFill>
                  <pic:spPr>
                    <a:xfrm>
                      <a:off x="0" y="0"/>
                      <a:ext cx="5266690" cy="2615565"/>
                    </a:xfrm>
                    <a:prstGeom prst="rect">
                      <a:avLst/>
                    </a:prstGeom>
                  </pic:spPr>
                </pic:pic>
              </a:graphicData>
            </a:graphic>
          </wp:inline>
        </w:drawing>
      </w:r>
    </w:p>
    <w:p w14:paraId="65AA2F1A">
      <w:pPr>
        <w:bidi w:val="0"/>
        <w:rPr>
          <w:rFonts w:hint="default"/>
          <w:color w:val="auto"/>
        </w:rPr>
      </w:pPr>
      <w:r>
        <w:rPr>
          <w:rFonts w:hint="default"/>
          <w:color w:val="auto"/>
        </w:rPr>
        <w:t>关键作用体现：</w:t>
      </w:r>
    </w:p>
    <w:p w14:paraId="2784F918">
      <w:pPr>
        <w:bidi w:val="0"/>
        <w:rPr>
          <w:rFonts w:hint="default"/>
          <w:color w:val="auto"/>
        </w:rPr>
      </w:pPr>
      <w:r>
        <w:rPr>
          <w:rFonts w:hint="default"/>
          <w:color w:val="auto"/>
        </w:rPr>
        <w:t>保障样品代表性：通过明确的取样时间、数量与目的记录，确保取样样品能真实反映打码等工序的生产质量状况，为后续质量检验提供可靠依据。</w:t>
      </w:r>
    </w:p>
    <w:p w14:paraId="5BA8C385">
      <w:pPr>
        <w:bidi w:val="0"/>
        <w:rPr>
          <w:rFonts w:hint="default"/>
          <w:color w:val="auto"/>
        </w:rPr>
      </w:pPr>
      <w:r>
        <w:rPr>
          <w:rFonts w:hint="default"/>
          <w:color w:val="auto"/>
        </w:rPr>
        <w:t>强化质量追溯：取样记录与生产工序的关联，可追溯样品对应的生产批次与工艺环节，便于排查质量异常时的根源，提升质量问题处理效率。</w:t>
      </w:r>
    </w:p>
    <w:p w14:paraId="386D8562">
      <w:pPr>
        <w:bidi w:val="0"/>
        <w:rPr>
          <w:rFonts w:hint="default"/>
          <w:color w:val="auto"/>
        </w:rPr>
      </w:pPr>
      <w:r>
        <w:rPr>
          <w:rFonts w:hint="default"/>
          <w:color w:val="auto"/>
        </w:rPr>
        <w:t>满足合规审计要求：完整的取样记录（含时间、数量、人员签字）可作为生产合规性审计的重要依据，在食品、饮料行业的质量监管与审计中，有效证明生产现场取样的规范性与可追溯性。</w:t>
      </w:r>
    </w:p>
    <w:p w14:paraId="275A30D5">
      <w:pPr>
        <w:pStyle w:val="37"/>
        <w:bidi w:val="0"/>
        <w:rPr>
          <w:rFonts w:hint="default"/>
          <w:color w:val="auto"/>
        </w:rPr>
      </w:pPr>
      <w:r>
        <w:rPr>
          <w:rFonts w:hint="default"/>
          <w:color w:val="auto"/>
        </w:rPr>
        <w:t>热缩工序</w:t>
      </w:r>
    </w:p>
    <w:p w14:paraId="016A494E">
      <w:pPr>
        <w:bidi w:val="0"/>
        <w:rPr>
          <w:rFonts w:hint="default"/>
          <w:color w:val="auto"/>
        </w:rPr>
      </w:pPr>
      <w:r>
        <w:rPr>
          <w:rFonts w:hint="default"/>
          <w:color w:val="auto"/>
        </w:rPr>
        <w:t>该表单是用于精准记录热缩工序的生产信息、工艺参数、设备状态、物料消耗及工序状况，保障热缩工艺的标准化执行、产品质量稳定与生产数据可追溯。</w:t>
      </w:r>
    </w:p>
    <w:p w14:paraId="79FFB4F3">
      <w:pPr>
        <w:bidi w:val="0"/>
        <w:rPr>
          <w:rFonts w:hint="default"/>
          <w:color w:val="auto"/>
        </w:rPr>
      </w:pPr>
      <w:r>
        <w:rPr>
          <w:rFonts w:hint="default"/>
          <w:color w:val="auto"/>
        </w:rPr>
        <w:t>功能定位：围绕热缩工序的全周期管理，整合生产基础信息（订单号、产品、产线、班次）、工艺参数（隧道温度、室温、相对湿度、压缩空气压力）、设备状态（计量器具使用情况）、物料消耗（热缩膜用量统计）及工序状况（文件工具完整性、安全卫生、设备故障），实现热缩从任务启动到工序完成的全流程数据闭环管理。</w:t>
      </w:r>
    </w:p>
    <w:p w14:paraId="1A109C7C">
      <w:pPr>
        <w:bidi w:val="0"/>
        <w:rPr>
          <w:rFonts w:hint="default"/>
          <w:color w:val="auto"/>
        </w:rPr>
      </w:pPr>
      <w:r>
        <w:rPr>
          <w:rFonts w:hint="default"/>
          <w:color w:val="auto"/>
        </w:rPr>
        <w:t>核心功能说明：</w:t>
      </w:r>
    </w:p>
    <w:p w14:paraId="37C66581">
      <w:pPr>
        <w:bidi w:val="0"/>
        <w:rPr>
          <w:rFonts w:hint="default"/>
          <w:color w:val="auto"/>
        </w:rPr>
      </w:pPr>
      <w:r>
        <w:rPr>
          <w:rFonts w:hint="default"/>
          <w:color w:val="auto"/>
        </w:rPr>
        <w:t>生产维度：记录生产订单号、产品名称、产线、班次等，明确热缩任务的生产边界；</w:t>
      </w:r>
    </w:p>
    <w:p w14:paraId="75966874">
      <w:pPr>
        <w:bidi w:val="0"/>
        <w:rPr>
          <w:rFonts w:hint="default"/>
          <w:color w:val="auto"/>
        </w:rPr>
      </w:pPr>
      <w:r>
        <w:rPr>
          <w:rFonts w:hint="default"/>
          <w:color w:val="auto"/>
        </w:rPr>
        <w:t>工艺与设备维度：通过工序记录（隧道温度、环境温湿度、压缩空气压力）、计量器具（台秤、温度计）状态，精准刻画热缩工艺的执行轨迹与设备健康度；</w:t>
      </w:r>
    </w:p>
    <w:p w14:paraId="46D4356D">
      <w:pPr>
        <w:bidi w:val="0"/>
        <w:rPr>
          <w:rFonts w:hint="default"/>
          <w:color w:val="auto"/>
        </w:rPr>
      </w:pPr>
      <w:r>
        <w:rPr>
          <w:rFonts w:hint="default"/>
          <w:color w:val="auto"/>
        </w:rPr>
        <w:t>物料与成本维度：统计热缩膜的投入量、使用量、结存量及物料平衡率，实现热缩膜物料的精细化管控，为成本优化提供数据支撑；</w:t>
      </w:r>
    </w:p>
    <w:p w14:paraId="076B84E4">
      <w:pPr>
        <w:bidi w:val="0"/>
        <w:rPr>
          <w:rFonts w:hint="default"/>
          <w:color w:val="auto"/>
        </w:rPr>
      </w:pPr>
      <w:r>
        <w:rPr>
          <w:rFonts w:hint="default"/>
          <w:color w:val="auto"/>
        </w:rPr>
        <w:t>工序状态维度：记录岗位文件工具完整性、安全卫生状况、设备故障维修记录，实时掌握热缩工序的整体运行合规性。</w:t>
      </w:r>
    </w:p>
    <w:p w14:paraId="35BF1AF2">
      <w:pPr>
        <w:bidi w:val="0"/>
        <w:rPr>
          <w:rFonts w:hint="default"/>
          <w:color w:val="auto"/>
        </w:rPr>
      </w:pPr>
      <w:r>
        <w:rPr>
          <w:rFonts w:hint="default"/>
          <w:color w:val="auto"/>
        </w:rPr>
        <w:t>流程追溯与权责管理：支持 “单据日志”“审批流程” 追溯，确保热缩操作可查、责任可追；当班签字、接班签字、主管签字机制强化了工序交接与管理的责任落实。</w:t>
      </w:r>
    </w:p>
    <w:p w14:paraId="373F9FCA">
      <w:pPr>
        <w:bidi w:val="0"/>
        <w:rPr>
          <w:rFonts w:hint="default"/>
          <w:color w:val="auto"/>
        </w:rPr>
      </w:pPr>
      <w:r>
        <w:rPr>
          <w:rFonts w:hint="default"/>
          <w:color w:val="auto"/>
        </w:rPr>
        <w:t>异常与统计管理：支持设备故障、工序异常的记录，同时通过物料平衡率计算（热缩膜物料平衡）实现热缩环节的物料损耗分析，为工艺改进与成本控制提供依据。</w:t>
      </w:r>
    </w:p>
    <w:p w14:paraId="4779561A">
      <w:pPr>
        <w:pStyle w:val="42"/>
        <w:bidi w:val="0"/>
        <w:rPr>
          <w:rFonts w:hint="default"/>
          <w:color w:val="auto"/>
        </w:rPr>
      </w:pPr>
      <w:r>
        <w:rPr>
          <w:rFonts w:hint="default"/>
          <w:color w:val="auto"/>
        </w:rPr>
        <w:drawing>
          <wp:inline distT="0" distB="0" distL="114300" distR="114300">
            <wp:extent cx="5266690" cy="2615565"/>
            <wp:effectExtent l="0" t="0" r="6350" b="5715"/>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pic:cNvPicPr>
                  </pic:nvPicPr>
                  <pic:blipFill>
                    <a:blip r:embed="rId35"/>
                    <a:stretch>
                      <a:fillRect/>
                    </a:stretch>
                  </pic:blipFill>
                  <pic:spPr>
                    <a:xfrm>
                      <a:off x="0" y="0"/>
                      <a:ext cx="5266690" cy="2615565"/>
                    </a:xfrm>
                    <a:prstGeom prst="rect">
                      <a:avLst/>
                    </a:prstGeom>
                  </pic:spPr>
                </pic:pic>
              </a:graphicData>
            </a:graphic>
          </wp:inline>
        </w:drawing>
      </w:r>
    </w:p>
    <w:p w14:paraId="5F2144D5">
      <w:pPr>
        <w:bidi w:val="0"/>
        <w:rPr>
          <w:rFonts w:hint="default"/>
          <w:color w:val="auto"/>
        </w:rPr>
      </w:pPr>
      <w:r>
        <w:rPr>
          <w:rFonts w:hint="default"/>
          <w:color w:val="auto"/>
        </w:rPr>
        <w:t>关键作用体现：</w:t>
      </w:r>
    </w:p>
    <w:p w14:paraId="4AC22D56">
      <w:pPr>
        <w:bidi w:val="0"/>
        <w:rPr>
          <w:rFonts w:hint="default"/>
          <w:color w:val="auto"/>
        </w:rPr>
      </w:pPr>
      <w:r>
        <w:rPr>
          <w:rFonts w:hint="default"/>
          <w:color w:val="auto"/>
        </w:rPr>
        <w:t>保障热缩标准化：通过明确的工艺参数与设备状态记录，确保热缩工序严格按流程执行，为产品热缩外观一致性与质量稳定性筑牢基础。</w:t>
      </w:r>
    </w:p>
    <w:p w14:paraId="7F5FAF46">
      <w:pPr>
        <w:bidi w:val="0"/>
        <w:rPr>
          <w:rFonts w:hint="default"/>
          <w:color w:val="auto"/>
        </w:rPr>
      </w:pPr>
      <w:r>
        <w:rPr>
          <w:rFonts w:hint="default"/>
          <w:color w:val="auto"/>
        </w:rPr>
        <w:t>实现全链路追溯：从生产订单到工艺执行、物料消耗、设备状态的完整数据，可追溯每批产品的热缩过程，便于排查质量异常时的根源，提升问题处理效率。</w:t>
      </w:r>
    </w:p>
    <w:p w14:paraId="469C6F8E">
      <w:pPr>
        <w:bidi w:val="0"/>
        <w:rPr>
          <w:rFonts w:hint="default"/>
          <w:color w:val="auto"/>
        </w:rPr>
      </w:pPr>
      <w:r>
        <w:rPr>
          <w:rFonts w:hint="default"/>
          <w:color w:val="auto"/>
        </w:rPr>
        <w:t>满足合规与审计要求：完整的热缩记录（含工艺、物料、设备、人员签字）是食品、饮料等行业生产合规性审计的关键依据，有效证明热缩环节的规范性与可追溯性。</w:t>
      </w:r>
    </w:p>
    <w:p w14:paraId="07EFA6D3">
      <w:pPr>
        <w:pStyle w:val="37"/>
        <w:bidi w:val="0"/>
        <w:rPr>
          <w:rFonts w:hint="default"/>
          <w:color w:val="auto"/>
        </w:rPr>
      </w:pPr>
      <w:r>
        <w:rPr>
          <w:rFonts w:hint="default"/>
          <w:color w:val="auto"/>
        </w:rPr>
        <w:t>热缩包装</w:t>
      </w:r>
    </w:p>
    <w:p w14:paraId="784782E6">
      <w:pPr>
        <w:bidi w:val="0"/>
        <w:rPr>
          <w:rFonts w:hint="default"/>
          <w:color w:val="auto"/>
        </w:rPr>
      </w:pPr>
      <w:r>
        <w:rPr>
          <w:rFonts w:hint="default"/>
          <w:color w:val="auto"/>
        </w:rPr>
        <w:t>该表单用于精准记录热缩包装工序的生产信息、工艺参数、多类物料消耗、设备状态及工序状况，保障热缩包装工艺的标准化执行、产品质量稳定与生产数据可追溯。</w:t>
      </w:r>
    </w:p>
    <w:p w14:paraId="2423451B">
      <w:pPr>
        <w:bidi w:val="0"/>
        <w:rPr>
          <w:rFonts w:hint="default"/>
          <w:color w:val="auto"/>
        </w:rPr>
      </w:pPr>
      <w:r>
        <w:rPr>
          <w:rFonts w:hint="default"/>
          <w:color w:val="auto"/>
        </w:rPr>
        <w:t>功能定位：围绕热缩包装工序的全周期管理，整合生产基础信息（订单号、产品、产线、班次）、工艺参数（压缩空气压力、隧道温度、热缩机胶温）、多类物料消耗（热缩膜、纸箱、热熔胶）、设备与环境状态（计量器具、卫生安全、温湿度）及工序交接记录，实现热缩包装从任务启动到工序完成的全流程数据闭环管理。</w:t>
      </w:r>
    </w:p>
    <w:p w14:paraId="6B085194">
      <w:pPr>
        <w:bidi w:val="0"/>
        <w:rPr>
          <w:rFonts w:hint="default"/>
          <w:color w:val="auto"/>
        </w:rPr>
      </w:pPr>
      <w:r>
        <w:rPr>
          <w:rFonts w:hint="default"/>
          <w:color w:val="auto"/>
        </w:rPr>
        <w:t>核心功能说明：</w:t>
      </w:r>
    </w:p>
    <w:p w14:paraId="61620F44">
      <w:pPr>
        <w:bidi w:val="0"/>
        <w:rPr>
          <w:rFonts w:hint="default"/>
          <w:color w:val="auto"/>
        </w:rPr>
      </w:pPr>
      <w:r>
        <w:rPr>
          <w:rFonts w:hint="default"/>
          <w:color w:val="auto"/>
        </w:rPr>
        <w:t>生产维度：记录生产订单号、产品名称、产线、班次等，明确热缩包装任务的生产边界；</w:t>
      </w:r>
    </w:p>
    <w:p w14:paraId="6FD96A13">
      <w:pPr>
        <w:bidi w:val="0"/>
        <w:rPr>
          <w:rFonts w:hint="default"/>
          <w:color w:val="auto"/>
        </w:rPr>
      </w:pPr>
      <w:r>
        <w:rPr>
          <w:rFonts w:hint="default"/>
          <w:color w:val="auto"/>
        </w:rPr>
        <w:t>工艺与设备维度：通过工序记录（压缩空气压力、隧道温度、热缩机胶温）、设备状态（电子秤、台秤、温湿度计），精准刻画热缩包装工艺的执行轨迹与设备健康度；</w:t>
      </w:r>
    </w:p>
    <w:p w14:paraId="0AC28591">
      <w:pPr>
        <w:bidi w:val="0"/>
        <w:rPr>
          <w:rFonts w:hint="default"/>
          <w:color w:val="auto"/>
        </w:rPr>
      </w:pPr>
      <w:r>
        <w:rPr>
          <w:rFonts w:hint="default"/>
          <w:color w:val="auto"/>
        </w:rPr>
        <w:t>物料与成本维度：统计热缩膜、纸箱、热熔胶等多类物料的投入量、使用量、报废量、结存量及物料平衡率，实现热缩包装环节物料的精细化管控，为成本优化提供数据支撑；</w:t>
      </w:r>
    </w:p>
    <w:p w14:paraId="5AF60F3E">
      <w:pPr>
        <w:bidi w:val="0"/>
        <w:rPr>
          <w:rFonts w:hint="default"/>
          <w:color w:val="auto"/>
        </w:rPr>
      </w:pPr>
      <w:r>
        <w:rPr>
          <w:rFonts w:hint="default"/>
          <w:color w:val="auto"/>
        </w:rPr>
        <w:t>环境与权责维度：记录岗位文件工具完整性、安全卫生状况、环境温湿度，同时通过当班签字、接班签字、主管签字机制，强化工序交接与管理的责任落实。</w:t>
      </w:r>
    </w:p>
    <w:p w14:paraId="6EA1B209">
      <w:pPr>
        <w:bidi w:val="0"/>
        <w:rPr>
          <w:rFonts w:hint="default"/>
          <w:color w:val="auto"/>
        </w:rPr>
      </w:pPr>
      <w:r>
        <w:rPr>
          <w:rFonts w:hint="default"/>
          <w:color w:val="auto"/>
        </w:rPr>
        <w:t>异常与统计管理：支持设备故障、工序异常的记录，同时通过多类物料平衡率计算（热缩膜、纸箱、热熔胶物料平衡）实现热缩包装环节的物料损耗分析，为工艺改进与成本控制提供依据。</w:t>
      </w:r>
    </w:p>
    <w:p w14:paraId="08AB95AA">
      <w:pPr>
        <w:pStyle w:val="42"/>
        <w:bidi w:val="0"/>
        <w:rPr>
          <w:rFonts w:hint="default"/>
          <w:color w:val="auto"/>
        </w:rPr>
      </w:pPr>
      <w:r>
        <w:rPr>
          <w:rFonts w:hint="default"/>
          <w:color w:val="auto"/>
        </w:rPr>
        <w:drawing>
          <wp:inline distT="0" distB="0" distL="114300" distR="114300">
            <wp:extent cx="5266690" cy="2615565"/>
            <wp:effectExtent l="0" t="0" r="6350" b="571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36"/>
                    <a:stretch>
                      <a:fillRect/>
                    </a:stretch>
                  </pic:blipFill>
                  <pic:spPr>
                    <a:xfrm>
                      <a:off x="0" y="0"/>
                      <a:ext cx="5266690" cy="2615565"/>
                    </a:xfrm>
                    <a:prstGeom prst="rect">
                      <a:avLst/>
                    </a:prstGeom>
                  </pic:spPr>
                </pic:pic>
              </a:graphicData>
            </a:graphic>
          </wp:inline>
        </w:drawing>
      </w:r>
    </w:p>
    <w:p w14:paraId="359B4340">
      <w:pPr>
        <w:pStyle w:val="42"/>
        <w:bidi w:val="0"/>
        <w:rPr>
          <w:rFonts w:hint="default"/>
          <w:color w:val="auto"/>
        </w:rPr>
      </w:pPr>
      <w:r>
        <w:rPr>
          <w:rFonts w:hint="default"/>
          <w:color w:val="auto"/>
        </w:rPr>
        <w:drawing>
          <wp:inline distT="0" distB="0" distL="114300" distR="114300">
            <wp:extent cx="5266690" cy="1530985"/>
            <wp:effectExtent l="0" t="0" r="6350" b="8255"/>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pic:cNvPicPr>
                  </pic:nvPicPr>
                  <pic:blipFill>
                    <a:blip r:embed="rId37"/>
                    <a:stretch>
                      <a:fillRect/>
                    </a:stretch>
                  </pic:blipFill>
                  <pic:spPr>
                    <a:xfrm>
                      <a:off x="0" y="0"/>
                      <a:ext cx="5266690" cy="1530985"/>
                    </a:xfrm>
                    <a:prstGeom prst="rect">
                      <a:avLst/>
                    </a:prstGeom>
                  </pic:spPr>
                </pic:pic>
              </a:graphicData>
            </a:graphic>
          </wp:inline>
        </w:drawing>
      </w:r>
    </w:p>
    <w:p w14:paraId="5917ED45">
      <w:pPr>
        <w:bidi w:val="0"/>
        <w:rPr>
          <w:rFonts w:hint="default"/>
          <w:color w:val="auto"/>
        </w:rPr>
      </w:pPr>
      <w:r>
        <w:rPr>
          <w:rFonts w:hint="default"/>
          <w:color w:val="auto"/>
        </w:rPr>
        <w:t>关键作用体现：</w:t>
      </w:r>
    </w:p>
    <w:p w14:paraId="557A476C">
      <w:pPr>
        <w:bidi w:val="0"/>
        <w:rPr>
          <w:rFonts w:hint="default"/>
          <w:color w:val="auto"/>
        </w:rPr>
      </w:pPr>
      <w:r>
        <w:rPr>
          <w:rFonts w:hint="default"/>
          <w:color w:val="auto"/>
        </w:rPr>
        <w:t>保障热缩包装标准化：通过明确的工艺参数与设备状态记录，确保热缩包装工序严格按流程执行，为产品热缩包装外观一致性与质量稳定性筑牢基础；</w:t>
      </w:r>
    </w:p>
    <w:p w14:paraId="12972765">
      <w:pPr>
        <w:bidi w:val="0"/>
        <w:rPr>
          <w:rFonts w:hint="default"/>
          <w:color w:val="auto"/>
        </w:rPr>
      </w:pPr>
      <w:r>
        <w:rPr>
          <w:rFonts w:hint="default"/>
          <w:color w:val="auto"/>
        </w:rPr>
        <w:t>实现全链路追溯：从生产订单到工艺执行、多类物料消耗、设备状态的完整数据，可追溯每批产品的热缩包装过程，便于排查质量异常时的根源，提升问题处理效率。</w:t>
      </w:r>
    </w:p>
    <w:p w14:paraId="5890D72A">
      <w:pPr>
        <w:pStyle w:val="37"/>
        <w:bidi w:val="0"/>
        <w:rPr>
          <w:rFonts w:hint="default"/>
          <w:color w:val="auto"/>
        </w:rPr>
      </w:pPr>
      <w:r>
        <w:rPr>
          <w:rFonts w:hint="default"/>
          <w:color w:val="auto"/>
        </w:rPr>
        <w:t>码垛工序</w:t>
      </w:r>
    </w:p>
    <w:p w14:paraId="0FD43B80">
      <w:pPr>
        <w:bidi w:val="0"/>
        <w:rPr>
          <w:rFonts w:hint="default"/>
          <w:color w:val="auto"/>
        </w:rPr>
      </w:pPr>
      <w:r>
        <w:rPr>
          <w:rFonts w:hint="default"/>
          <w:color w:val="auto"/>
        </w:rPr>
        <w:t>该表单用于精准记录码垛工序的生产信息、成品检验、工序状态及物料消耗，保障码垛环节的产品质量、流程合规性与数据可追溯。</w:t>
      </w:r>
    </w:p>
    <w:p w14:paraId="570B415B">
      <w:pPr>
        <w:bidi w:val="0"/>
        <w:rPr>
          <w:rFonts w:hint="default"/>
          <w:color w:val="auto"/>
        </w:rPr>
      </w:pPr>
      <w:r>
        <w:rPr>
          <w:rFonts w:hint="default"/>
          <w:color w:val="auto"/>
        </w:rPr>
        <w:t>功能定位：围绕码垛工序的全周期管理，整合生产基础信息（订单号、产品、产线、班次）、成品检验记录（批次、箱号、检验结果）、工序状态（设备运行、安全卫生、故障维修）及物料消耗（胶帯用量），实现码垛从任务启动到成品入库的全流程数据闭环管理。</w:t>
      </w:r>
    </w:p>
    <w:p w14:paraId="16188C21">
      <w:pPr>
        <w:bidi w:val="0"/>
        <w:rPr>
          <w:rFonts w:hint="default"/>
          <w:color w:val="auto"/>
        </w:rPr>
      </w:pPr>
      <w:r>
        <w:rPr>
          <w:rFonts w:hint="default"/>
          <w:color w:val="auto"/>
        </w:rPr>
        <w:t>核心功能说明：</w:t>
      </w:r>
    </w:p>
    <w:p w14:paraId="563EE084">
      <w:pPr>
        <w:bidi w:val="0"/>
        <w:rPr>
          <w:rFonts w:hint="default"/>
          <w:color w:val="auto"/>
        </w:rPr>
      </w:pPr>
      <w:r>
        <w:rPr>
          <w:rFonts w:hint="default"/>
          <w:color w:val="auto"/>
        </w:rPr>
        <w:t>生产维度：记录生产订单号、产品名称、产线、班次等，明确码垛任务的生产边界；</w:t>
      </w:r>
    </w:p>
    <w:p w14:paraId="2E13024B">
      <w:pPr>
        <w:bidi w:val="0"/>
        <w:rPr>
          <w:rFonts w:hint="default"/>
          <w:color w:val="auto"/>
        </w:rPr>
      </w:pPr>
      <w:r>
        <w:rPr>
          <w:rFonts w:hint="default"/>
          <w:color w:val="auto"/>
        </w:rPr>
        <w:t>质量检验维度：通过成品检查记录（批次、箱号、检验时间、结果），精准刻画码垛环节的成品质量状况，确保流入仓库的产品符合质量要求；</w:t>
      </w:r>
    </w:p>
    <w:p w14:paraId="5AB07897">
      <w:pPr>
        <w:bidi w:val="0"/>
        <w:rPr>
          <w:rFonts w:hint="default"/>
          <w:color w:val="auto"/>
        </w:rPr>
      </w:pPr>
      <w:r>
        <w:rPr>
          <w:rFonts w:hint="default"/>
          <w:color w:val="auto"/>
        </w:rPr>
        <w:t>工序状态维度：记录工序运行状况、安全卫生、故障维修记录，实时掌握码垛设备的健康度与操作合规性；</w:t>
      </w:r>
    </w:p>
    <w:p w14:paraId="0CCDDC6E">
      <w:pPr>
        <w:bidi w:val="0"/>
        <w:rPr>
          <w:rFonts w:hint="default"/>
          <w:color w:val="auto"/>
        </w:rPr>
      </w:pPr>
      <w:r>
        <w:rPr>
          <w:rFonts w:hint="default"/>
          <w:color w:val="auto"/>
        </w:rPr>
        <w:t>物料消耗维度：统计胶帯的投入量、使用量、退库量，实现码垛环节物料的精细化管控。</w:t>
      </w:r>
    </w:p>
    <w:p w14:paraId="77B39F46">
      <w:pPr>
        <w:bidi w:val="0"/>
        <w:rPr>
          <w:rFonts w:hint="default"/>
          <w:color w:val="auto"/>
        </w:rPr>
      </w:pPr>
      <w:r>
        <w:rPr>
          <w:rFonts w:hint="default"/>
          <w:color w:val="auto"/>
        </w:rPr>
        <w:t>流程追溯与权责管理：支持 “单据日志”“审批流程” 追溯，确保码垛操作可查、责任可追；当班签字、接班签字机制强化了工序交接的责任落实。</w:t>
      </w:r>
    </w:p>
    <w:p w14:paraId="543BEDA2">
      <w:pPr>
        <w:bidi w:val="0"/>
        <w:rPr>
          <w:rFonts w:hint="default"/>
          <w:color w:val="auto"/>
        </w:rPr>
      </w:pPr>
      <w:r>
        <w:rPr>
          <w:rFonts w:hint="default"/>
          <w:color w:val="auto"/>
        </w:rPr>
        <w:t>异常与统计管理：支持设备故障、质量异常的记录，同时通过成品入库量、报废量的统计，实现码垛环节的质量分析与成本优化。</w:t>
      </w:r>
    </w:p>
    <w:p w14:paraId="1232B3A0">
      <w:pPr>
        <w:pStyle w:val="42"/>
        <w:bidi w:val="0"/>
        <w:rPr>
          <w:rFonts w:hint="default"/>
          <w:color w:val="auto"/>
        </w:rPr>
      </w:pPr>
      <w:r>
        <w:rPr>
          <w:rFonts w:hint="default"/>
          <w:color w:val="auto"/>
        </w:rPr>
        <w:drawing>
          <wp:inline distT="0" distB="0" distL="114300" distR="114300">
            <wp:extent cx="5266690" cy="2615565"/>
            <wp:effectExtent l="0" t="0" r="6350" b="571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pic:cNvPicPr>
                  </pic:nvPicPr>
                  <pic:blipFill>
                    <a:blip r:embed="rId38"/>
                    <a:stretch>
                      <a:fillRect/>
                    </a:stretch>
                  </pic:blipFill>
                  <pic:spPr>
                    <a:xfrm>
                      <a:off x="0" y="0"/>
                      <a:ext cx="5266690" cy="2615565"/>
                    </a:xfrm>
                    <a:prstGeom prst="rect">
                      <a:avLst/>
                    </a:prstGeom>
                  </pic:spPr>
                </pic:pic>
              </a:graphicData>
            </a:graphic>
          </wp:inline>
        </w:drawing>
      </w:r>
    </w:p>
    <w:p w14:paraId="5235E434">
      <w:pPr>
        <w:bidi w:val="0"/>
        <w:rPr>
          <w:rFonts w:hint="default"/>
          <w:color w:val="auto"/>
        </w:rPr>
      </w:pPr>
      <w:r>
        <w:rPr>
          <w:rFonts w:hint="default"/>
          <w:color w:val="auto"/>
        </w:rPr>
        <w:t>关键作用体现：</w:t>
      </w:r>
    </w:p>
    <w:p w14:paraId="304179B4">
      <w:pPr>
        <w:bidi w:val="0"/>
        <w:rPr>
          <w:rFonts w:hint="default"/>
          <w:color w:val="auto"/>
        </w:rPr>
      </w:pPr>
      <w:r>
        <w:rPr>
          <w:rFonts w:hint="default"/>
          <w:color w:val="auto"/>
        </w:rPr>
        <w:t>保障成品质量：通过严格的成品检验记录，及时拦截码垛环节的不合格品，确保流入仓库的产品质量稳定，维护品牌形象；</w:t>
      </w:r>
    </w:p>
    <w:p w14:paraId="3FC3BF5E">
      <w:pPr>
        <w:bidi w:val="0"/>
        <w:rPr>
          <w:rFonts w:hint="default"/>
          <w:color w:val="auto"/>
        </w:rPr>
      </w:pPr>
      <w:r>
        <w:rPr>
          <w:rFonts w:hint="default"/>
          <w:color w:val="auto"/>
        </w:rPr>
        <w:t>实现全链路追溯：从生产订单到成品检验、工序状态、物料消耗的完整数据，可追溯每批产品的码垛过程，便于排查质量异常时的根源；</w:t>
      </w:r>
    </w:p>
    <w:p w14:paraId="609B4D61">
      <w:pPr>
        <w:bidi w:val="0"/>
        <w:rPr>
          <w:rFonts w:hint="default"/>
          <w:color w:val="auto"/>
        </w:rPr>
      </w:pPr>
      <w:r>
        <w:rPr>
          <w:rFonts w:hint="default"/>
          <w:color w:val="auto"/>
        </w:rPr>
        <w:t>满足合规审计要求：完整的码垛记录（含质量检验、工序状态、人员签字）是生产合规性审计的关键依据，有效证明码垛环节的规范性与可追溯性。</w:t>
      </w:r>
    </w:p>
    <w:p w14:paraId="0ED17446">
      <w:pPr>
        <w:pStyle w:val="37"/>
        <w:bidi w:val="0"/>
        <w:rPr>
          <w:rFonts w:hint="default"/>
          <w:color w:val="auto"/>
        </w:rPr>
      </w:pPr>
      <w:r>
        <w:rPr>
          <w:rFonts w:hint="default"/>
          <w:color w:val="auto"/>
        </w:rPr>
        <w:t>保洁模块</w:t>
      </w:r>
    </w:p>
    <w:p w14:paraId="1B98A8FE">
      <w:pPr>
        <w:bidi w:val="0"/>
        <w:rPr>
          <w:rFonts w:hint="default"/>
          <w:color w:val="auto"/>
        </w:rPr>
      </w:pPr>
      <w:r>
        <w:rPr>
          <w:rFonts w:hint="default"/>
          <w:color w:val="auto"/>
        </w:rPr>
        <w:t>该模块聚焦生产现场的环境卫生与消毒管控，通过多类型表单实现洗衣中心清洗、生产区域卫生检查、消毒剂与洗手液添加的数字化管理，助力企业保障生产环境的卫生合规性，降低产品污染风险，满足食品饮料等行业的生产合规要求。</w:t>
      </w:r>
    </w:p>
    <w:p w14:paraId="52E2323B">
      <w:pPr>
        <w:numPr>
          <w:ilvl w:val="0"/>
          <w:numId w:val="15"/>
        </w:numPr>
        <w:bidi w:val="0"/>
        <w:ind w:left="420" w:leftChars="0" w:hanging="420" w:firstLineChars="0"/>
        <w:rPr>
          <w:rFonts w:hint="default"/>
          <w:color w:val="auto"/>
        </w:rPr>
      </w:pPr>
      <w:r>
        <w:rPr>
          <w:rFonts w:hint="default"/>
          <w:color w:val="auto"/>
        </w:rPr>
        <w:t>生产部卫生监督检查表-包装车间</w:t>
      </w:r>
    </w:p>
    <w:p w14:paraId="7273755A">
      <w:pPr>
        <w:bidi w:val="0"/>
        <w:rPr>
          <w:rFonts w:hint="default"/>
          <w:color w:val="auto"/>
        </w:rPr>
      </w:pPr>
      <w:r>
        <w:rPr>
          <w:rFonts w:hint="default"/>
          <w:color w:val="auto"/>
        </w:rPr>
        <w:t>该表单用于系统记录包装车间的卫生检查项目、结果及人员权责，保障车间卫生合规性，降低产品污染风险，满足食品饮料行业的生产卫生要求。</w:t>
      </w:r>
    </w:p>
    <w:p w14:paraId="520AAB94">
      <w:pPr>
        <w:bidi w:val="0"/>
        <w:rPr>
          <w:rFonts w:hint="default"/>
          <w:color w:val="auto"/>
        </w:rPr>
      </w:pPr>
      <w:r>
        <w:rPr>
          <w:rFonts w:hint="default"/>
          <w:color w:val="auto"/>
        </w:rPr>
        <w:t>功能定位：围绕包装车间的卫生管理场景，整合检查时间、场地（包装车间）、多维度卫生检查项（门窗、地面、设备、人员卫生等）及检查结果记录，实现包装车间卫生状况从检查到确认的全流程数据闭环管理。</w:t>
      </w:r>
    </w:p>
    <w:p w14:paraId="5A15AA3B">
      <w:pPr>
        <w:bidi w:val="0"/>
        <w:rPr>
          <w:rFonts w:hint="default"/>
          <w:color w:val="auto"/>
        </w:rPr>
      </w:pPr>
      <w:r>
        <w:rPr>
          <w:rFonts w:hint="default"/>
          <w:color w:val="auto"/>
        </w:rPr>
        <w:t>核心功能说明：</w:t>
      </w:r>
    </w:p>
    <w:p w14:paraId="299C705C">
      <w:pPr>
        <w:bidi w:val="0"/>
        <w:rPr>
          <w:rFonts w:hint="default"/>
          <w:color w:val="auto"/>
        </w:rPr>
      </w:pPr>
      <w:r>
        <w:rPr>
          <w:rFonts w:hint="default"/>
          <w:color w:val="auto"/>
        </w:rPr>
        <w:t>多维度检查项覆盖：明确列出 10 项卫生检查内容，包括门窗干净度、地面杂物、灭蝇灯、车间密封性、照明防护、排水、人员卫生、虫鼠防控、物料存放、纱窗密封性，全面覆盖包装车间的卫生风险点；</w:t>
      </w:r>
    </w:p>
    <w:p w14:paraId="730C42C8">
      <w:pPr>
        <w:bidi w:val="0"/>
        <w:rPr>
          <w:rFonts w:hint="default"/>
          <w:color w:val="auto"/>
        </w:rPr>
      </w:pPr>
      <w:r>
        <w:rPr>
          <w:rFonts w:hint="default"/>
          <w:color w:val="auto"/>
        </w:rPr>
        <w:t>流程追溯与权责管理：通过检查时间、卫生员签字机制，明确卫生检查的责任主体，确保检查过程可追溯、责任可落实；支持 “保存”“提交确认” 功能，实现检查数据的规范化归档与审批确认。</w:t>
      </w:r>
    </w:p>
    <w:p w14:paraId="57B1FD64">
      <w:pPr>
        <w:pStyle w:val="42"/>
        <w:bidi w:val="0"/>
        <w:rPr>
          <w:rFonts w:hint="default"/>
          <w:color w:val="auto"/>
        </w:rPr>
      </w:pPr>
      <w:r>
        <w:rPr>
          <w:rFonts w:hint="default"/>
          <w:color w:val="auto"/>
        </w:rPr>
        <w:drawing>
          <wp:inline distT="0" distB="0" distL="114300" distR="114300">
            <wp:extent cx="5266690" cy="2615565"/>
            <wp:effectExtent l="0" t="0" r="6350" b="571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39"/>
                    <a:stretch>
                      <a:fillRect/>
                    </a:stretch>
                  </pic:blipFill>
                  <pic:spPr>
                    <a:xfrm>
                      <a:off x="0" y="0"/>
                      <a:ext cx="5266690" cy="2615565"/>
                    </a:xfrm>
                    <a:prstGeom prst="rect">
                      <a:avLst/>
                    </a:prstGeom>
                  </pic:spPr>
                </pic:pic>
              </a:graphicData>
            </a:graphic>
          </wp:inline>
        </w:drawing>
      </w:r>
    </w:p>
    <w:p w14:paraId="4D860E36">
      <w:pPr>
        <w:bidi w:val="0"/>
        <w:rPr>
          <w:rFonts w:hint="default"/>
          <w:color w:val="auto"/>
        </w:rPr>
      </w:pPr>
      <w:r>
        <w:rPr>
          <w:rFonts w:hint="default"/>
          <w:color w:val="auto"/>
        </w:rPr>
        <w:t>关键作用体现：</w:t>
      </w:r>
    </w:p>
    <w:p w14:paraId="1D1CF0E1">
      <w:pPr>
        <w:bidi w:val="0"/>
        <w:rPr>
          <w:rFonts w:hint="default"/>
          <w:color w:val="auto"/>
        </w:rPr>
      </w:pPr>
      <w:r>
        <w:rPr>
          <w:rFonts w:hint="default"/>
          <w:color w:val="auto"/>
        </w:rPr>
        <w:t>保障车间卫生合规：通过标准化的卫生检查项与严格的结果记录，及时发现包装车间的卫生疏漏（如地面杂物、虫鼠隐患），推动整改以维持车间卫生标准，从环境端降低产品微生物污染风险；</w:t>
      </w:r>
    </w:p>
    <w:p w14:paraId="2625E0BE">
      <w:pPr>
        <w:bidi w:val="0"/>
        <w:rPr>
          <w:rFonts w:hint="default"/>
          <w:color w:val="auto"/>
        </w:rPr>
      </w:pPr>
      <w:r>
        <w:rPr>
          <w:rFonts w:hint="default"/>
          <w:color w:val="auto"/>
        </w:rPr>
        <w:t>满足合规审计要求：完整的卫生检查记录（含检查项、结果、人员签字）是食品饮料行业生产合规性审计的关键依据，有效证明包装车间卫生管理的规范性与可追溯性；</w:t>
      </w:r>
    </w:p>
    <w:p w14:paraId="003DE733">
      <w:pPr>
        <w:bidi w:val="0"/>
        <w:rPr>
          <w:rFonts w:hint="default"/>
          <w:color w:val="auto"/>
        </w:rPr>
      </w:pPr>
      <w:r>
        <w:rPr>
          <w:rFonts w:hint="default"/>
          <w:color w:val="auto"/>
        </w:rPr>
        <w:t>强化卫生管理闭环：检查结果的 “合格 / 异常” 记录，可触发后续整改流程，形成卫生问题发现-整改-确认的管理闭环，持续提升包装车间的卫生管理水平。</w:t>
      </w:r>
    </w:p>
    <w:p w14:paraId="54AC9EB4">
      <w:pPr>
        <w:numPr>
          <w:ilvl w:val="0"/>
          <w:numId w:val="15"/>
        </w:numPr>
        <w:bidi w:val="0"/>
        <w:ind w:left="420" w:leftChars="0" w:hanging="420" w:firstLineChars="0"/>
        <w:rPr>
          <w:rFonts w:hint="default"/>
          <w:color w:val="auto"/>
        </w:rPr>
      </w:pPr>
      <w:r>
        <w:rPr>
          <w:rFonts w:hint="default"/>
          <w:color w:val="auto"/>
        </w:rPr>
        <w:t>生产部卫生监督检查表 - 更衣室及卫生间</w:t>
      </w:r>
    </w:p>
    <w:p w14:paraId="5AF4CD06">
      <w:pPr>
        <w:bidi w:val="0"/>
        <w:rPr>
          <w:rFonts w:hint="default"/>
          <w:color w:val="auto"/>
        </w:rPr>
      </w:pPr>
      <w:r>
        <w:rPr>
          <w:rFonts w:hint="default"/>
          <w:color w:val="auto"/>
        </w:rPr>
        <w:t>该表单用于系统记录更衣室、卫生间的卫生检查项目、结果及人员权责，保障人员活动区域的卫生合规性，从人员端降低产品污染风险，满足食品饮料行业的生产卫生要求。</w:t>
      </w:r>
    </w:p>
    <w:p w14:paraId="432FD6E5">
      <w:pPr>
        <w:bidi w:val="0"/>
        <w:rPr>
          <w:rFonts w:hint="default"/>
          <w:color w:val="auto"/>
        </w:rPr>
      </w:pPr>
      <w:r>
        <w:rPr>
          <w:rFonts w:hint="default"/>
          <w:color w:val="auto"/>
        </w:rPr>
        <w:t>功能定位：围绕更衣室、卫生间的卫生管理场景，整合检查时间、场地（更衣室及卫生间）、多维度卫生检查项（更衣设施、门窗、地面、卫浴设施、洗手消毒等）及检查结果记录，实现人员活动区域卫生状况从检查到确认的全流程数据闭环管理。</w:t>
      </w:r>
    </w:p>
    <w:p w14:paraId="18B17AB4">
      <w:pPr>
        <w:bidi w:val="0"/>
        <w:rPr>
          <w:rFonts w:hint="default"/>
          <w:color w:val="auto"/>
        </w:rPr>
      </w:pPr>
      <w:r>
        <w:rPr>
          <w:rFonts w:hint="default"/>
          <w:color w:val="auto"/>
        </w:rPr>
        <w:t>核心功能说明：</w:t>
      </w:r>
    </w:p>
    <w:p w14:paraId="5650C95D">
      <w:pPr>
        <w:bidi w:val="0"/>
        <w:rPr>
          <w:rFonts w:hint="default"/>
          <w:color w:val="auto"/>
        </w:rPr>
      </w:pPr>
      <w:r>
        <w:rPr>
          <w:rFonts w:hint="default"/>
          <w:color w:val="auto"/>
        </w:rPr>
        <w:t>多维度检查项覆盖：明确列出 8 项卫生检查内容，包括更衣箱 / 鞋 / 柜的整洁度、门窗清洁度、地面杂物、便池卫生、洗手台 / 干手设施、洗手液配备、手消毒工作及墙面卫生，全面覆盖人员活动区域的卫生风险点；</w:t>
      </w:r>
    </w:p>
    <w:p w14:paraId="1A609952">
      <w:pPr>
        <w:bidi w:val="0"/>
        <w:rPr>
          <w:rFonts w:hint="default"/>
          <w:color w:val="auto"/>
        </w:rPr>
      </w:pPr>
      <w:r>
        <w:rPr>
          <w:rFonts w:hint="default"/>
          <w:color w:val="auto"/>
        </w:rPr>
        <w:t>流程追溯与权责管理：通过检查时间、卫生员签字机制，明确卫生检查的责任主体，确保检查过程可追溯、责任可落实；支持 “保存”“提交确认” 功能，实现检查数据的规范化归档与审批确认。</w:t>
      </w:r>
    </w:p>
    <w:p w14:paraId="2E046909">
      <w:pPr>
        <w:pStyle w:val="42"/>
        <w:bidi w:val="0"/>
        <w:rPr>
          <w:rFonts w:hint="default"/>
          <w:color w:val="auto"/>
        </w:rPr>
      </w:pPr>
      <w:r>
        <w:rPr>
          <w:rFonts w:hint="default"/>
          <w:color w:val="auto"/>
        </w:rPr>
        <w:drawing>
          <wp:inline distT="0" distB="0" distL="114300" distR="114300">
            <wp:extent cx="5266690" cy="2615565"/>
            <wp:effectExtent l="0" t="0" r="6350" b="5715"/>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40"/>
                    <a:stretch>
                      <a:fillRect/>
                    </a:stretch>
                  </pic:blipFill>
                  <pic:spPr>
                    <a:xfrm>
                      <a:off x="0" y="0"/>
                      <a:ext cx="5266690" cy="2615565"/>
                    </a:xfrm>
                    <a:prstGeom prst="rect">
                      <a:avLst/>
                    </a:prstGeom>
                  </pic:spPr>
                </pic:pic>
              </a:graphicData>
            </a:graphic>
          </wp:inline>
        </w:drawing>
      </w:r>
    </w:p>
    <w:p w14:paraId="4F59FDA7">
      <w:pPr>
        <w:bidi w:val="0"/>
        <w:rPr>
          <w:rFonts w:hint="default"/>
          <w:color w:val="auto"/>
        </w:rPr>
      </w:pPr>
      <w:r>
        <w:rPr>
          <w:rFonts w:hint="default"/>
          <w:color w:val="auto"/>
        </w:rPr>
        <w:t>关键作用体现：</w:t>
      </w:r>
    </w:p>
    <w:p w14:paraId="0C7F83CC">
      <w:pPr>
        <w:bidi w:val="0"/>
        <w:rPr>
          <w:rFonts w:hint="default"/>
          <w:color w:val="auto"/>
        </w:rPr>
      </w:pPr>
      <w:r>
        <w:rPr>
          <w:rFonts w:hint="default"/>
          <w:color w:val="auto"/>
        </w:rPr>
        <w:t>保障人员区域卫生合规：通过标准化的卫生检查项与严格的结果记录，及时发现更衣室、卫生间的卫生疏漏（如洗手设施不足、地面杂物），推动整改以维持人员区域的卫生标准，从人员端降低产品微生物污染风险（如人员手部不洁引入的污染）；</w:t>
      </w:r>
    </w:p>
    <w:p w14:paraId="66A2663B">
      <w:pPr>
        <w:bidi w:val="0"/>
        <w:rPr>
          <w:rFonts w:hint="default"/>
          <w:color w:val="auto"/>
        </w:rPr>
      </w:pPr>
      <w:r>
        <w:rPr>
          <w:rFonts w:hint="default"/>
          <w:color w:val="auto"/>
        </w:rPr>
        <w:t>满足合规审计要求：完整的卫生检查记录（含检查项、结果、人员签字）是食品饮料行业生产合规性审计的关键依据，有效证明人员活动区域卫生管理的规范性与可追溯性；</w:t>
      </w:r>
    </w:p>
    <w:p w14:paraId="60F7909C">
      <w:pPr>
        <w:bidi w:val="0"/>
        <w:rPr>
          <w:rFonts w:hint="default"/>
          <w:color w:val="auto"/>
        </w:rPr>
      </w:pPr>
      <w:r>
        <w:rPr>
          <w:rFonts w:hint="default"/>
          <w:color w:val="auto"/>
        </w:rPr>
        <w:t>强化卫生管理闭环：检查结果的 “合格 / 异常” 记录，可触发后续整改流程，形成卫生问题发现-整改-确认的管理闭环，持续提升更衣室、卫生间的卫生管理水平。</w:t>
      </w:r>
    </w:p>
    <w:p w14:paraId="0F5F114D">
      <w:pPr>
        <w:pStyle w:val="37"/>
        <w:bidi w:val="0"/>
        <w:rPr>
          <w:rFonts w:hint="default"/>
          <w:color w:val="auto"/>
        </w:rPr>
      </w:pPr>
      <w:r>
        <w:rPr>
          <w:rFonts w:hint="eastAsia"/>
          <w:color w:val="auto"/>
          <w:lang w:val="en-US" w:eastAsia="zh-CN"/>
        </w:rPr>
        <w:t>生产库存报表</w:t>
      </w:r>
    </w:p>
    <w:p w14:paraId="19F72F83">
      <w:pPr>
        <w:bidi w:val="0"/>
        <w:rPr>
          <w:rFonts w:hint="default"/>
          <w:color w:val="auto"/>
          <w:lang w:val="en-US" w:eastAsia="zh-CN"/>
        </w:rPr>
      </w:pPr>
      <w:r>
        <w:rPr>
          <w:rFonts w:hint="default"/>
          <w:color w:val="auto"/>
          <w:lang w:val="en-US" w:eastAsia="zh-CN"/>
        </w:rPr>
        <w:t>物料库存管理：企业物料资产的 “全景管控与明细追溯中枢” 功能，包含物料库存总表与物料库存明细两大核心模块，形成从宏观统计到微观追溯的完整管理闭环。</w:t>
      </w:r>
    </w:p>
    <w:p w14:paraId="3260283A">
      <w:pPr>
        <w:bidi w:val="0"/>
        <w:rPr>
          <w:rFonts w:hint="default"/>
          <w:color w:val="auto"/>
          <w:lang w:val="en-US" w:eastAsia="zh-CN"/>
        </w:rPr>
      </w:pPr>
    </w:p>
    <w:p w14:paraId="608DAEDC">
      <w:pPr>
        <w:pStyle w:val="5"/>
        <w:keepNext w:val="0"/>
        <w:keepLines w:val="0"/>
        <w:widowControl/>
        <w:numPr>
          <w:ilvl w:val="3"/>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02" w:leftChars="0" w:right="0" w:rightChars="0"/>
        <w:rPr>
          <w:rFonts w:hint="default" w:ascii="仿宋_GB2312" w:hAnsi="仿宋_GB2312" w:eastAsia="仿宋_GB2312" w:cs="仿宋_GB2312"/>
          <w:b w:val="0"/>
          <w:color w:val="auto"/>
          <w:kern w:val="2"/>
          <w:sz w:val="32"/>
          <w:szCs w:val="32"/>
          <w:lang w:val="en-US" w:eastAsia="zh-CN" w:bidi="ar-SA"/>
        </w:rPr>
      </w:pPr>
      <w:r>
        <w:rPr>
          <w:rFonts w:hint="default" w:ascii="仿宋_GB2312" w:hAnsi="仿宋_GB2312" w:eastAsia="仿宋_GB2312" w:cs="仿宋_GB2312"/>
          <w:b w:val="0"/>
          <w:color w:val="auto"/>
          <w:kern w:val="2"/>
          <w:sz w:val="32"/>
          <w:szCs w:val="32"/>
          <w:lang w:val="en-US" w:eastAsia="zh-CN" w:bidi="ar-SA"/>
        </w:rPr>
        <w:t>物料库存总表：宏观库存健康度的全景管控中心</w:t>
      </w:r>
    </w:p>
    <w:p w14:paraId="4679EF8E">
      <w:pPr>
        <w:bidi w:val="0"/>
        <w:rPr>
          <w:rFonts w:hint="default"/>
          <w:color w:val="auto"/>
          <w:lang w:val="en-US" w:eastAsia="zh-CN"/>
        </w:rPr>
      </w:pPr>
      <w:r>
        <w:rPr>
          <w:rFonts w:hint="default"/>
          <w:color w:val="auto"/>
          <w:lang w:val="en-US" w:eastAsia="zh-CN"/>
        </w:rPr>
        <w:t>该模块面向库存管理人员，提供多维度精准筛选能力，可通过关键字（商品名称、条码、型号、品牌）、仓库、所属分类、库存数（如 “大于 0”）、预警类型、物料大类等条件组合，快速定位目标物料。</w:t>
      </w:r>
    </w:p>
    <w:p w14:paraId="25155FEE">
      <w:pPr>
        <w:bidi w:val="0"/>
        <w:rPr>
          <w:rFonts w:hint="default"/>
          <w:color w:val="auto"/>
          <w:lang w:val="en-US" w:eastAsia="zh-CN"/>
        </w:rPr>
      </w:pPr>
      <w:r>
        <w:rPr>
          <w:rFonts w:hint="default"/>
          <w:color w:val="auto"/>
          <w:lang w:val="en-US" w:eastAsia="zh-CN"/>
        </w:rPr>
        <w:t>核心呈现内容：涵盖物料大类、条码、名称、品牌、规格型号、计量单位、所属分类、ABC 分类、仓库、可用库存、库存状态（非限制 / 质量检查 / 冻结）、库存上下限、订货点（风险库存）、月销量等关键指标，直观呈现物料的库存结构与健康状态。</w:t>
      </w:r>
    </w:p>
    <w:p w14:paraId="5E22F743">
      <w:pPr>
        <w:bidi w:val="0"/>
        <w:rPr>
          <w:rFonts w:hint="default"/>
          <w:color w:val="auto"/>
          <w:lang w:val="en-US" w:eastAsia="zh-CN"/>
        </w:rPr>
      </w:pPr>
      <w:r>
        <w:rPr>
          <w:rFonts w:hint="default"/>
          <w:color w:val="auto"/>
          <w:lang w:val="en-US" w:eastAsia="zh-CN"/>
        </w:rPr>
        <w:t>核心操作能力：支持一键导出全量数据，便于离线分析与报表生成；内置库存预警与订货预警机制，当库存接近上下限阈值时自动触发提醒，结合月销量数据辅助预判补货需求，有效避免物料积压或缺货风险；同时可通过 “月销量” 维度分析物料周转效率，为库存优化与采购决策提供数据依据。</w:t>
      </w:r>
    </w:p>
    <w:p w14:paraId="57395C90">
      <w:pPr>
        <w:bidi w:val="0"/>
        <w:spacing w:line="240" w:lineRule="auto"/>
        <w:rPr>
          <w:rFonts w:hint="eastAsia" w:eastAsia="仿宋_GB2312"/>
          <w:color w:val="auto"/>
          <w:lang w:eastAsia="zh-CN"/>
        </w:rPr>
      </w:pPr>
      <w:r>
        <w:rPr>
          <w:rFonts w:hint="eastAsia" w:eastAsia="仿宋_GB2312"/>
          <w:color w:val="auto"/>
          <w:lang w:eastAsia="zh-CN"/>
        </w:rPr>
        <w:drawing>
          <wp:inline distT="0" distB="0" distL="114300" distR="114300">
            <wp:extent cx="5267960" cy="2325370"/>
            <wp:effectExtent l="0" t="0" r="8890" b="17780"/>
            <wp:docPr id="115" name="图片 115" descr="Snipaste_2026-02-03_18-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Snipaste_2026-02-03_18-57-58"/>
                    <pic:cNvPicPr>
                      <a:picLocks noChangeAspect="1"/>
                    </pic:cNvPicPr>
                  </pic:nvPicPr>
                  <pic:blipFill>
                    <a:blip r:embed="rId41"/>
                    <a:stretch>
                      <a:fillRect/>
                    </a:stretch>
                  </pic:blipFill>
                  <pic:spPr>
                    <a:xfrm>
                      <a:off x="0" y="0"/>
                      <a:ext cx="5267960" cy="2325370"/>
                    </a:xfrm>
                    <a:prstGeom prst="rect">
                      <a:avLst/>
                    </a:prstGeom>
                  </pic:spPr>
                </pic:pic>
              </a:graphicData>
            </a:graphic>
          </wp:inline>
        </w:drawing>
      </w:r>
    </w:p>
    <w:p w14:paraId="0FBDA8D2">
      <w:pPr>
        <w:bidi w:val="0"/>
        <w:rPr>
          <w:rFonts w:hint="default"/>
          <w:color w:val="auto"/>
          <w:lang w:val="en-US" w:eastAsia="zh-CN"/>
        </w:rPr>
      </w:pPr>
      <w:r>
        <w:rPr>
          <w:rFonts w:hint="default"/>
          <w:color w:val="auto"/>
          <w:lang w:val="en-US" w:eastAsia="zh-CN"/>
        </w:rPr>
        <w:t>物料库存明细：微观物料全链路的精准追溯中心</w:t>
      </w:r>
    </w:p>
    <w:p w14:paraId="0DA6B660">
      <w:pPr>
        <w:bidi w:val="0"/>
        <w:rPr>
          <w:rFonts w:hint="default"/>
          <w:color w:val="auto"/>
          <w:lang w:val="en-US" w:eastAsia="zh-CN"/>
        </w:rPr>
      </w:pPr>
      <w:r>
        <w:rPr>
          <w:rFonts w:hint="default"/>
          <w:color w:val="auto"/>
          <w:lang w:val="en-US" w:eastAsia="zh-CN"/>
        </w:rPr>
        <w:t>该模块聚焦单物料的精细化管控，在总表的基础上提供更颗粒度的筛选维度，可通过关键字、库位、仓库、库存数、所属分类、可用状态、入库日期范围等条件，精准定位特定批次或库位的物料。</w:t>
      </w:r>
    </w:p>
    <w:p w14:paraId="0A47ECE7">
      <w:pPr>
        <w:bidi w:val="0"/>
        <w:rPr>
          <w:rFonts w:hint="default"/>
          <w:color w:val="auto"/>
          <w:lang w:val="en-US" w:eastAsia="zh-CN"/>
        </w:rPr>
      </w:pPr>
      <w:r>
        <w:rPr>
          <w:rFonts w:hint="default"/>
          <w:color w:val="auto"/>
          <w:lang w:val="en-US" w:eastAsia="zh-CN"/>
        </w:rPr>
        <w:t>核心呈现内容：包含入库日期、条码、名称、供应商、厂商、原厂批次、内部批次、可用库存、可用状态、仓库、库位 / 产线、生产日期、到期日期等溯源信息，完整记录物料从入库到库存的全链路数据，为效期管理、批次追溯提供精准依据。</w:t>
      </w:r>
    </w:p>
    <w:p w14:paraId="4D696717">
      <w:pPr>
        <w:bidi w:val="0"/>
        <w:rPr>
          <w:rFonts w:hint="eastAsia"/>
          <w:color w:val="auto"/>
          <w:lang w:val="en-US" w:eastAsia="zh-CN"/>
        </w:rPr>
      </w:pPr>
      <w:r>
        <w:rPr>
          <w:rFonts w:hint="default"/>
          <w:color w:val="auto"/>
          <w:lang w:val="en-US" w:eastAsia="zh-CN"/>
        </w:rPr>
        <w:t>核心操作能力：支持数据导出与库位设置，可灵活调整物料的存放位置，优化仓库空间利用率；同时提供 “查看标签” 功能，可快速调取物料的唯一标识标签，便于现场盘点与物料核验，进一步提升库存管理的精准性与效率。</w:t>
      </w:r>
    </w:p>
    <w:p w14:paraId="0610835C">
      <w:pPr>
        <w:bidi w:val="0"/>
        <w:spacing w:line="240" w:lineRule="auto"/>
        <w:rPr>
          <w:rFonts w:hint="eastAsia" w:eastAsia="仿宋_GB2312"/>
          <w:color w:val="auto"/>
          <w:lang w:eastAsia="zh-CN"/>
        </w:rPr>
      </w:pPr>
      <w:r>
        <w:rPr>
          <w:rFonts w:hint="eastAsia" w:eastAsia="仿宋_GB2312"/>
          <w:color w:val="auto"/>
          <w:lang w:eastAsia="zh-CN"/>
        </w:rPr>
        <w:drawing>
          <wp:inline distT="0" distB="0" distL="114300" distR="114300">
            <wp:extent cx="5261610" cy="2377440"/>
            <wp:effectExtent l="0" t="0" r="15240" b="3810"/>
            <wp:docPr id="116" name="图片 116" descr="Snipaste_2026-02-03_19-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Snipaste_2026-02-03_19-01-21"/>
                    <pic:cNvPicPr>
                      <a:picLocks noChangeAspect="1"/>
                    </pic:cNvPicPr>
                  </pic:nvPicPr>
                  <pic:blipFill>
                    <a:blip r:embed="rId42"/>
                    <a:stretch>
                      <a:fillRect/>
                    </a:stretch>
                  </pic:blipFill>
                  <pic:spPr>
                    <a:xfrm>
                      <a:off x="0" y="0"/>
                      <a:ext cx="5261610" cy="2377440"/>
                    </a:xfrm>
                    <a:prstGeom prst="rect">
                      <a:avLst/>
                    </a:prstGeom>
                  </pic:spPr>
                </pic:pic>
              </a:graphicData>
            </a:graphic>
          </wp:inline>
        </w:drawing>
      </w:r>
    </w:p>
    <w:p w14:paraId="216520E4">
      <w:pPr>
        <w:pStyle w:val="37"/>
        <w:bidi w:val="0"/>
        <w:rPr>
          <w:rFonts w:hint="default"/>
          <w:color w:val="auto"/>
        </w:rPr>
      </w:pPr>
      <w:r>
        <w:rPr>
          <w:rFonts w:hint="eastAsia"/>
          <w:color w:val="auto"/>
          <w:lang w:val="en-US" w:eastAsia="zh-CN"/>
        </w:rPr>
        <w:t>生产基础信息</w:t>
      </w:r>
    </w:p>
    <w:p w14:paraId="325B274F">
      <w:pPr>
        <w:bidi w:val="0"/>
        <w:rPr>
          <w:rFonts w:hint="default"/>
          <w:color w:val="auto"/>
        </w:rPr>
      </w:pPr>
      <w:r>
        <w:rPr>
          <w:rFonts w:hint="default"/>
          <w:color w:val="auto"/>
          <w:lang w:val="en-US" w:eastAsia="zh-CN"/>
        </w:rPr>
        <w:t>生产误时原因配置：生产效率分析与优化的 “原因分类管理中枢” 功能。它允许管理员对生产过程中各类误时事件的原因进行标准化分类与维护，涵盖原材料、人员、设备、运维、工艺及其他误时六大核心类别。</w:t>
      </w:r>
    </w:p>
    <w:p w14:paraId="71F85F73">
      <w:pPr>
        <w:bidi w:val="0"/>
        <w:rPr>
          <w:rFonts w:hint="default"/>
          <w:color w:val="auto"/>
        </w:rPr>
      </w:pPr>
      <w:r>
        <w:rPr>
          <w:rFonts w:hint="default"/>
          <w:color w:val="auto"/>
          <w:lang w:val="en-US" w:eastAsia="zh-CN"/>
        </w:rPr>
        <w:t>该功能支持对每一类误时原因进行新增、编辑与删除操作，例如在 “原材料误时原因” 类别下，可维护 “顶盖 - 纸袋粘黏”“空罐 - 印刷不良 / 倒置” 等具体原因，并可添加备注说明。</w:t>
      </w:r>
    </w:p>
    <w:p w14:paraId="0EDECA56">
      <w:pPr>
        <w:bidi w:val="0"/>
        <w:rPr>
          <w:rFonts w:hint="default"/>
          <w:color w:val="auto"/>
        </w:rPr>
      </w:pPr>
      <w:r>
        <w:rPr>
          <w:rFonts w:hint="default"/>
          <w:color w:val="auto"/>
          <w:lang w:val="en-US" w:eastAsia="zh-CN"/>
        </w:rPr>
        <w:t>通过建立统一的误时原因标准库，此功能为后续生产数据采集、效率分析与瓶颈定位提供了结构化的分类依据，能够帮助企业精准识别生产延误的核心诱因，为优化生产流程、提升生产效率提供坚实的数据支撑</w:t>
      </w:r>
    </w:p>
    <w:p w14:paraId="500FB32A">
      <w:pPr>
        <w:pStyle w:val="33"/>
        <w:rPr>
          <w:rFonts w:hint="eastAsia"/>
          <w:color w:val="auto"/>
          <w:lang w:val="en-US" w:eastAsia="zh-CN"/>
        </w:rPr>
      </w:pPr>
    </w:p>
    <w:p w14:paraId="107FA855">
      <w:pPr>
        <w:pStyle w:val="33"/>
        <w:rPr>
          <w:rFonts w:hint="default"/>
          <w:color w:val="auto"/>
          <w:lang w:val="en-US" w:eastAsia="zh-CN"/>
        </w:rPr>
      </w:pPr>
      <w:r>
        <w:drawing>
          <wp:inline distT="0" distB="0" distL="114300" distR="114300">
            <wp:extent cx="5264785" cy="2325370"/>
            <wp:effectExtent l="0" t="0" r="12065" b="17780"/>
            <wp:docPr id="1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5"/>
                    <pic:cNvPicPr>
                      <a:picLocks noChangeAspect="1"/>
                    </pic:cNvPicPr>
                  </pic:nvPicPr>
                  <pic:blipFill>
                    <a:blip r:embed="rId43"/>
                    <a:stretch>
                      <a:fillRect/>
                    </a:stretch>
                  </pic:blipFill>
                  <pic:spPr>
                    <a:xfrm>
                      <a:off x="0" y="0"/>
                      <a:ext cx="5264785" cy="2325370"/>
                    </a:xfrm>
                    <a:prstGeom prst="rect">
                      <a:avLst/>
                    </a:prstGeom>
                    <a:noFill/>
                    <a:ln>
                      <a:noFill/>
                    </a:ln>
                  </pic:spPr>
                </pic:pic>
              </a:graphicData>
            </a:graphic>
          </wp:inline>
        </w:drawing>
      </w:r>
    </w:p>
    <w:p w14:paraId="772C9FF5">
      <w:pPr>
        <w:bidi w:val="0"/>
        <w:ind w:left="0" w:leftChars="0" w:firstLine="0" w:firstLineChars="0"/>
        <w:rPr>
          <w:rFonts w:hint="default"/>
          <w:color w:val="auto"/>
        </w:rPr>
      </w:pPr>
    </w:p>
    <w:p w14:paraId="5B6262F4">
      <w:pPr>
        <w:bidi w:val="0"/>
        <w:rPr>
          <w:rFonts w:hint="default"/>
          <w:color w:val="auto"/>
        </w:rPr>
      </w:pPr>
      <w:r>
        <w:rPr>
          <w:rFonts w:hint="default"/>
          <w:color w:val="auto"/>
          <w:lang w:val="en-US" w:eastAsia="zh-CN"/>
        </w:rPr>
        <w:t>配方货品管理是生产型企业核心物料的 “标准化管控中枢” 功能，专为配方类物料的全生命周期管理设计，支撑生产流程的精准化与规范化。</w:t>
      </w:r>
    </w:p>
    <w:p w14:paraId="023863A8">
      <w:pPr>
        <w:bidi w:val="0"/>
        <w:rPr>
          <w:rFonts w:hint="default"/>
          <w:color w:val="auto"/>
        </w:rPr>
      </w:pPr>
      <w:r>
        <w:rPr>
          <w:rFonts w:hint="default"/>
          <w:color w:val="auto"/>
        </w:rPr>
        <w:t>核心能力</w:t>
      </w:r>
    </w:p>
    <w:p w14:paraId="5F440F4D">
      <w:pPr>
        <w:bidi w:val="0"/>
        <w:rPr>
          <w:rFonts w:hint="default"/>
          <w:color w:val="auto"/>
        </w:rPr>
      </w:pPr>
      <w:r>
        <w:rPr>
          <w:rFonts w:hint="default"/>
          <w:color w:val="auto"/>
        </w:rPr>
        <w:t>多维度精准检索：支持通过关键字（条码 / 货品名称）、分类等条件快速定位目标配方货品，提升物料查找效率。</w:t>
      </w:r>
    </w:p>
    <w:p w14:paraId="1C935825">
      <w:pPr>
        <w:bidi w:val="0"/>
        <w:rPr>
          <w:rFonts w:hint="default"/>
          <w:color w:val="auto"/>
        </w:rPr>
      </w:pPr>
      <w:r>
        <w:rPr>
          <w:rFonts w:hint="default"/>
          <w:color w:val="auto"/>
        </w:rPr>
        <w:t>全生命周期操作：提供新建货品、导入货品、打印标签、编辑、删除等完整操作能力，满足配方货品从新增到淘汰的全流程管理需求。</w:t>
      </w:r>
    </w:p>
    <w:p w14:paraId="32A2F78E">
      <w:pPr>
        <w:bidi w:val="0"/>
        <w:rPr>
          <w:rFonts w:hint="default"/>
          <w:color w:val="auto"/>
        </w:rPr>
      </w:pPr>
      <w:r>
        <w:rPr>
          <w:rFonts w:hint="default"/>
          <w:color w:val="auto"/>
        </w:rPr>
        <w:t>标准化信息维护：系统记录条码、名称、规格型号、分类、计量单位、保质期、保质期预警等核心属性，保障配方物料信息的一致性与可追溯性。</w:t>
      </w:r>
    </w:p>
    <w:p w14:paraId="72AC6A4D">
      <w:pPr>
        <w:bidi w:val="0"/>
        <w:spacing w:line="240" w:lineRule="auto"/>
        <w:ind w:left="0" w:leftChars="0" w:firstLine="0" w:firstLineChars="0"/>
        <w:rPr>
          <w:rFonts w:hint="eastAsia" w:eastAsia="仿宋_GB2312"/>
          <w:color w:val="auto"/>
          <w:lang w:eastAsia="zh-CN"/>
        </w:rPr>
      </w:pPr>
      <w:r>
        <w:rPr>
          <w:rFonts w:hint="eastAsia" w:eastAsia="仿宋_GB2312"/>
          <w:color w:val="auto"/>
          <w:lang w:eastAsia="zh-CN"/>
        </w:rPr>
        <w:drawing>
          <wp:inline distT="0" distB="0" distL="114300" distR="114300">
            <wp:extent cx="5268595" cy="2317750"/>
            <wp:effectExtent l="0" t="0" r="8255" b="6350"/>
            <wp:docPr id="120" name="图片 120" descr="Snipaste_2026-02-03_19-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Snipaste_2026-02-03_19-04-14"/>
                    <pic:cNvPicPr>
                      <a:picLocks noChangeAspect="1"/>
                    </pic:cNvPicPr>
                  </pic:nvPicPr>
                  <pic:blipFill>
                    <a:blip r:embed="rId44"/>
                    <a:stretch>
                      <a:fillRect/>
                    </a:stretch>
                  </pic:blipFill>
                  <pic:spPr>
                    <a:xfrm>
                      <a:off x="0" y="0"/>
                      <a:ext cx="5268595" cy="2317750"/>
                    </a:xfrm>
                    <a:prstGeom prst="rect">
                      <a:avLst/>
                    </a:prstGeom>
                  </pic:spPr>
                </pic:pic>
              </a:graphicData>
            </a:graphic>
          </wp:inline>
        </w:drawing>
      </w:r>
    </w:p>
    <w:p w14:paraId="6590A001">
      <w:pPr>
        <w:bidi w:val="0"/>
        <w:rPr>
          <w:rFonts w:hint="default"/>
          <w:color w:val="auto"/>
        </w:rPr>
      </w:pPr>
      <w:r>
        <w:rPr>
          <w:rFonts w:hint="default"/>
          <w:color w:val="auto"/>
          <w:lang w:val="en-US" w:eastAsia="zh-CN"/>
        </w:rPr>
        <w:t>产品名称管理是企业产品全链路管理的 “基础信息标准化中枢” 功能，用于统一维护产品的核心基础信息，保障生产、库存、销售等各业务环节信息的一致性。</w:t>
      </w:r>
    </w:p>
    <w:p w14:paraId="1E215187">
      <w:pPr>
        <w:bidi w:val="0"/>
        <w:rPr>
          <w:rFonts w:hint="default"/>
          <w:color w:val="auto"/>
        </w:rPr>
      </w:pPr>
      <w:r>
        <w:rPr>
          <w:rFonts w:hint="default"/>
          <w:color w:val="auto"/>
        </w:rPr>
        <w:t>核心能力</w:t>
      </w:r>
    </w:p>
    <w:p w14:paraId="78691080">
      <w:pPr>
        <w:bidi w:val="0"/>
        <w:rPr>
          <w:rFonts w:hint="default"/>
          <w:color w:val="auto"/>
        </w:rPr>
      </w:pPr>
      <w:r>
        <w:rPr>
          <w:rFonts w:hint="default"/>
          <w:color w:val="auto"/>
        </w:rPr>
        <w:t>精准检索定位：支持通过产品名称关键字快速检索目标产品，提升信息查询效率。</w:t>
      </w:r>
    </w:p>
    <w:p w14:paraId="4C45AEA4">
      <w:pPr>
        <w:bidi w:val="0"/>
        <w:rPr>
          <w:rFonts w:hint="default"/>
          <w:color w:val="auto"/>
        </w:rPr>
      </w:pPr>
      <w:r>
        <w:rPr>
          <w:rFonts w:hint="default"/>
          <w:color w:val="auto"/>
        </w:rPr>
        <w:t>全生命周期管控：提供新增、编辑、禁用等完整操作能力，覆盖产品从创建到淘汰的全流程状态管理。</w:t>
      </w:r>
    </w:p>
    <w:p w14:paraId="59B10DE3">
      <w:pPr>
        <w:bidi w:val="0"/>
        <w:rPr>
          <w:rFonts w:hint="default"/>
          <w:color w:val="auto"/>
        </w:rPr>
      </w:pPr>
      <w:r>
        <w:rPr>
          <w:rFonts w:hint="default"/>
          <w:color w:val="auto"/>
        </w:rPr>
        <w:t>标准化信息维护：系统记录产品名称、单罐规格、包装规格、产品大类、产品小类、状态、创建与更新日志等核心属性，确保产品信息的完整性与可追溯性。</w:t>
      </w:r>
    </w:p>
    <w:p w14:paraId="48007656">
      <w:pPr>
        <w:bidi w:val="0"/>
        <w:rPr>
          <w:rFonts w:hint="default"/>
          <w:color w:val="auto"/>
        </w:rPr>
      </w:pPr>
      <w:r>
        <w:rPr>
          <w:rFonts w:hint="default"/>
          <w:color w:val="auto"/>
        </w:rPr>
        <w:t>功能价值</w:t>
      </w:r>
    </w:p>
    <w:p w14:paraId="1C9E4596">
      <w:pPr>
        <w:bidi w:val="0"/>
        <w:rPr>
          <w:rFonts w:hint="eastAsia"/>
          <w:color w:val="auto"/>
          <w:lang w:eastAsia="zh-CN"/>
        </w:rPr>
      </w:pPr>
      <w:r>
        <w:rPr>
          <w:rFonts w:hint="default"/>
          <w:color w:val="auto"/>
          <w:lang w:val="en-US" w:eastAsia="zh-CN"/>
        </w:rPr>
        <w:t>通过建立统一的产品信息标准库，该功能为下游业务环节提供了一致的基础数据支撑，避免了信息不一致导致的业务混乱，是提升企业数字化管理规范性的关键工具。</w:t>
      </w:r>
    </w:p>
    <w:p w14:paraId="1E32FF6D">
      <w:pPr>
        <w:bidi w:val="0"/>
        <w:spacing w:line="240" w:lineRule="auto"/>
        <w:ind w:left="0" w:leftChars="0" w:firstLine="0" w:firstLineChars="0"/>
        <w:rPr>
          <w:rFonts w:hint="eastAsia" w:eastAsia="仿宋_GB2312"/>
          <w:color w:val="auto"/>
          <w:lang w:eastAsia="zh-CN"/>
        </w:rPr>
      </w:pPr>
      <w:r>
        <w:drawing>
          <wp:inline distT="0" distB="0" distL="114300" distR="114300">
            <wp:extent cx="5268595" cy="1397635"/>
            <wp:effectExtent l="0" t="0" r="8255" b="12065"/>
            <wp:docPr id="12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8"/>
                    <pic:cNvPicPr>
                      <a:picLocks noChangeAspect="1"/>
                    </pic:cNvPicPr>
                  </pic:nvPicPr>
                  <pic:blipFill>
                    <a:blip r:embed="rId45"/>
                    <a:stretch>
                      <a:fillRect/>
                    </a:stretch>
                  </pic:blipFill>
                  <pic:spPr>
                    <a:xfrm>
                      <a:off x="0" y="0"/>
                      <a:ext cx="5268595" cy="1397635"/>
                    </a:xfrm>
                    <a:prstGeom prst="rect">
                      <a:avLst/>
                    </a:prstGeom>
                    <a:noFill/>
                    <a:ln>
                      <a:noFill/>
                    </a:ln>
                  </pic:spPr>
                </pic:pic>
              </a:graphicData>
            </a:graphic>
          </wp:inline>
        </w:drawing>
      </w:r>
    </w:p>
    <w:p w14:paraId="17F5226E">
      <w:pPr>
        <w:bidi w:val="0"/>
        <w:rPr>
          <w:rFonts w:hint="default"/>
          <w:color w:val="auto"/>
        </w:rPr>
      </w:pPr>
      <w:r>
        <w:rPr>
          <w:rFonts w:hint="default"/>
          <w:color w:val="auto"/>
          <w:lang w:val="en-US" w:eastAsia="zh-CN"/>
        </w:rPr>
        <w:t>维保项目管理是企业设备运维体系的 “标准化作业库中枢” 功能，用于统一规范设备维护保养的类型、项目与内容，支撑运维工作的标准化、可追溯性与高效执行。</w:t>
      </w:r>
    </w:p>
    <w:p w14:paraId="629FC9F6">
      <w:pPr>
        <w:bidi w:val="0"/>
        <w:rPr>
          <w:rFonts w:hint="default"/>
          <w:color w:val="auto"/>
        </w:rPr>
      </w:pPr>
      <w:r>
        <w:rPr>
          <w:rFonts w:hint="default"/>
          <w:color w:val="auto"/>
        </w:rPr>
        <w:t>核心能力</w:t>
      </w:r>
    </w:p>
    <w:p w14:paraId="2FFC45E9">
      <w:pPr>
        <w:bidi w:val="0"/>
        <w:rPr>
          <w:rFonts w:hint="default"/>
          <w:color w:val="auto"/>
        </w:rPr>
      </w:pPr>
      <w:r>
        <w:rPr>
          <w:rFonts w:hint="default"/>
          <w:color w:val="auto"/>
        </w:rPr>
        <w:t>精准检索定位：支持通过维保类型、维保项目关键字快速检索目标维保内容，大幅提升运维人员的信息查询效率。</w:t>
      </w:r>
    </w:p>
    <w:p w14:paraId="66F5636C">
      <w:pPr>
        <w:bidi w:val="0"/>
        <w:rPr>
          <w:rFonts w:hint="default"/>
          <w:color w:val="auto"/>
        </w:rPr>
      </w:pPr>
      <w:r>
        <w:rPr>
          <w:rFonts w:hint="default"/>
          <w:color w:val="auto"/>
        </w:rPr>
        <w:t>全生命周期管控：提供新增、编辑、删除等完整操作能力，覆盖维保项目从创建到淘汰的全流程状态管理。</w:t>
      </w:r>
    </w:p>
    <w:p w14:paraId="3CBE40A6">
      <w:pPr>
        <w:bidi w:val="0"/>
        <w:rPr>
          <w:rFonts w:hint="default"/>
          <w:color w:val="auto"/>
        </w:rPr>
      </w:pPr>
      <w:r>
        <w:rPr>
          <w:rFonts w:hint="default"/>
          <w:color w:val="auto"/>
        </w:rPr>
        <w:t>标准化信息维护：系统记录维保类型、维保项目、维保内容、创建人及创建时间等核心属性，确保每一项维保作业都有明确的标准和可追溯的信息。</w:t>
      </w:r>
    </w:p>
    <w:p w14:paraId="1242DEDE">
      <w:pPr>
        <w:bidi w:val="0"/>
        <w:rPr>
          <w:rFonts w:hint="default"/>
          <w:color w:val="auto"/>
        </w:rPr>
      </w:pPr>
      <w:r>
        <w:rPr>
          <w:rFonts w:hint="default"/>
          <w:color w:val="auto"/>
        </w:rPr>
        <w:t>功能价值</w:t>
      </w:r>
    </w:p>
    <w:p w14:paraId="4C329CC9">
      <w:pPr>
        <w:bidi w:val="0"/>
        <w:rPr>
          <w:rFonts w:hint="default"/>
          <w:color w:val="auto"/>
        </w:rPr>
      </w:pPr>
      <w:r>
        <w:rPr>
          <w:rFonts w:hint="default"/>
          <w:color w:val="auto"/>
          <w:lang w:val="en-US" w:eastAsia="zh-CN"/>
        </w:rPr>
        <w:t>通过建立统一的维保项目标准库，该功能有效规范了运维作业内容，减少了人为操作差异，提升了设备运维质量与效率。同时，标准化的维保数据也为后续运维成本分析、设备健康度评估提供了坚实的基础数据支撑</w:t>
      </w:r>
    </w:p>
    <w:p w14:paraId="5AD2FD65">
      <w:pPr>
        <w:bidi w:val="0"/>
        <w:spacing w:line="240" w:lineRule="auto"/>
        <w:ind w:left="0" w:leftChars="0" w:firstLine="0" w:firstLineChars="0"/>
        <w:rPr>
          <w:rFonts w:hint="eastAsia" w:eastAsia="仿宋_GB2312"/>
          <w:color w:val="auto"/>
          <w:lang w:eastAsia="zh-CN"/>
        </w:rPr>
      </w:pPr>
    </w:p>
    <w:p w14:paraId="397517FD">
      <w:pPr>
        <w:bidi w:val="0"/>
        <w:spacing w:line="240" w:lineRule="auto"/>
        <w:ind w:left="0" w:leftChars="0" w:firstLine="0" w:firstLineChars="0"/>
        <w:rPr>
          <w:rFonts w:hint="eastAsia" w:eastAsia="仿宋_GB2312"/>
          <w:color w:val="auto"/>
          <w:lang w:eastAsia="zh-CN"/>
        </w:rPr>
      </w:pPr>
      <w:r>
        <w:drawing>
          <wp:inline distT="0" distB="0" distL="114300" distR="114300">
            <wp:extent cx="5271770" cy="1982470"/>
            <wp:effectExtent l="0" t="0" r="5080" b="17780"/>
            <wp:docPr id="12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2"/>
                    <pic:cNvPicPr>
                      <a:picLocks noChangeAspect="1"/>
                    </pic:cNvPicPr>
                  </pic:nvPicPr>
                  <pic:blipFill>
                    <a:blip r:embed="rId46"/>
                    <a:stretch>
                      <a:fillRect/>
                    </a:stretch>
                  </pic:blipFill>
                  <pic:spPr>
                    <a:xfrm>
                      <a:off x="0" y="0"/>
                      <a:ext cx="5271770" cy="1982470"/>
                    </a:xfrm>
                    <a:prstGeom prst="rect">
                      <a:avLst/>
                    </a:prstGeom>
                    <a:noFill/>
                    <a:ln>
                      <a:noFill/>
                    </a:ln>
                  </pic:spPr>
                </pic:pic>
              </a:graphicData>
            </a:graphic>
          </wp:inline>
        </w:drawing>
      </w:r>
    </w:p>
    <w:p w14:paraId="21DA2E94">
      <w:pPr>
        <w:bidi w:val="0"/>
        <w:ind w:left="0" w:leftChars="0" w:firstLine="0" w:firstLineChars="0"/>
        <w:rPr>
          <w:rFonts w:hint="default"/>
          <w:color w:val="auto"/>
        </w:rPr>
      </w:pPr>
    </w:p>
    <w:p w14:paraId="0B3B48E0">
      <w:pPr>
        <w:pStyle w:val="4"/>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200" w:right="0" w:rightChars="0"/>
        <w:rPr>
          <w:color w:val="1F2329"/>
          <w:sz w:val="24"/>
          <w:szCs w:val="24"/>
        </w:rPr>
      </w:pPr>
      <w:r>
        <w:rPr>
          <w:color w:val="1F2329"/>
          <w:sz w:val="24"/>
          <w:szCs w:val="24"/>
        </w:rPr>
        <w:t>产日历管理功能介绍</w:t>
      </w:r>
    </w:p>
    <w:p w14:paraId="71E4C6C2">
      <w:pPr>
        <w:bidi w:val="0"/>
        <w:rPr>
          <w:rFonts w:hint="default"/>
          <w:color w:val="auto"/>
        </w:rPr>
      </w:pPr>
      <w:r>
        <w:rPr>
          <w:rFonts w:hint="default"/>
          <w:color w:val="auto"/>
          <w:lang w:val="en-US" w:eastAsia="zh-CN"/>
        </w:rPr>
        <w:t>生产日历管理是企业生产计划体系的 “基础时间基准中枢” 功能，用于统一维护不同产线在各月份的生产日历基准，为后续生产计划制定、排班管理与工时核算提供标准化的时间依据。</w:t>
      </w:r>
    </w:p>
    <w:p w14:paraId="65644BFA">
      <w:pPr>
        <w:bidi w:val="0"/>
        <w:rPr>
          <w:rFonts w:hint="default"/>
          <w:color w:val="auto"/>
        </w:rPr>
      </w:pPr>
      <w:r>
        <w:rPr>
          <w:rFonts w:hint="default"/>
          <w:color w:val="auto"/>
        </w:rPr>
        <w:t>心能力</w:t>
      </w:r>
    </w:p>
    <w:p w14:paraId="4079A621">
      <w:pPr>
        <w:bidi w:val="0"/>
        <w:rPr>
          <w:rFonts w:hint="default"/>
          <w:color w:val="auto"/>
        </w:rPr>
      </w:pPr>
      <w:r>
        <w:rPr>
          <w:rFonts w:hint="default"/>
          <w:color w:val="auto"/>
        </w:rPr>
        <w:t>多维度精准检索：支持通过月份、产线等条件快速定位目标生产日历，大幅提升生产计划人员的信息查询效率。</w:t>
      </w:r>
    </w:p>
    <w:p w14:paraId="2B23E058">
      <w:pPr>
        <w:bidi w:val="0"/>
        <w:rPr>
          <w:rFonts w:hint="default"/>
          <w:color w:val="auto"/>
        </w:rPr>
      </w:pPr>
      <w:r>
        <w:rPr>
          <w:rFonts w:hint="default"/>
          <w:color w:val="auto"/>
        </w:rPr>
        <w:t>全生命周期管控：提供新增、编辑、删除等完整操作能力，覆盖生产日历从创建到更新的全流程状态管理。</w:t>
      </w:r>
    </w:p>
    <w:p w14:paraId="02AF7592">
      <w:pPr>
        <w:bidi w:val="0"/>
        <w:rPr>
          <w:rFonts w:hint="default"/>
          <w:color w:val="auto"/>
        </w:rPr>
      </w:pPr>
      <w:r>
        <w:rPr>
          <w:rFonts w:hint="default"/>
          <w:color w:val="auto"/>
        </w:rPr>
        <w:t>标准化信息维护：系统记录月份、产线、更新人、更新时间、制单人、创建时间等核心属性，确保生产日历信息的可追溯性与一致性。</w:t>
      </w:r>
    </w:p>
    <w:p w14:paraId="1DDB9340">
      <w:pPr>
        <w:bidi w:val="0"/>
        <w:rPr>
          <w:rFonts w:hint="default"/>
          <w:color w:val="auto"/>
        </w:rPr>
      </w:pPr>
      <w:r>
        <w:rPr>
          <w:rFonts w:hint="default"/>
          <w:color w:val="auto"/>
        </w:rPr>
        <w:t>功能价值</w:t>
      </w:r>
    </w:p>
    <w:p w14:paraId="1839BECB">
      <w:pPr>
        <w:bidi w:val="0"/>
        <w:rPr>
          <w:rFonts w:hint="default"/>
          <w:color w:val="auto"/>
        </w:rPr>
      </w:pPr>
      <w:r>
        <w:rPr>
          <w:rFonts w:hint="default"/>
          <w:color w:val="auto"/>
          <w:lang w:val="en-US" w:eastAsia="zh-CN"/>
        </w:rPr>
        <w:t>通过建立统一的生产日历标准，该功能为生产计划排程、人员排班、设备运维等业务提供了一致的时间基准，避免了因时间基准不统一导致的生产混乱，是提升生产协同效率、保障生产计划精准执行的关键工具。</w:t>
      </w:r>
    </w:p>
    <w:p w14:paraId="7666D152">
      <w:pPr>
        <w:bidi w:val="0"/>
        <w:spacing w:line="240" w:lineRule="auto"/>
        <w:ind w:left="0" w:leftChars="0" w:firstLine="0" w:firstLineChars="0"/>
        <w:rPr>
          <w:rFonts w:hint="eastAsia" w:eastAsia="仿宋_GB2312"/>
          <w:color w:val="auto"/>
          <w:lang w:eastAsia="zh-CN"/>
        </w:rPr>
      </w:pPr>
      <w:r>
        <w:rPr>
          <w:rFonts w:hint="eastAsia" w:eastAsia="仿宋_GB2312"/>
          <w:color w:val="auto"/>
          <w:lang w:eastAsia="zh-CN"/>
        </w:rPr>
        <w:drawing>
          <wp:inline distT="0" distB="0" distL="114300" distR="114300">
            <wp:extent cx="5259705" cy="1847215"/>
            <wp:effectExtent l="0" t="0" r="17145" b="635"/>
            <wp:docPr id="133" name="图片 133" descr="Snipaste_2026-02-03_19-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Snipaste_2026-02-03_19-10-44"/>
                    <pic:cNvPicPr>
                      <a:picLocks noChangeAspect="1"/>
                    </pic:cNvPicPr>
                  </pic:nvPicPr>
                  <pic:blipFill>
                    <a:blip r:embed="rId47"/>
                    <a:stretch>
                      <a:fillRect/>
                    </a:stretch>
                  </pic:blipFill>
                  <pic:spPr>
                    <a:xfrm>
                      <a:off x="0" y="0"/>
                      <a:ext cx="5259705" cy="1847215"/>
                    </a:xfrm>
                    <a:prstGeom prst="rect">
                      <a:avLst/>
                    </a:prstGeom>
                  </pic:spPr>
                </pic:pic>
              </a:graphicData>
            </a:graphic>
          </wp:inline>
        </w:drawing>
      </w:r>
    </w:p>
    <w:p w14:paraId="2DA8D69D">
      <w:pPr>
        <w:bidi w:val="0"/>
        <w:rPr>
          <w:rFonts w:hint="default"/>
          <w:color w:val="auto"/>
        </w:rPr>
      </w:pPr>
      <w:r>
        <w:rPr>
          <w:rFonts w:hint="default"/>
          <w:color w:val="auto"/>
        </w:rPr>
        <w:t>工序不合格品原因管理功能介绍</w:t>
      </w:r>
    </w:p>
    <w:p w14:paraId="617D68E6">
      <w:pPr>
        <w:bidi w:val="0"/>
        <w:rPr>
          <w:rFonts w:hint="default"/>
          <w:color w:val="auto"/>
        </w:rPr>
      </w:pPr>
      <w:r>
        <w:rPr>
          <w:rFonts w:hint="default"/>
          <w:color w:val="auto"/>
          <w:lang w:val="en-US" w:eastAsia="zh-CN"/>
        </w:rPr>
        <w:t>工序不合格品原因管理是企业生产质量管控体系的 “不合格原因标准化中枢” 功能，用于统一维护各生产工序中产生不合格品的原因分类，为质量问题追溯、分析与改进提供结构化的基础依据。</w:t>
      </w:r>
    </w:p>
    <w:p w14:paraId="3CE8D2EA">
      <w:pPr>
        <w:bidi w:val="0"/>
        <w:rPr>
          <w:rFonts w:hint="default"/>
          <w:color w:val="auto"/>
        </w:rPr>
      </w:pPr>
      <w:r>
        <w:rPr>
          <w:rFonts w:hint="default"/>
          <w:color w:val="auto"/>
        </w:rPr>
        <w:t>核心能力</w:t>
      </w:r>
    </w:p>
    <w:p w14:paraId="36174612">
      <w:pPr>
        <w:bidi w:val="0"/>
        <w:rPr>
          <w:rFonts w:hint="default"/>
          <w:color w:val="auto"/>
        </w:rPr>
      </w:pPr>
      <w:r>
        <w:rPr>
          <w:rFonts w:hint="default"/>
          <w:color w:val="auto"/>
        </w:rPr>
        <w:t>多维度精准检索：支持通过工序、原因关键字、状态等条件快速定位目标不合格原因，大幅提升质量管理人员的信息查询效率。</w:t>
      </w:r>
    </w:p>
    <w:p w14:paraId="7BE26F05">
      <w:pPr>
        <w:bidi w:val="0"/>
        <w:rPr>
          <w:rFonts w:hint="default"/>
          <w:color w:val="auto"/>
        </w:rPr>
      </w:pPr>
      <w:r>
        <w:rPr>
          <w:rFonts w:hint="default"/>
          <w:color w:val="auto"/>
        </w:rPr>
        <w:t>全生命周期管控：提供新增、编辑、禁用等完整操作能力，覆盖不合格品原因从创建到淘汰的全流程状态管理，确保原因库的时效性与准确性。</w:t>
      </w:r>
    </w:p>
    <w:p w14:paraId="003FF31F">
      <w:pPr>
        <w:bidi w:val="0"/>
        <w:rPr>
          <w:rFonts w:hint="default"/>
          <w:color w:val="auto"/>
        </w:rPr>
      </w:pPr>
      <w:r>
        <w:rPr>
          <w:rFonts w:hint="default"/>
          <w:color w:val="auto"/>
        </w:rPr>
        <w:t>标准化信息维护：系统记录工序、原因、更新人、更新时间、制单人、创建时间、状态等核心属性，确保每一条不合格原因都具备可追溯性与一致性。</w:t>
      </w:r>
    </w:p>
    <w:p w14:paraId="70419105">
      <w:pPr>
        <w:bidi w:val="0"/>
        <w:rPr>
          <w:rFonts w:hint="default"/>
          <w:color w:val="auto"/>
        </w:rPr>
      </w:pPr>
      <w:r>
        <w:rPr>
          <w:rFonts w:hint="default"/>
          <w:color w:val="auto"/>
        </w:rPr>
        <w:t>功能价值</w:t>
      </w:r>
    </w:p>
    <w:p w14:paraId="0D7A1572">
      <w:pPr>
        <w:bidi w:val="0"/>
        <w:rPr>
          <w:rFonts w:hint="eastAsia"/>
          <w:color w:val="auto"/>
          <w:lang w:eastAsia="zh-CN"/>
        </w:rPr>
      </w:pPr>
      <w:r>
        <w:rPr>
          <w:rFonts w:hint="default"/>
          <w:color w:val="auto"/>
          <w:lang w:val="en-US" w:eastAsia="zh-CN"/>
        </w:rPr>
        <w:t>通过建立统一的不合格品原因标准库，该功能使生产质量问题的记录与分析更具规范性，能够帮助企业精准定位各工序的质量瓶颈，为后续质量改进措施的制定提供数据支撑，从而持续提升生产质量的稳定性与可靠性。</w:t>
      </w:r>
    </w:p>
    <w:p w14:paraId="3BF7B33D">
      <w:pPr>
        <w:bidi w:val="0"/>
        <w:spacing w:line="240" w:lineRule="auto"/>
        <w:ind w:left="0" w:leftChars="0" w:firstLine="0" w:firstLineChars="0"/>
      </w:pPr>
      <w:r>
        <w:drawing>
          <wp:inline distT="0" distB="0" distL="114300" distR="114300">
            <wp:extent cx="5268595" cy="2058670"/>
            <wp:effectExtent l="0" t="0" r="8255" b="17780"/>
            <wp:docPr id="13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0"/>
                    <pic:cNvPicPr>
                      <a:picLocks noChangeAspect="1"/>
                    </pic:cNvPicPr>
                  </pic:nvPicPr>
                  <pic:blipFill>
                    <a:blip r:embed="rId48"/>
                    <a:stretch>
                      <a:fillRect/>
                    </a:stretch>
                  </pic:blipFill>
                  <pic:spPr>
                    <a:xfrm>
                      <a:off x="0" y="0"/>
                      <a:ext cx="5268595" cy="2058670"/>
                    </a:xfrm>
                    <a:prstGeom prst="rect">
                      <a:avLst/>
                    </a:prstGeom>
                    <a:noFill/>
                    <a:ln>
                      <a:noFill/>
                    </a:ln>
                  </pic:spPr>
                </pic:pic>
              </a:graphicData>
            </a:graphic>
          </wp:inline>
        </w:drawing>
      </w:r>
    </w:p>
    <w:p w14:paraId="562ADEE7">
      <w:pPr>
        <w:bidi w:val="0"/>
        <w:spacing w:line="240" w:lineRule="auto"/>
        <w:ind w:left="0" w:leftChars="0" w:firstLine="0" w:firstLineChars="0"/>
        <w:rPr>
          <w:rFonts w:hint="eastAsia"/>
          <w:lang w:eastAsia="zh-CN"/>
        </w:rPr>
      </w:pPr>
    </w:p>
    <w:p w14:paraId="44012738">
      <w:pPr>
        <w:bidi w:val="0"/>
        <w:rPr>
          <w:rFonts w:hint="default"/>
          <w:color w:val="auto"/>
        </w:rPr>
      </w:pPr>
      <w:r>
        <w:rPr>
          <w:rFonts w:hint="default"/>
          <w:color w:val="auto"/>
          <w:lang w:val="en-US" w:eastAsia="zh-CN"/>
        </w:rPr>
        <w:t>这是生产质量管控体系的 “检验标准配置中枢” 功能，用于精细化定义产品在单罐和整批维度的质量检验阈值与抽样规则，为生产过程中的质量检验提供精准、统一的判定依据。</w:t>
      </w:r>
    </w:p>
    <w:p w14:paraId="7D1FD349">
      <w:pPr>
        <w:bidi w:val="0"/>
        <w:rPr>
          <w:rFonts w:hint="default"/>
          <w:color w:val="auto"/>
        </w:rPr>
      </w:pPr>
      <w:r>
        <w:rPr>
          <w:rFonts w:hint="default"/>
          <w:color w:val="auto"/>
        </w:rPr>
        <w:t>核心能力</w:t>
      </w:r>
    </w:p>
    <w:p w14:paraId="6C8AE81C">
      <w:pPr>
        <w:bidi w:val="0"/>
        <w:rPr>
          <w:rFonts w:hint="default"/>
          <w:color w:val="auto"/>
        </w:rPr>
      </w:pPr>
      <w:r>
        <w:rPr>
          <w:rFonts w:hint="default"/>
          <w:color w:val="auto"/>
        </w:rPr>
        <w:t>多维度标准配置：支持两大核心维度的标准定义</w:t>
      </w:r>
    </w:p>
    <w:p w14:paraId="2E1C0692">
      <w:pPr>
        <w:bidi w:val="0"/>
        <w:rPr>
          <w:rFonts w:hint="default"/>
          <w:color w:val="auto"/>
        </w:rPr>
      </w:pPr>
      <w:r>
        <w:rPr>
          <w:rFonts w:hint="default"/>
          <w:color w:val="auto"/>
        </w:rPr>
        <w:t>单罐标准：可设置单罐体积的合格范围（如 245.00ml–270.00ml），明确单个产品的质量判定边界。</w:t>
      </w:r>
    </w:p>
    <w:p w14:paraId="1ED6F1E3">
      <w:pPr>
        <w:bidi w:val="0"/>
        <w:rPr>
          <w:rFonts w:hint="default"/>
          <w:color w:val="auto"/>
        </w:rPr>
      </w:pPr>
      <w:r>
        <w:rPr>
          <w:rFonts w:hint="default"/>
          <w:color w:val="auto"/>
        </w:rPr>
        <w:t>整批标准：可配置整批产品的称重次数、平均净含量阈值，并通过多档体积阈值与对应抽样比例（如体积 &gt; 245.00ml 时抽样比例 100%，&gt;250.00ml 时 70%），实现质量风险的分级管控。</w:t>
      </w:r>
    </w:p>
    <w:p w14:paraId="6618AB1A">
      <w:pPr>
        <w:bidi w:val="0"/>
        <w:rPr>
          <w:rFonts w:hint="default"/>
          <w:color w:val="auto"/>
        </w:rPr>
      </w:pPr>
      <w:r>
        <w:rPr>
          <w:rFonts w:hint="default"/>
          <w:color w:val="auto"/>
        </w:rPr>
        <w:t>分级判定规则：通过阶梯式的抽样比例设计，在保障质量的同时优化检验效率，避免过度抽样造成的资源浪费。</w:t>
      </w:r>
    </w:p>
    <w:p w14:paraId="4F460B03">
      <w:pPr>
        <w:bidi w:val="0"/>
        <w:rPr>
          <w:rFonts w:hint="default"/>
          <w:color w:val="auto"/>
        </w:rPr>
      </w:pPr>
      <w:r>
        <w:rPr>
          <w:rFonts w:hint="default"/>
          <w:color w:val="auto"/>
        </w:rPr>
        <w:t>标准化信息维护：系统统一记录标准名称、各类阈值与比例参数，确保检验标准在全生产链路中的一致性与可追溯性，消除人为判定的随意性。</w:t>
      </w:r>
    </w:p>
    <w:p w14:paraId="5513056C">
      <w:pPr>
        <w:bidi w:val="0"/>
        <w:rPr>
          <w:rFonts w:hint="default"/>
          <w:color w:val="auto"/>
        </w:rPr>
      </w:pPr>
      <w:r>
        <w:rPr>
          <w:rFonts w:hint="default"/>
          <w:color w:val="auto"/>
        </w:rPr>
        <w:t>功能价值</w:t>
      </w:r>
    </w:p>
    <w:p w14:paraId="01AB28F3">
      <w:pPr>
        <w:bidi w:val="0"/>
        <w:rPr>
          <w:rFonts w:hint="default"/>
          <w:color w:val="auto"/>
        </w:rPr>
      </w:pPr>
      <w:r>
        <w:rPr>
          <w:rFonts w:hint="default"/>
          <w:color w:val="auto"/>
          <w:lang w:val="en-US" w:eastAsia="zh-CN"/>
        </w:rPr>
        <w:t>通过明确的检验标准与分级抽样规则，该功能规范了质量检验流程，提升了检验效率与准确性，同时为后续质量数据的分析、问题追溯与持续改进提供了坚实的基础，是保障产品质量稳定性、降低质量风险的关键工具。</w:t>
      </w:r>
    </w:p>
    <w:p w14:paraId="02CDEFC4">
      <w:pPr>
        <w:bidi w:val="0"/>
        <w:spacing w:line="240" w:lineRule="auto"/>
        <w:ind w:left="0" w:leftChars="0" w:firstLine="0" w:firstLineChars="0"/>
        <w:rPr>
          <w:rFonts w:hint="default"/>
          <w:color w:val="auto"/>
        </w:rPr>
      </w:pPr>
      <w:r>
        <w:rPr>
          <w:rFonts w:hint="eastAsia" w:eastAsia="仿宋_GB2312"/>
          <w:color w:val="auto"/>
          <w:lang w:eastAsia="zh-CN"/>
        </w:rPr>
        <w:drawing>
          <wp:inline distT="0" distB="0" distL="114300" distR="114300">
            <wp:extent cx="5271135" cy="2218055"/>
            <wp:effectExtent l="0" t="0" r="5715" b="10795"/>
            <wp:docPr id="138" name="图片 138" descr="Snipaste_2026-02-03_19-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Snipaste_2026-02-03_19-13-57"/>
                    <pic:cNvPicPr>
                      <a:picLocks noChangeAspect="1"/>
                    </pic:cNvPicPr>
                  </pic:nvPicPr>
                  <pic:blipFill>
                    <a:blip r:embed="rId49"/>
                    <a:stretch>
                      <a:fillRect/>
                    </a:stretch>
                  </pic:blipFill>
                  <pic:spPr>
                    <a:xfrm>
                      <a:off x="0" y="0"/>
                      <a:ext cx="5271135" cy="2218055"/>
                    </a:xfrm>
                    <a:prstGeom prst="rect">
                      <a:avLst/>
                    </a:prstGeom>
                  </pic:spPr>
                </pic:pic>
              </a:graphicData>
            </a:graphic>
          </wp:inline>
        </w:drawing>
      </w:r>
    </w:p>
    <w:p w14:paraId="413850C3">
      <w:pPr>
        <w:pStyle w:val="37"/>
        <w:bidi w:val="0"/>
        <w:rPr>
          <w:rFonts w:hint="default"/>
          <w:color w:val="auto"/>
        </w:rPr>
      </w:pPr>
      <w:r>
        <w:rPr>
          <w:rFonts w:hint="default"/>
          <w:color w:val="auto"/>
        </w:rPr>
        <w:t>制糖模块</w:t>
      </w:r>
      <w:r>
        <w:rPr>
          <w:rFonts w:hint="eastAsia"/>
          <w:color w:val="auto"/>
          <w:lang w:eastAsia="zh-CN"/>
        </w:rPr>
        <w:t>（</w:t>
      </w:r>
      <w:r>
        <w:rPr>
          <w:rFonts w:hint="eastAsia"/>
          <w:color w:val="auto"/>
          <w:lang w:val="en-US" w:eastAsia="zh-CN"/>
        </w:rPr>
        <w:t>定制开发</w:t>
      </w:r>
      <w:r>
        <w:rPr>
          <w:rFonts w:hint="eastAsia"/>
          <w:color w:val="auto"/>
          <w:lang w:eastAsia="zh-CN"/>
        </w:rPr>
        <w:t>）</w:t>
      </w:r>
    </w:p>
    <w:p w14:paraId="5687C7D8">
      <w:pPr>
        <w:bidi w:val="0"/>
        <w:rPr>
          <w:rFonts w:hint="default"/>
          <w:color w:val="auto"/>
        </w:rPr>
      </w:pPr>
      <w:r>
        <w:rPr>
          <w:rFonts w:hint="default"/>
          <w:color w:val="auto"/>
        </w:rPr>
        <w:t>该模块聚焦制糖环节的全流程管控，通过多类型表单实现液体糖管理、离子交换工艺、CIP 清洁及溶糖生产的数字化管理，助力企业保障制糖工艺的稳定性、物料追溯的完整性与生产合规性。</w:t>
      </w:r>
    </w:p>
    <w:p w14:paraId="759E8ABF">
      <w:pPr>
        <w:numPr>
          <w:ilvl w:val="0"/>
          <w:numId w:val="16"/>
        </w:numPr>
        <w:bidi w:val="0"/>
        <w:ind w:left="420" w:leftChars="0" w:hanging="420" w:firstLineChars="0"/>
        <w:rPr>
          <w:rFonts w:hint="default"/>
          <w:color w:val="auto"/>
        </w:rPr>
      </w:pPr>
      <w:r>
        <w:rPr>
          <w:rFonts w:hint="default"/>
          <w:color w:val="auto"/>
        </w:rPr>
        <w:t>制糖车间 CIP工序记录</w:t>
      </w:r>
    </w:p>
    <w:p w14:paraId="6A855C1E">
      <w:pPr>
        <w:bidi w:val="0"/>
        <w:rPr>
          <w:rFonts w:hint="default"/>
          <w:color w:val="auto"/>
        </w:rPr>
      </w:pPr>
      <w:r>
        <w:rPr>
          <w:rFonts w:hint="default"/>
          <w:color w:val="auto"/>
        </w:rPr>
        <w:t>该表单用于精准记录 CIP 清洗的工艺参数、卫生清洁验证、水质检测及清洁结论，保障制糖设备清洁度与生产合规性，为糖品质量安全筑牢基础。</w:t>
      </w:r>
    </w:p>
    <w:p w14:paraId="5465A370">
      <w:pPr>
        <w:bidi w:val="0"/>
        <w:rPr>
          <w:rFonts w:hint="default"/>
          <w:color w:val="auto"/>
        </w:rPr>
      </w:pPr>
      <w:r>
        <w:rPr>
          <w:rFonts w:hint="default"/>
          <w:color w:val="auto"/>
        </w:rPr>
        <w:t>功能定位：围绕制糖车间 CIP 清洗的全周期管理，整合清洗基础信息（日期、清洗方式）、工序记录（清洗液、各设备单元的清洗时间与参数）、卫生清洁验证（设备外观、环境消毒、除垢情况等）、水质检测（pH、余氯、二氧化氯、微生物等）及清洁结论，实现 CIP 清洗从启动到验证的全流程数据闭环管理。</w:t>
      </w:r>
    </w:p>
    <w:p w14:paraId="76E15B1B">
      <w:pPr>
        <w:bidi w:val="0"/>
        <w:rPr>
          <w:rFonts w:hint="default"/>
          <w:color w:val="auto"/>
        </w:rPr>
      </w:pPr>
      <w:r>
        <w:rPr>
          <w:rFonts w:hint="default"/>
          <w:color w:val="auto"/>
        </w:rPr>
        <w:t>核心功能说明：</w:t>
      </w:r>
    </w:p>
    <w:p w14:paraId="6BC91AEE">
      <w:pPr>
        <w:bidi w:val="0"/>
        <w:rPr>
          <w:rFonts w:hint="default"/>
          <w:color w:val="auto"/>
        </w:rPr>
      </w:pPr>
      <w:r>
        <w:rPr>
          <w:rFonts w:hint="default"/>
          <w:color w:val="auto"/>
        </w:rPr>
        <w:t>工艺参数维度：记录清洗液类型、各设备单元（溶解罐、储罐、过滤器、RO水罐、离交罐、成品缸）的清洗时间与参数，确保CIP清洗工艺的标准化执行；</w:t>
      </w:r>
    </w:p>
    <w:p w14:paraId="5585CB5A">
      <w:pPr>
        <w:bidi w:val="0"/>
        <w:rPr>
          <w:rFonts w:hint="default"/>
          <w:color w:val="auto"/>
        </w:rPr>
      </w:pPr>
      <w:r>
        <w:rPr>
          <w:rFonts w:hint="default"/>
          <w:color w:val="auto"/>
        </w:rPr>
        <w:t>卫生验证维度：对设备外观、环境消毒、除垢情况等 5 项卫生指标进行“合格/不合格” 确认，保障清洗后设备与环境的卫生合规性；</w:t>
      </w:r>
    </w:p>
    <w:p w14:paraId="25B0D4E1">
      <w:pPr>
        <w:bidi w:val="0"/>
        <w:rPr>
          <w:rFonts w:hint="default"/>
          <w:color w:val="auto"/>
        </w:rPr>
      </w:pPr>
      <w:r>
        <w:rPr>
          <w:rFonts w:hint="default"/>
          <w:color w:val="auto"/>
        </w:rPr>
        <w:t>水质检测维度：通过水样 pH、余氯、二氧化氯、微生物等检测项目，量化验证CIP清洗的效果，确保设备清洁度满足制糖生产要求；</w:t>
      </w:r>
    </w:p>
    <w:p w14:paraId="69A4CE20">
      <w:pPr>
        <w:bidi w:val="0"/>
        <w:rPr>
          <w:rFonts w:hint="default"/>
          <w:color w:val="auto"/>
        </w:rPr>
      </w:pPr>
      <w:r>
        <w:rPr>
          <w:rFonts w:hint="default"/>
          <w:color w:val="auto"/>
        </w:rPr>
        <w:t>结论与权责维度：清洗结论的记录及 “保存”“提交确认”功能，明确CIP清洗的最终效果与责任主体，强化流程的可追溯性。</w:t>
      </w:r>
    </w:p>
    <w:p w14:paraId="71B1BF6D">
      <w:pPr>
        <w:pStyle w:val="42"/>
        <w:bidi w:val="0"/>
        <w:rPr>
          <w:rFonts w:hint="default"/>
          <w:color w:val="auto"/>
        </w:rPr>
      </w:pPr>
      <w:r>
        <w:rPr>
          <w:rFonts w:hint="default"/>
          <w:color w:val="auto"/>
        </w:rPr>
        <w:drawing>
          <wp:inline distT="0" distB="0" distL="114300" distR="114300">
            <wp:extent cx="5266690" cy="2615565"/>
            <wp:effectExtent l="0" t="0" r="6350" b="5715"/>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pic:cNvPicPr>
                  </pic:nvPicPr>
                  <pic:blipFill>
                    <a:blip r:embed="rId50"/>
                    <a:stretch>
                      <a:fillRect/>
                    </a:stretch>
                  </pic:blipFill>
                  <pic:spPr>
                    <a:xfrm>
                      <a:off x="0" y="0"/>
                      <a:ext cx="5266690" cy="2615565"/>
                    </a:xfrm>
                    <a:prstGeom prst="rect">
                      <a:avLst/>
                    </a:prstGeom>
                  </pic:spPr>
                </pic:pic>
              </a:graphicData>
            </a:graphic>
          </wp:inline>
        </w:drawing>
      </w:r>
    </w:p>
    <w:p w14:paraId="254ACFCA">
      <w:pPr>
        <w:bidi w:val="0"/>
        <w:rPr>
          <w:rFonts w:hint="default"/>
          <w:color w:val="auto"/>
        </w:rPr>
      </w:pPr>
      <w:r>
        <w:rPr>
          <w:rFonts w:hint="default"/>
          <w:color w:val="auto"/>
        </w:rPr>
        <w:t>关键作用体现：</w:t>
      </w:r>
    </w:p>
    <w:p w14:paraId="1E8C27FB">
      <w:pPr>
        <w:bidi w:val="0"/>
        <w:rPr>
          <w:rFonts w:hint="default"/>
          <w:color w:val="auto"/>
        </w:rPr>
      </w:pPr>
      <w:r>
        <w:rPr>
          <w:rFonts w:hint="default"/>
          <w:color w:val="auto"/>
        </w:rPr>
        <w:t>保障设备清洁度：通过标准化的工艺参数与卫生验证，确保制糖设备在CIP清洗后达到无菌、无残留的清洁状态，为后续制糖环节的糖品质量提供基础保障；</w:t>
      </w:r>
    </w:p>
    <w:p w14:paraId="3192292A">
      <w:pPr>
        <w:bidi w:val="0"/>
        <w:rPr>
          <w:rFonts w:hint="default"/>
          <w:color w:val="auto"/>
        </w:rPr>
      </w:pPr>
      <w:r>
        <w:rPr>
          <w:rFonts w:hint="default"/>
          <w:color w:val="auto"/>
        </w:rPr>
        <w:t>满足合规审计要求：完整的 CIP 记录（含工艺参数、卫生验证、水质检测、结论确认）是制糖行业生产合规性审计的关键依据，可有效证明设备清洁环节的规范性与可追溯性；</w:t>
      </w:r>
    </w:p>
    <w:p w14:paraId="13A37B17">
      <w:pPr>
        <w:bidi w:val="0"/>
        <w:rPr>
          <w:rFonts w:hint="default"/>
          <w:color w:val="auto"/>
        </w:rPr>
      </w:pPr>
      <w:r>
        <w:rPr>
          <w:rFonts w:hint="default"/>
          <w:color w:val="auto"/>
        </w:rPr>
        <w:t>降低质量风险：精准的水质检测与卫生验证，能及时发现 CIP 清洗的疏漏，避免因设备清洁不到位导致的糖品污染风险，提升制糖质量的稳定性。</w:t>
      </w:r>
    </w:p>
    <w:p w14:paraId="0327F03C">
      <w:pPr>
        <w:pStyle w:val="37"/>
        <w:bidi w:val="0"/>
        <w:rPr>
          <w:rFonts w:hint="default"/>
          <w:color w:val="auto"/>
        </w:rPr>
      </w:pPr>
      <w:r>
        <w:rPr>
          <w:rFonts w:hint="default"/>
          <w:color w:val="auto"/>
        </w:rPr>
        <w:t>制水模块</w:t>
      </w:r>
      <w:r>
        <w:rPr>
          <w:rFonts w:hint="eastAsia"/>
          <w:color w:val="auto"/>
          <w:lang w:eastAsia="zh-CN"/>
        </w:rPr>
        <w:t>（</w:t>
      </w:r>
      <w:r>
        <w:rPr>
          <w:rFonts w:hint="eastAsia"/>
          <w:color w:val="auto"/>
          <w:lang w:val="en-US" w:eastAsia="zh-CN"/>
        </w:rPr>
        <w:t>定制开发</w:t>
      </w:r>
      <w:r>
        <w:rPr>
          <w:rFonts w:hint="eastAsia"/>
          <w:color w:val="auto"/>
          <w:lang w:eastAsia="zh-CN"/>
        </w:rPr>
        <w:t>）</w:t>
      </w:r>
    </w:p>
    <w:p w14:paraId="3E40D48A">
      <w:pPr>
        <w:bidi w:val="0"/>
        <w:rPr>
          <w:rFonts w:hint="default"/>
          <w:color w:val="auto"/>
        </w:rPr>
      </w:pPr>
      <w:r>
        <w:rPr>
          <w:rFonts w:hint="default"/>
          <w:color w:val="auto"/>
        </w:rPr>
        <w:t>该模块聚焦制水环节的全流程管控，通过多类型表单实现制水工艺、设备维护、环境卫生、用水管理的数字化管理，助力企业保障生产用水的质量稳定性、设备可靠性与生产合规性。</w:t>
      </w:r>
    </w:p>
    <w:p w14:paraId="56BBF244">
      <w:pPr>
        <w:numPr>
          <w:ilvl w:val="0"/>
          <w:numId w:val="17"/>
        </w:numPr>
        <w:bidi w:val="0"/>
        <w:ind w:left="420" w:leftChars="0" w:hanging="420" w:firstLineChars="0"/>
        <w:rPr>
          <w:rFonts w:hint="default"/>
          <w:color w:val="auto"/>
        </w:rPr>
      </w:pPr>
      <w:r>
        <w:rPr>
          <w:rFonts w:hint="default"/>
          <w:color w:val="auto"/>
        </w:rPr>
        <w:t>制水工序</w:t>
      </w:r>
    </w:p>
    <w:p w14:paraId="3631F06E">
      <w:pPr>
        <w:bidi w:val="0"/>
        <w:rPr>
          <w:rFonts w:hint="default"/>
          <w:color w:val="auto"/>
        </w:rPr>
      </w:pPr>
      <w:r>
        <w:rPr>
          <w:rFonts w:hint="default"/>
          <w:color w:val="auto"/>
        </w:rPr>
        <w:t>该表单用于精准记录制水工序的生产信息、多单元工艺参数、设备状态、水质指标及交接数据，保障制水工艺的稳定性、水质的合规性与生产数据可追溯。</w:t>
      </w:r>
    </w:p>
    <w:p w14:paraId="06C94357">
      <w:pPr>
        <w:bidi w:val="0"/>
        <w:rPr>
          <w:rFonts w:hint="default"/>
          <w:color w:val="auto"/>
        </w:rPr>
      </w:pPr>
      <w:r>
        <w:rPr>
          <w:rFonts w:hint="default"/>
          <w:color w:val="auto"/>
        </w:rPr>
        <w:t>功能定位：围绕制水工序的全周期管理，整合生产基础信息（供水系统、车间、班组）、多单元工艺参数（多介质滤器、活性炭过滤器、保安过滤器、一级 / 二级反渗透、药剂添加）、设备与环境状态（仪器校准、设备运行、温湿度）及交接记录（原水 / RO 水用量、水表数），实现制水从工艺执行到工序交接的全流程数据闭环管理。</w:t>
      </w:r>
    </w:p>
    <w:p w14:paraId="7CF1BD15">
      <w:pPr>
        <w:bidi w:val="0"/>
        <w:rPr>
          <w:rFonts w:hint="default"/>
          <w:color w:val="auto"/>
        </w:rPr>
      </w:pPr>
      <w:r>
        <w:rPr>
          <w:rFonts w:hint="default"/>
          <w:color w:val="auto"/>
        </w:rPr>
        <w:t>核心功能说明：</w:t>
      </w:r>
    </w:p>
    <w:p w14:paraId="2D815F18">
      <w:pPr>
        <w:bidi w:val="0"/>
        <w:rPr>
          <w:rFonts w:hint="default"/>
          <w:color w:val="auto"/>
        </w:rPr>
      </w:pPr>
      <w:r>
        <w:rPr>
          <w:rFonts w:hint="default"/>
          <w:color w:val="auto"/>
        </w:rPr>
        <w:t>工艺参数维度：记录多介质滤器、活性炭过滤器、反渗透等核心单元的压力、流量、水温、电导率等关键参数，确保制水工艺的标准化执行；</w:t>
      </w:r>
    </w:p>
    <w:p w14:paraId="3E7AF14F">
      <w:pPr>
        <w:bidi w:val="0"/>
        <w:rPr>
          <w:rFonts w:hint="default"/>
          <w:color w:val="auto"/>
        </w:rPr>
      </w:pPr>
      <w:r>
        <w:rPr>
          <w:rFonts w:hint="default"/>
          <w:color w:val="auto"/>
        </w:rPr>
        <w:t>水质与药剂维度：通过电导率、pH 值、药剂添加量（如絮凝剂、NaOH）的记录，精准管控水质指标与药剂消耗，保障产水质量符合生产要求；</w:t>
      </w:r>
    </w:p>
    <w:p w14:paraId="1398F791">
      <w:pPr>
        <w:bidi w:val="0"/>
        <w:rPr>
          <w:rFonts w:hint="default"/>
          <w:color w:val="auto"/>
        </w:rPr>
      </w:pPr>
      <w:r>
        <w:rPr>
          <w:rFonts w:hint="default"/>
          <w:color w:val="auto"/>
        </w:rPr>
        <w:t>设备与环境维度：记录仪器校准（台式 PH 计）、设备运行状态（洗眼器、水泵、加药装置）、环境温湿度，实时掌握制水设备的健康度与环境合规性；</w:t>
      </w:r>
    </w:p>
    <w:p w14:paraId="6D351387">
      <w:pPr>
        <w:bidi w:val="0"/>
        <w:rPr>
          <w:rFonts w:hint="default"/>
          <w:color w:val="auto"/>
        </w:rPr>
      </w:pPr>
      <w:r>
        <w:rPr>
          <w:rFonts w:hint="default"/>
          <w:color w:val="auto"/>
        </w:rPr>
        <w:t>交接维度：记录原水、RO 水、市政水的水表数与用量，确保制水环节的物料消耗可追溯，为成本核算提供数据支撑。</w:t>
      </w:r>
    </w:p>
    <w:p w14:paraId="6A661087">
      <w:pPr>
        <w:bidi w:val="0"/>
        <w:rPr>
          <w:rFonts w:hint="default"/>
          <w:color w:val="auto"/>
        </w:rPr>
      </w:pPr>
      <w:r>
        <w:rPr>
          <w:rFonts w:hint="default"/>
          <w:color w:val="auto"/>
        </w:rPr>
        <w:t>流程追溯与权责管理：支持 “单据日志”“审批流程” 追溯，确保制水操作可查、责任可追；当班签字、接班签字机制强化了工序交接的责任落实。</w:t>
      </w:r>
    </w:p>
    <w:p w14:paraId="74B6FCA2">
      <w:pPr>
        <w:bidi w:val="0"/>
        <w:rPr>
          <w:rFonts w:hint="default"/>
          <w:color w:val="auto"/>
        </w:rPr>
      </w:pPr>
      <w:r>
        <w:rPr>
          <w:rFonts w:hint="default"/>
          <w:color w:val="auto"/>
        </w:rPr>
        <w:t>异常与统计管理：支持设备故障、工艺异常的记录，同时通过多单元工艺参数的统计分析，实现制水环节的工艺优化与故障预警，为产水质量稳定提供保障。</w:t>
      </w:r>
    </w:p>
    <w:p w14:paraId="43E5F126">
      <w:pPr>
        <w:pStyle w:val="42"/>
        <w:bidi w:val="0"/>
        <w:rPr>
          <w:rFonts w:hint="default"/>
          <w:color w:val="auto"/>
        </w:rPr>
      </w:pPr>
      <w:r>
        <w:rPr>
          <w:rFonts w:hint="default"/>
          <w:color w:val="auto"/>
        </w:rPr>
        <w:drawing>
          <wp:inline distT="0" distB="0" distL="114300" distR="114300">
            <wp:extent cx="5266690" cy="2615565"/>
            <wp:effectExtent l="0" t="0" r="6350" b="5715"/>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pic:cNvPicPr>
                  </pic:nvPicPr>
                  <pic:blipFill>
                    <a:blip r:embed="rId51"/>
                    <a:stretch>
                      <a:fillRect/>
                    </a:stretch>
                  </pic:blipFill>
                  <pic:spPr>
                    <a:xfrm>
                      <a:off x="0" y="0"/>
                      <a:ext cx="5266690" cy="2615565"/>
                    </a:xfrm>
                    <a:prstGeom prst="rect">
                      <a:avLst/>
                    </a:prstGeom>
                  </pic:spPr>
                </pic:pic>
              </a:graphicData>
            </a:graphic>
          </wp:inline>
        </w:drawing>
      </w:r>
    </w:p>
    <w:p w14:paraId="3D3D29B3">
      <w:pPr>
        <w:pStyle w:val="42"/>
        <w:bidi w:val="0"/>
        <w:rPr>
          <w:rFonts w:hint="default"/>
          <w:color w:val="auto"/>
        </w:rPr>
      </w:pPr>
      <w:r>
        <w:rPr>
          <w:rFonts w:hint="default"/>
          <w:color w:val="auto"/>
        </w:rPr>
        <w:drawing>
          <wp:inline distT="0" distB="0" distL="114300" distR="114300">
            <wp:extent cx="5266690" cy="2615565"/>
            <wp:effectExtent l="0" t="0" r="6350" b="5715"/>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pic:cNvPicPr>
                  </pic:nvPicPr>
                  <pic:blipFill>
                    <a:blip r:embed="rId52"/>
                    <a:stretch>
                      <a:fillRect/>
                    </a:stretch>
                  </pic:blipFill>
                  <pic:spPr>
                    <a:xfrm>
                      <a:off x="0" y="0"/>
                      <a:ext cx="5266690" cy="2615565"/>
                    </a:xfrm>
                    <a:prstGeom prst="rect">
                      <a:avLst/>
                    </a:prstGeom>
                  </pic:spPr>
                </pic:pic>
              </a:graphicData>
            </a:graphic>
          </wp:inline>
        </w:drawing>
      </w:r>
    </w:p>
    <w:p w14:paraId="2C65B652">
      <w:pPr>
        <w:pStyle w:val="42"/>
        <w:bidi w:val="0"/>
        <w:rPr>
          <w:rFonts w:hint="default"/>
          <w:color w:val="auto"/>
        </w:rPr>
      </w:pPr>
      <w:r>
        <w:rPr>
          <w:rFonts w:hint="default"/>
          <w:color w:val="auto"/>
        </w:rPr>
        <w:drawing>
          <wp:inline distT="0" distB="0" distL="114300" distR="114300">
            <wp:extent cx="5266690" cy="1553845"/>
            <wp:effectExtent l="0" t="0" r="6350" b="635"/>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pic:cNvPicPr>
                  </pic:nvPicPr>
                  <pic:blipFill>
                    <a:blip r:embed="rId53"/>
                    <a:stretch>
                      <a:fillRect/>
                    </a:stretch>
                  </pic:blipFill>
                  <pic:spPr>
                    <a:xfrm>
                      <a:off x="0" y="0"/>
                      <a:ext cx="5266690" cy="1553845"/>
                    </a:xfrm>
                    <a:prstGeom prst="rect">
                      <a:avLst/>
                    </a:prstGeom>
                  </pic:spPr>
                </pic:pic>
              </a:graphicData>
            </a:graphic>
          </wp:inline>
        </w:drawing>
      </w:r>
    </w:p>
    <w:p w14:paraId="73E56559">
      <w:pPr>
        <w:bidi w:val="0"/>
        <w:rPr>
          <w:rFonts w:hint="default"/>
          <w:color w:val="auto"/>
        </w:rPr>
      </w:pPr>
      <w:r>
        <w:rPr>
          <w:rFonts w:hint="default"/>
          <w:color w:val="auto"/>
        </w:rPr>
        <w:t>关键作用体现：</w:t>
      </w:r>
    </w:p>
    <w:p w14:paraId="37155491">
      <w:pPr>
        <w:bidi w:val="0"/>
        <w:rPr>
          <w:rFonts w:hint="default"/>
          <w:color w:val="auto"/>
        </w:rPr>
      </w:pPr>
      <w:r>
        <w:rPr>
          <w:rFonts w:hint="default"/>
          <w:color w:val="auto"/>
        </w:rPr>
        <w:t>保障制水标准化：通过明确的多单元工艺参数与设备状态记录，确保制水工序严格按流程执行，为生产用水的水质稳定性（如纯度、微生物指标）筑牢基础；</w:t>
      </w:r>
    </w:p>
    <w:p w14:paraId="4848C207">
      <w:pPr>
        <w:bidi w:val="0"/>
        <w:rPr>
          <w:rFonts w:hint="default"/>
          <w:color w:val="auto"/>
        </w:rPr>
      </w:pPr>
      <w:r>
        <w:rPr>
          <w:rFonts w:hint="default"/>
          <w:color w:val="auto"/>
        </w:rPr>
        <w:t>实现全链路追溯：从生产信息到多单元工艺、水质指标、物料消耗的完整数据，可追溯每批产水的制水过程，便于排查水质异常时的根源；</w:t>
      </w:r>
    </w:p>
    <w:p w14:paraId="1B0E007D">
      <w:pPr>
        <w:bidi w:val="0"/>
        <w:rPr>
          <w:rFonts w:hint="default"/>
          <w:color w:val="auto"/>
        </w:rPr>
      </w:pPr>
      <w:r>
        <w:rPr>
          <w:rFonts w:hint="default"/>
          <w:color w:val="auto"/>
        </w:rPr>
        <w:t>满足合规审计要求：完整的制水记录（含工艺参数、水质指标、设备校准、人员签字）是食品饮料等行业生产合规性审计的关键依据，有效证明制水环节的规范性与可追溯性。</w:t>
      </w:r>
    </w:p>
    <w:p w14:paraId="21A89DD0">
      <w:pPr>
        <w:numPr>
          <w:ilvl w:val="0"/>
          <w:numId w:val="17"/>
        </w:numPr>
        <w:bidi w:val="0"/>
        <w:ind w:left="420" w:leftChars="0" w:hanging="420" w:firstLineChars="0"/>
        <w:rPr>
          <w:rFonts w:hint="default"/>
          <w:color w:val="auto"/>
        </w:rPr>
      </w:pPr>
      <w:r>
        <w:rPr>
          <w:rFonts w:hint="default"/>
          <w:color w:val="auto"/>
        </w:rPr>
        <w:t>制水岗位 RO 膜反洗记录</w:t>
      </w:r>
    </w:p>
    <w:p w14:paraId="0419DF58">
      <w:pPr>
        <w:bidi w:val="0"/>
        <w:rPr>
          <w:rFonts w:hint="default"/>
          <w:color w:val="auto"/>
        </w:rPr>
      </w:pPr>
      <w:r>
        <w:rPr>
          <w:rFonts w:hint="default"/>
          <w:color w:val="auto"/>
        </w:rPr>
        <w:t>该表单用于精准记录 RO 膜反洗的工艺参数、清洗效果及人员权责，保障 RO 膜的过滤性能，维持产水质量稳定，满足制水环节的设备维护与生产合规要求。</w:t>
      </w:r>
    </w:p>
    <w:p w14:paraId="602E1201">
      <w:pPr>
        <w:bidi w:val="0"/>
        <w:rPr>
          <w:rFonts w:hint="default"/>
          <w:color w:val="auto"/>
        </w:rPr>
      </w:pPr>
      <w:r>
        <w:rPr>
          <w:rFonts w:hint="default"/>
          <w:color w:val="auto"/>
        </w:rPr>
        <w:t>功能定位：围绕 RO 膜反洗的全周期管理，整合反洗基础信息（日期、系统）、清洗记录（清洗方式、加药时间、药剂用量、循环时间、浸泡时间）、清洗前后对比及检测结论，实现 RO 膜反洗从操作到效果验证的全流程数据闭环管理。</w:t>
      </w:r>
    </w:p>
    <w:p w14:paraId="59024387">
      <w:pPr>
        <w:bidi w:val="0"/>
        <w:rPr>
          <w:rFonts w:hint="default"/>
          <w:color w:val="auto"/>
        </w:rPr>
      </w:pPr>
      <w:r>
        <w:rPr>
          <w:rFonts w:hint="default"/>
          <w:color w:val="auto"/>
        </w:rPr>
        <w:t>核心功能说明：</w:t>
      </w:r>
    </w:p>
    <w:p w14:paraId="7E40E4A0">
      <w:pPr>
        <w:bidi w:val="0"/>
        <w:rPr>
          <w:rFonts w:hint="default"/>
          <w:color w:val="auto"/>
        </w:rPr>
      </w:pPr>
      <w:r>
        <w:rPr>
          <w:rFonts w:hint="default"/>
          <w:color w:val="auto"/>
        </w:rPr>
        <w:t>多维度反洗参数记录：详细记录反洗的加药时间、药剂（如 98-100% NaOH）用量、配制浓度、pH 值、循环时间、浸泡时间等关键参数，确保反洗工艺的标准化执行；</w:t>
      </w:r>
    </w:p>
    <w:p w14:paraId="598475AC">
      <w:pPr>
        <w:bidi w:val="0"/>
        <w:rPr>
          <w:rFonts w:hint="default"/>
          <w:color w:val="auto"/>
        </w:rPr>
      </w:pPr>
      <w:r>
        <w:rPr>
          <w:rFonts w:hint="default"/>
          <w:color w:val="auto"/>
        </w:rPr>
        <w:t>效果验证与追溯：通过 “清洗前后对比”“品控部检测结论” 的记录，量化验证反洗效果，及时发现 RO 膜污染或清洗不到位的问题；操作人员签字机制明确反洗环节的责任主体，确保操作可追溯；</w:t>
      </w:r>
    </w:p>
    <w:p w14:paraId="5C0E768D">
      <w:pPr>
        <w:bidi w:val="0"/>
        <w:rPr>
          <w:rFonts w:hint="default"/>
          <w:color w:val="auto"/>
        </w:rPr>
      </w:pPr>
      <w:r>
        <w:rPr>
          <w:rFonts w:hint="default"/>
          <w:color w:val="auto"/>
        </w:rPr>
        <w:t>流程归档与输出：支持 “报告预览”“报告导出” 功能，实现反洗记录的规范化归档与对外审计、工艺分析的输出需求。</w:t>
      </w:r>
    </w:p>
    <w:p w14:paraId="0F202594">
      <w:pPr>
        <w:pStyle w:val="42"/>
        <w:bidi w:val="0"/>
        <w:rPr>
          <w:rFonts w:hint="default"/>
          <w:color w:val="auto"/>
        </w:rPr>
      </w:pPr>
      <w:r>
        <w:rPr>
          <w:rFonts w:hint="default"/>
          <w:color w:val="auto"/>
        </w:rPr>
        <w:drawing>
          <wp:inline distT="0" distB="0" distL="114300" distR="114300">
            <wp:extent cx="5266690" cy="2615565"/>
            <wp:effectExtent l="0" t="0" r="6350" b="5715"/>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pic:cNvPicPr>
                  </pic:nvPicPr>
                  <pic:blipFill>
                    <a:blip r:embed="rId54"/>
                    <a:stretch>
                      <a:fillRect/>
                    </a:stretch>
                  </pic:blipFill>
                  <pic:spPr>
                    <a:xfrm>
                      <a:off x="0" y="0"/>
                      <a:ext cx="5266690" cy="2615565"/>
                    </a:xfrm>
                    <a:prstGeom prst="rect">
                      <a:avLst/>
                    </a:prstGeom>
                  </pic:spPr>
                </pic:pic>
              </a:graphicData>
            </a:graphic>
          </wp:inline>
        </w:drawing>
      </w:r>
    </w:p>
    <w:p w14:paraId="323562DA">
      <w:pPr>
        <w:bidi w:val="0"/>
        <w:rPr>
          <w:rFonts w:hint="default"/>
          <w:color w:val="auto"/>
        </w:rPr>
      </w:pPr>
      <w:r>
        <w:rPr>
          <w:rFonts w:hint="default"/>
          <w:color w:val="auto"/>
        </w:rPr>
        <w:t>关键作用体现：</w:t>
      </w:r>
    </w:p>
    <w:p w14:paraId="445C77CD">
      <w:pPr>
        <w:bidi w:val="0"/>
        <w:rPr>
          <w:rFonts w:hint="default"/>
          <w:color w:val="auto"/>
        </w:rPr>
      </w:pPr>
      <w:r>
        <w:rPr>
          <w:rFonts w:hint="default"/>
          <w:color w:val="auto"/>
        </w:rPr>
        <w:t>保障 RO 膜性能：通过标准化的反洗参数与效果验证，确保 RO 膜在反洗后恢复过滤性能，维持产水的纯度（如电导率、微生物指标）符合生产要求；</w:t>
      </w:r>
    </w:p>
    <w:p w14:paraId="78717F32">
      <w:pPr>
        <w:bidi w:val="0"/>
        <w:rPr>
          <w:rFonts w:hint="default"/>
          <w:color w:val="auto"/>
        </w:rPr>
      </w:pPr>
      <w:r>
        <w:rPr>
          <w:rFonts w:hint="default"/>
          <w:color w:val="auto"/>
        </w:rPr>
        <w:t>满足合规审计要求：完整的反洗记录（含工艺参数、效果验证、人员签字）是制水行业生产合规性审计的关键依据，有效证明 RO 膜维护环节的规范性与可追溯性；</w:t>
      </w:r>
    </w:p>
    <w:p w14:paraId="1A6DA720">
      <w:pPr>
        <w:bidi w:val="0"/>
        <w:rPr>
          <w:rFonts w:hint="default"/>
          <w:color w:val="auto"/>
        </w:rPr>
      </w:pPr>
      <w:r>
        <w:rPr>
          <w:rFonts w:hint="default"/>
          <w:color w:val="auto"/>
        </w:rPr>
        <w:t>降低设备风险：精准的反洗参数管理与效果验证，能及时发现 RO 膜的异常污染，避免因膜性能衰减导致的产水质量下降或设备过载损坏，提升制水设备的稳定性与使用寿命。</w:t>
      </w:r>
    </w:p>
    <w:p w14:paraId="14562F4D">
      <w:pPr>
        <w:pStyle w:val="37"/>
        <w:bidi w:val="0"/>
        <w:rPr>
          <w:rFonts w:hint="default"/>
          <w:color w:val="auto"/>
        </w:rPr>
      </w:pPr>
      <w:r>
        <w:rPr>
          <w:rFonts w:hint="default"/>
          <w:color w:val="auto"/>
        </w:rPr>
        <w:t>污水模块</w:t>
      </w:r>
    </w:p>
    <w:p w14:paraId="1C71E37D">
      <w:pPr>
        <w:bidi w:val="0"/>
        <w:rPr>
          <w:rFonts w:hint="default"/>
          <w:color w:val="auto"/>
        </w:rPr>
      </w:pPr>
      <w:r>
        <w:rPr>
          <w:rFonts w:hint="default"/>
          <w:color w:val="auto"/>
        </w:rPr>
        <w:t>该模块聚焦污水处理环节的全流程管控，通过多类型表单实现污水处理工艺、水量追溯、工序交接及污泥管理的数字化管理，助力企业保障污水处理的合规性、数据可追溯性，满足环保要求与生产社会责任。</w:t>
      </w:r>
    </w:p>
    <w:p w14:paraId="499F81BD">
      <w:pPr>
        <w:numPr>
          <w:ilvl w:val="0"/>
          <w:numId w:val="18"/>
        </w:numPr>
        <w:bidi w:val="0"/>
        <w:ind w:left="420" w:leftChars="0" w:hanging="420" w:firstLineChars="0"/>
        <w:rPr>
          <w:rFonts w:hint="default"/>
          <w:color w:val="auto"/>
        </w:rPr>
      </w:pPr>
      <w:r>
        <w:rPr>
          <w:rFonts w:hint="default"/>
          <w:color w:val="auto"/>
        </w:rPr>
        <w:t>污水处理</w:t>
      </w:r>
    </w:p>
    <w:p w14:paraId="5F933E3A">
      <w:pPr>
        <w:bidi w:val="0"/>
        <w:rPr>
          <w:rFonts w:hint="default"/>
          <w:color w:val="auto"/>
        </w:rPr>
      </w:pPr>
      <w:r>
        <w:rPr>
          <w:rFonts w:hint="default"/>
          <w:color w:val="auto"/>
        </w:rPr>
        <w:t>该表单用于精准记录污水处理各单元的工艺参数、水质指标、水量及设备状态，保障污水处理的合规性、数据可追溯性，满足环保排放要求与生产管理需求。</w:t>
      </w:r>
    </w:p>
    <w:p w14:paraId="4872044A">
      <w:pPr>
        <w:bidi w:val="0"/>
        <w:rPr>
          <w:rFonts w:hint="default"/>
          <w:color w:val="auto"/>
        </w:rPr>
      </w:pPr>
      <w:r>
        <w:rPr>
          <w:rFonts w:hint="default"/>
          <w:color w:val="auto"/>
        </w:rPr>
        <w:t>功能定位：围绕污水处理的全周期管理，整合进水、调节池、生化池、MBR 池、出水（产水）、处理水外排等多单元的工艺参数（pH 值、CODcr、DO、污泥浓度等）、水量及设备状态（膜压力），实现污水处理从进水到出水的全流程数据闭环管理。</w:t>
      </w:r>
    </w:p>
    <w:p w14:paraId="3EF27CE8">
      <w:pPr>
        <w:bidi w:val="0"/>
        <w:rPr>
          <w:rFonts w:hint="default"/>
          <w:color w:val="auto"/>
        </w:rPr>
      </w:pPr>
      <w:r>
        <w:rPr>
          <w:rFonts w:hint="default"/>
          <w:color w:val="auto"/>
        </w:rPr>
        <w:t>核心功能说明：</w:t>
      </w:r>
    </w:p>
    <w:p w14:paraId="56F0BCB2">
      <w:pPr>
        <w:bidi w:val="0"/>
        <w:rPr>
          <w:rFonts w:hint="default"/>
          <w:color w:val="auto"/>
        </w:rPr>
      </w:pPr>
      <w:r>
        <w:rPr>
          <w:rFonts w:hint="default"/>
          <w:color w:val="auto"/>
        </w:rPr>
        <w:t>水质与工艺维度：记录进水、各处理单元及出水的 pH 值、CODcr、SS、DO、污泥浓度、沉降比等关键指标，实时监控污水处理效果（如有机物、悬浮物去除率）；</w:t>
      </w:r>
    </w:p>
    <w:p w14:paraId="1BBE72AF">
      <w:pPr>
        <w:bidi w:val="0"/>
        <w:rPr>
          <w:rFonts w:hint="default"/>
          <w:color w:val="auto"/>
        </w:rPr>
      </w:pPr>
      <w:r>
        <w:rPr>
          <w:rFonts w:hint="default"/>
          <w:color w:val="auto"/>
        </w:rPr>
        <w:t>水量维度：记录进水总量、出水总量、处理水外排总量，实现污水处理环节的水量平衡分析与成本核算；</w:t>
      </w:r>
    </w:p>
    <w:p w14:paraId="6AE3FDDE">
      <w:pPr>
        <w:bidi w:val="0"/>
        <w:rPr>
          <w:rFonts w:hint="default"/>
          <w:color w:val="auto"/>
        </w:rPr>
      </w:pPr>
      <w:r>
        <w:rPr>
          <w:rFonts w:hint="default"/>
          <w:color w:val="auto"/>
        </w:rPr>
        <w:t>设备状态维度：记录 MBR 池膜压力，及时掌握膜组件的运行健康度，预警膜污染或损坏风险。</w:t>
      </w:r>
    </w:p>
    <w:p w14:paraId="6DC53A4E">
      <w:pPr>
        <w:bidi w:val="0"/>
        <w:rPr>
          <w:rFonts w:hint="default"/>
          <w:color w:val="auto"/>
        </w:rPr>
      </w:pPr>
      <w:r>
        <w:rPr>
          <w:rFonts w:hint="default"/>
          <w:color w:val="auto"/>
        </w:rPr>
        <w:t>流程追溯与权责管理：通过值班人、生产主管签字机制明确污水处理的责任主体，确保操作可追溯；各时段数据的详细记录，支持污水处理工艺的回溯分析与问题排查。</w:t>
      </w:r>
    </w:p>
    <w:p w14:paraId="42AEA175">
      <w:pPr>
        <w:bidi w:val="0"/>
        <w:rPr>
          <w:rFonts w:hint="default"/>
          <w:color w:val="auto"/>
        </w:rPr>
      </w:pPr>
      <w:r>
        <w:rPr>
          <w:rFonts w:hint="default"/>
          <w:color w:val="auto"/>
        </w:rPr>
        <w:t>异常与统计管理：通过各单元指标的实时记录，及时发现污水处理工艺的异常（如 CODcr 去除率骤降、膜压力异常升高），为工艺调整与设备维护提供数据支撑。</w:t>
      </w:r>
    </w:p>
    <w:p w14:paraId="69B73939">
      <w:pPr>
        <w:pStyle w:val="42"/>
        <w:bidi w:val="0"/>
        <w:rPr>
          <w:rFonts w:hint="default"/>
          <w:color w:val="auto"/>
        </w:rPr>
      </w:pPr>
      <w:r>
        <w:rPr>
          <w:rFonts w:hint="default"/>
          <w:color w:val="auto"/>
        </w:rPr>
        <w:drawing>
          <wp:inline distT="0" distB="0" distL="114300" distR="114300">
            <wp:extent cx="5266690" cy="2615565"/>
            <wp:effectExtent l="0" t="0" r="6350" b="5715"/>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r:embed="rId55"/>
                    <a:stretch>
                      <a:fillRect/>
                    </a:stretch>
                  </pic:blipFill>
                  <pic:spPr>
                    <a:xfrm>
                      <a:off x="0" y="0"/>
                      <a:ext cx="5266690" cy="2615565"/>
                    </a:xfrm>
                    <a:prstGeom prst="rect">
                      <a:avLst/>
                    </a:prstGeom>
                  </pic:spPr>
                </pic:pic>
              </a:graphicData>
            </a:graphic>
          </wp:inline>
        </w:drawing>
      </w:r>
    </w:p>
    <w:p w14:paraId="004A1A94">
      <w:pPr>
        <w:pStyle w:val="42"/>
        <w:bidi w:val="0"/>
        <w:rPr>
          <w:rFonts w:hint="default"/>
          <w:color w:val="auto"/>
        </w:rPr>
      </w:pPr>
      <w:r>
        <w:rPr>
          <w:rFonts w:hint="default"/>
          <w:color w:val="auto"/>
        </w:rPr>
        <w:drawing>
          <wp:inline distT="0" distB="0" distL="114300" distR="114300">
            <wp:extent cx="5266690" cy="2615565"/>
            <wp:effectExtent l="0" t="0" r="6350" b="571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pic:cNvPicPr>
                  </pic:nvPicPr>
                  <pic:blipFill>
                    <a:blip r:embed="rId56"/>
                    <a:stretch>
                      <a:fillRect/>
                    </a:stretch>
                  </pic:blipFill>
                  <pic:spPr>
                    <a:xfrm>
                      <a:off x="0" y="0"/>
                      <a:ext cx="5266690" cy="2615565"/>
                    </a:xfrm>
                    <a:prstGeom prst="rect">
                      <a:avLst/>
                    </a:prstGeom>
                  </pic:spPr>
                </pic:pic>
              </a:graphicData>
            </a:graphic>
          </wp:inline>
        </w:drawing>
      </w:r>
    </w:p>
    <w:p w14:paraId="2F220FC5">
      <w:pPr>
        <w:bidi w:val="0"/>
        <w:rPr>
          <w:rFonts w:hint="default"/>
          <w:color w:val="auto"/>
        </w:rPr>
      </w:pPr>
      <w:r>
        <w:rPr>
          <w:rFonts w:hint="default"/>
          <w:color w:val="auto"/>
        </w:rPr>
        <w:t>关键作用体现：</w:t>
      </w:r>
    </w:p>
    <w:p w14:paraId="401F7BE7">
      <w:pPr>
        <w:bidi w:val="0"/>
        <w:rPr>
          <w:rFonts w:hint="default"/>
          <w:color w:val="auto"/>
        </w:rPr>
      </w:pPr>
      <w:r>
        <w:rPr>
          <w:rFonts w:hint="default"/>
          <w:color w:val="auto"/>
        </w:rPr>
        <w:t>保障环保合规：通过精准的水质指标记录（如出水 CODcr、SS），确保污水处理后出水符合环保排放标准，避免环保违规风险；</w:t>
      </w:r>
    </w:p>
    <w:p w14:paraId="36D79049">
      <w:pPr>
        <w:bidi w:val="0"/>
        <w:rPr>
          <w:rFonts w:hint="default"/>
          <w:color w:val="auto"/>
        </w:rPr>
      </w:pPr>
      <w:r>
        <w:rPr>
          <w:rFonts w:hint="default"/>
          <w:color w:val="auto"/>
        </w:rPr>
        <w:t>实现全链路追溯：从进水到出水的完整数据记录，可追溯每批次污水的处理过程，便于环保部门检查与内部工艺优化；</w:t>
      </w:r>
    </w:p>
    <w:p w14:paraId="61D0863D">
      <w:pPr>
        <w:bidi w:val="0"/>
        <w:rPr>
          <w:rFonts w:hint="default"/>
          <w:color w:val="auto"/>
        </w:rPr>
      </w:pPr>
      <w:r>
        <w:rPr>
          <w:rFonts w:hint="default"/>
          <w:color w:val="auto"/>
        </w:rPr>
        <w:t>提升运营效率：实时监控膜压力、水量等数据，优化污水处理工艺参数，延长膜组件使用寿命，降低污水处理成本。</w:t>
      </w:r>
    </w:p>
    <w:p w14:paraId="538CFADA">
      <w:pPr>
        <w:bidi w:val="0"/>
        <w:rPr>
          <w:rFonts w:hint="eastAsia"/>
          <w:color w:val="auto"/>
        </w:rPr>
      </w:pPr>
      <w:r>
        <w:rPr>
          <w:rFonts w:hint="eastAsia"/>
          <w:color w:val="auto"/>
        </w:rPr>
        <w:t>数据集成与自动化：</w:t>
      </w:r>
      <w:r>
        <w:rPr>
          <w:color w:val="auto"/>
        </w:rPr>
        <w:t>支持现场人员通过移动端实时填写表单（如设备点检记录、异常报工），同步上传至中央数据库。</w:t>
      </w:r>
      <w:r>
        <w:rPr>
          <w:rFonts w:hint="eastAsia"/>
          <w:color w:val="auto"/>
        </w:rPr>
        <w:t xml:space="preserve">借助系统强大的自动计算功能，以及SCADA系统高效的数据采集能力，生产管理实现智能化升级。在表单填写环节，系统自动填充部分数据，减少人工重复录入工作，大幅提高表单填写效率。这不仅降低了人员作业强度，还减少了人工录入错误，提升数据准确性。同时，各功能模块的数据实时更新、同步，为生产决策提供及时、可靠的数据支持，助力企业实现生产过程的精细化管理与高效运营。 </w:t>
      </w:r>
    </w:p>
    <w:p w14:paraId="75C3A40F">
      <w:pPr>
        <w:pStyle w:val="42"/>
        <w:wordWrap/>
        <w:overflowPunct/>
        <w:topLinePunct w:val="0"/>
        <w:bidi w:val="0"/>
        <w:snapToGrid w:val="0"/>
        <w:spacing w:beforeAutospacing="0" w:afterAutospacing="0" w:line="360" w:lineRule="auto"/>
        <w:rPr>
          <w:rFonts w:hint="eastAsia"/>
          <w:color w:val="auto"/>
        </w:rPr>
      </w:pPr>
      <w:r>
        <w:rPr>
          <w:color w:val="auto"/>
        </w:rPr>
        <w:drawing>
          <wp:inline distT="0" distB="0" distL="0" distR="0">
            <wp:extent cx="4523105" cy="2507615"/>
            <wp:effectExtent l="9525" t="9525" r="24130" b="12700"/>
            <wp:docPr id="1931799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9304" name="图片 1"/>
                    <pic:cNvPicPr>
                      <a:picLocks noChangeAspect="1"/>
                    </pic:cNvPicPr>
                  </pic:nvPicPr>
                  <pic:blipFill>
                    <a:blip r:embed="rId57"/>
                    <a:stretch>
                      <a:fillRect/>
                    </a:stretch>
                  </pic:blipFill>
                  <pic:spPr>
                    <a:xfrm>
                      <a:off x="0" y="0"/>
                      <a:ext cx="4528243" cy="2510542"/>
                    </a:xfrm>
                    <a:prstGeom prst="rect">
                      <a:avLst/>
                    </a:prstGeom>
                    <a:ln>
                      <a:solidFill>
                        <a:schemeClr val="tx1"/>
                      </a:solidFill>
                    </a:ln>
                  </pic:spPr>
                </pic:pic>
              </a:graphicData>
            </a:graphic>
          </wp:inline>
        </w:drawing>
      </w:r>
    </w:p>
    <w:p w14:paraId="4B487A3C">
      <w:pPr>
        <w:pStyle w:val="35"/>
        <w:bidi w:val="0"/>
        <w:rPr>
          <w:rFonts w:hint="eastAsia"/>
          <w:color w:val="auto"/>
        </w:rPr>
      </w:pPr>
      <w:bookmarkStart w:id="12" w:name="_Toc195102181"/>
      <w:bookmarkStart w:id="13" w:name="_Toc22872"/>
      <w:r>
        <w:rPr>
          <w:rFonts w:hint="eastAsia"/>
          <w:color w:val="auto"/>
        </w:rPr>
        <w:t>生产报表</w:t>
      </w:r>
      <w:bookmarkEnd w:id="12"/>
      <w:bookmarkEnd w:id="13"/>
    </w:p>
    <w:p w14:paraId="487FBFFA">
      <w:pPr>
        <w:pStyle w:val="58"/>
        <w:numPr>
          <w:ilvl w:val="0"/>
          <w:numId w:val="19"/>
        </w:numPr>
        <w:bidi w:val="0"/>
        <w:ind w:left="420" w:leftChars="0" w:hanging="420" w:firstLineChars="0"/>
        <w:rPr>
          <w:rFonts w:hint="eastAsia"/>
          <w:color w:val="auto"/>
        </w:rPr>
      </w:pPr>
      <w:r>
        <w:rPr>
          <w:rFonts w:hint="eastAsia"/>
          <w:color w:val="auto"/>
        </w:rPr>
        <w:t>按需输出表单及报告</w:t>
      </w:r>
    </w:p>
    <w:p w14:paraId="5F901B37">
      <w:pPr>
        <w:bidi w:val="0"/>
        <w:rPr>
          <w:rFonts w:hint="eastAsia"/>
          <w:color w:val="auto"/>
        </w:rPr>
      </w:pPr>
      <w:r>
        <w:rPr>
          <w:rFonts w:hint="eastAsia"/>
          <w:color w:val="auto"/>
        </w:rPr>
        <w:t>灵活定制： 用户可根据具体业务场景，自定义表单和报告的模板，包括字段设置、布局设计、数据筛选条件等，满足不同部门和岗位的个性化需求。</w:t>
      </w:r>
    </w:p>
    <w:p w14:paraId="10DDAFBA">
      <w:pPr>
        <w:bidi w:val="0"/>
        <w:rPr>
          <w:rFonts w:hint="eastAsia"/>
          <w:color w:val="auto"/>
        </w:rPr>
      </w:pPr>
      <w:r>
        <w:rPr>
          <w:rFonts w:hint="eastAsia"/>
          <w:color w:val="auto"/>
        </w:rPr>
        <w:t>自动生成： 系统可根据预设的触发条件（如时间节点、事件触发、数据变化等）或业务流程，自动抓取相关数据并生成对应的表单和报告，减少人工操作，提高效率。</w:t>
      </w:r>
    </w:p>
    <w:p w14:paraId="172E250C">
      <w:pPr>
        <w:bidi w:val="0"/>
        <w:rPr>
          <w:rFonts w:hint="eastAsia"/>
          <w:color w:val="auto"/>
        </w:rPr>
      </w:pPr>
      <w:r>
        <w:rPr>
          <w:rFonts w:hint="eastAsia"/>
          <w:color w:val="auto"/>
        </w:rPr>
        <w:t>多样化输出： 支持将表单和报告以多种格式输出，例如 PDF 用于存档和打印，Excel 用于数据分析和处理，Word 用于文档编辑和排版，满足不同场景下的使用需求。</w:t>
      </w:r>
    </w:p>
    <w:p w14:paraId="489A8498">
      <w:pPr>
        <w:pStyle w:val="58"/>
        <w:numPr>
          <w:ilvl w:val="0"/>
          <w:numId w:val="19"/>
        </w:numPr>
        <w:bidi w:val="0"/>
        <w:ind w:left="420" w:leftChars="0" w:hanging="420" w:firstLineChars="0"/>
        <w:rPr>
          <w:rFonts w:hint="eastAsia"/>
          <w:color w:val="auto"/>
        </w:rPr>
      </w:pPr>
      <w:r>
        <w:rPr>
          <w:rFonts w:hint="eastAsia"/>
          <w:color w:val="auto"/>
        </w:rPr>
        <w:t>支持二次加工</w:t>
      </w:r>
    </w:p>
    <w:p w14:paraId="5A98C333">
      <w:pPr>
        <w:bidi w:val="0"/>
        <w:rPr>
          <w:rFonts w:hint="eastAsia"/>
          <w:color w:val="auto"/>
        </w:rPr>
      </w:pPr>
      <w:r>
        <w:rPr>
          <w:rFonts w:hint="eastAsia"/>
          <w:color w:val="auto"/>
        </w:rPr>
        <w:t>数据导出： 系统提供便捷的数据导出功能，用户可将表单和报告中的数据导出为 CSV、Excel 等通用格式，方便导入到其他软件或平台进行进一步的数据分析、挖掘和可视化。</w:t>
      </w:r>
    </w:p>
    <w:p w14:paraId="6D994760">
      <w:pPr>
        <w:bidi w:val="0"/>
        <w:rPr>
          <w:rFonts w:hint="eastAsia"/>
          <w:color w:val="auto"/>
        </w:rPr>
      </w:pPr>
      <w:r>
        <w:rPr>
          <w:rFonts w:hint="eastAsia"/>
          <w:color w:val="auto"/>
        </w:rPr>
        <w:t>API 接口： 系统提供标准化的 API 接口，支持与其他系统进行数据交互和集成，例如将生产数据同步到 ERP 系统，将质量数据上传到 MES 系统，实现数据的互联互通。</w:t>
      </w:r>
    </w:p>
    <w:p w14:paraId="1450E662">
      <w:pPr>
        <w:pStyle w:val="58"/>
        <w:numPr>
          <w:ilvl w:val="0"/>
          <w:numId w:val="19"/>
        </w:numPr>
        <w:bidi w:val="0"/>
        <w:ind w:left="420" w:leftChars="0" w:hanging="420" w:firstLineChars="0"/>
        <w:rPr>
          <w:rFonts w:hint="eastAsia"/>
          <w:color w:val="auto"/>
        </w:rPr>
      </w:pPr>
      <w:r>
        <w:rPr>
          <w:rFonts w:hint="eastAsia"/>
          <w:color w:val="auto"/>
        </w:rPr>
        <w:t>与其他系统无缝集成</w:t>
      </w:r>
    </w:p>
    <w:p w14:paraId="138E6FED">
      <w:pPr>
        <w:bidi w:val="0"/>
        <w:rPr>
          <w:rFonts w:hint="eastAsia"/>
          <w:color w:val="auto"/>
        </w:rPr>
      </w:pPr>
      <w:r>
        <w:rPr>
          <w:rFonts w:hint="eastAsia"/>
          <w:color w:val="auto"/>
        </w:rPr>
        <w:t>数据共享： 系统可与 ERP、MES、WMS、CRM 等企业核心业务系统进行无缝集成，实现数据的实时共享和同步，打破信息孤岛，提高数据的一致性和准确性。</w:t>
      </w:r>
    </w:p>
    <w:p w14:paraId="7EAC0FE3">
      <w:pPr>
        <w:bidi w:val="0"/>
        <w:rPr>
          <w:rFonts w:hint="eastAsia"/>
          <w:color w:val="auto"/>
        </w:rPr>
      </w:pPr>
      <w:r>
        <w:rPr>
          <w:rFonts w:hint="eastAsia"/>
          <w:color w:val="auto"/>
        </w:rPr>
        <w:t>流程协同： 系统可与其他系统进行业务流程的协同，例如将数据自动下发到 SAP 系统，将采购订单自动推送到 SAP 系统，实现业务数据的自动流转和高效处理。</w:t>
      </w:r>
    </w:p>
    <w:p w14:paraId="3317CDB0">
      <w:pPr>
        <w:pStyle w:val="36"/>
        <w:bidi w:val="0"/>
        <w:rPr>
          <w:rFonts w:hint="eastAsia"/>
          <w:color w:val="auto"/>
        </w:rPr>
      </w:pPr>
      <w:bookmarkStart w:id="14" w:name="_Toc195102182"/>
      <w:bookmarkStart w:id="15" w:name="_Toc16410"/>
      <w:bookmarkStart w:id="16" w:name="_Toc13194"/>
      <w:r>
        <w:rPr>
          <w:rFonts w:hint="eastAsia"/>
          <w:color w:val="auto"/>
        </w:rPr>
        <w:t>质量管理</w:t>
      </w:r>
      <w:bookmarkEnd w:id="14"/>
      <w:bookmarkEnd w:id="15"/>
      <w:bookmarkEnd w:id="16"/>
    </w:p>
    <w:p w14:paraId="20C042AB">
      <w:pPr>
        <w:bidi w:val="0"/>
        <w:rPr>
          <w:rFonts w:hint="eastAsia"/>
          <w:color w:val="auto"/>
        </w:rPr>
      </w:pPr>
      <w:r>
        <w:rPr>
          <w:rFonts w:hint="eastAsia"/>
          <w:color w:val="auto"/>
        </w:rPr>
        <w:t>质量管理融合质量控制、质量保证、计量管理等华彬生产基地核心业务，覆盖现场100+份品控要求的表单，通过与SCADA的密切关联和数据重复填写功能的优化，有效的提高了数据录入的效率和质量，对于各项数据的追溯形成良好的闭环。</w:t>
      </w:r>
    </w:p>
    <w:p w14:paraId="1B0EAE26">
      <w:pPr>
        <w:bidi w:val="0"/>
        <w:rPr>
          <w:rFonts w:hint="eastAsia"/>
          <w:color w:val="auto"/>
        </w:rPr>
      </w:pPr>
      <w:r>
        <w:rPr>
          <w:rFonts w:hint="eastAsia"/>
          <w:color w:val="auto"/>
        </w:rPr>
        <w:t>该 “质量管理” 模块是数智工厂系统中保障产品质量的核心模块，围绕原材料检测、成品检测、定量检测、工序控制（1）、工序控制（2）、监视与测量六大维度，构建了全流程、多场景的质量管控体系。</w:t>
      </w:r>
    </w:p>
    <w:p w14:paraId="6424F68D">
      <w:pPr>
        <w:bidi w:val="0"/>
        <w:rPr>
          <w:rFonts w:hint="eastAsia"/>
          <w:color w:val="auto"/>
        </w:rPr>
      </w:pPr>
      <w:r>
        <w:rPr>
          <w:rFonts w:hint="eastAsia"/>
          <w:b/>
          <w:bCs/>
          <w:color w:val="auto"/>
        </w:rPr>
        <w:t>原材料检测维度：</w:t>
      </w:r>
      <w:r>
        <w:rPr>
          <w:rFonts w:hint="eastAsia"/>
          <w:color w:val="auto"/>
        </w:rPr>
        <w:t>涵盖原材料复验、空罐检测、红罐检测、内容物检测等多类检测单据与报告，从原料入场到预处理环节，对原材料的质量特性、安全性等进行全面筛查，例如通过 “原材料复验单”“空罐综合检测报告” 等，确保原料符合生产标准，从源头把控质量风险。</w:t>
      </w:r>
    </w:p>
    <w:p w14:paraId="1CD7C8AE">
      <w:pPr>
        <w:bidi w:val="0"/>
        <w:rPr>
          <w:rFonts w:hint="eastAsia"/>
          <w:color w:val="auto"/>
        </w:rPr>
      </w:pPr>
      <w:r>
        <w:rPr>
          <w:rFonts w:hint="eastAsia"/>
          <w:b/>
          <w:bCs/>
          <w:color w:val="auto"/>
        </w:rPr>
        <w:t>成品检测维度：</w:t>
      </w:r>
      <w:r>
        <w:rPr>
          <w:rFonts w:hint="eastAsia"/>
          <w:color w:val="auto"/>
        </w:rPr>
        <w:t>包含成品复验、打印取样、理化及微生物检测等系列单据与分析报告，如 “成品复验单”“Brix、pH 值分析报告”，对成品的理化指标、微生物指标、感官指标等进行多维度检测，同时配套成品留样、异常处理（如成品外检、不合格品处置）等管理功能，保障成品质量合规性与可追溯性。</w:t>
      </w:r>
    </w:p>
    <w:p w14:paraId="07538201">
      <w:pPr>
        <w:bidi w:val="0"/>
        <w:rPr>
          <w:rFonts w:hint="eastAsia"/>
          <w:color w:val="auto"/>
        </w:rPr>
      </w:pPr>
      <w:r>
        <w:rPr>
          <w:rFonts w:hint="eastAsia"/>
          <w:b/>
          <w:bCs/>
          <w:color w:val="auto"/>
        </w:rPr>
        <w:t>定量检测维度：</w:t>
      </w:r>
      <w:r>
        <w:rPr>
          <w:rFonts w:hint="eastAsia"/>
          <w:color w:val="auto"/>
        </w:rPr>
        <w:t>通过 “定量检测确认单”“产品重量检验报告” 等工具，聚焦产品定量特性（如重量、含量等）的检测与分析，结合成分检测结果对比，确保产品在定量指标上的精度与一致性，满足生产与市场对产品规格的要求。</w:t>
      </w:r>
    </w:p>
    <w:p w14:paraId="13FB636D">
      <w:pPr>
        <w:bidi w:val="0"/>
        <w:rPr>
          <w:rFonts w:hint="eastAsia"/>
          <w:color w:val="auto"/>
        </w:rPr>
      </w:pPr>
      <w:r>
        <w:rPr>
          <w:rFonts w:hint="eastAsia"/>
          <w:b/>
          <w:bCs/>
          <w:color w:val="auto"/>
        </w:rPr>
        <w:t>工序控制（1）与工序控制（2）维度：</w:t>
      </w:r>
      <w:r>
        <w:rPr>
          <w:rFonts w:hint="eastAsia"/>
          <w:color w:val="auto"/>
        </w:rPr>
        <w:t>从工序资料、样品检测、工时管理、异常控制、环境检测等多个环节入手，实现工序全流程的质量管控。例如 “工序资料单” 规范工序标准，“样品检验报告” 实时监控工序样品质量，“工序异常控制” 及时处理生产过程中的质量偏差，同时通过 “环境检测”（如 CIP 深度清洁卫生检查、灭菌微生物验证等）保障生产环境符合质量要求，全方位筑牢工序质量防线。</w:t>
      </w:r>
    </w:p>
    <w:p w14:paraId="44D089C0">
      <w:pPr>
        <w:bidi w:val="0"/>
        <w:rPr>
          <w:rFonts w:hint="eastAsia"/>
          <w:color w:val="auto"/>
        </w:rPr>
      </w:pPr>
      <w:r>
        <w:rPr>
          <w:rFonts w:hint="eastAsia"/>
          <w:b/>
          <w:bCs/>
          <w:color w:val="auto"/>
        </w:rPr>
        <w:t>监视与测量维度：</w:t>
      </w:r>
      <w:r>
        <w:rPr>
          <w:rFonts w:hint="eastAsia"/>
          <w:color w:val="auto"/>
        </w:rPr>
        <w:t>整合水质监测、人员验证、设备校验等功能，如 “RO 水检测记录表” 保障生产用水质量，“人员资格验证记录” 确保质检人员专业能力，“设备校验记录” 维持检测设备精度，从资源、人员、设备层面为质量监视与测量提供支撑，确保质量管控的全面性与有效性。</w:t>
      </w:r>
    </w:p>
    <w:p w14:paraId="50591B24">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4559935" cy="2527935"/>
            <wp:effectExtent l="9525" t="9525" r="17780" b="22860"/>
            <wp:docPr id="1852245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5131" name="图片 1"/>
                    <pic:cNvPicPr>
                      <a:picLocks noChangeAspect="1"/>
                    </pic:cNvPicPr>
                  </pic:nvPicPr>
                  <pic:blipFill>
                    <a:blip r:embed="rId58"/>
                    <a:stretch>
                      <a:fillRect/>
                    </a:stretch>
                  </pic:blipFill>
                  <pic:spPr>
                    <a:xfrm>
                      <a:off x="0" y="0"/>
                      <a:ext cx="4561368" cy="2528906"/>
                    </a:xfrm>
                    <a:prstGeom prst="rect">
                      <a:avLst/>
                    </a:prstGeom>
                    <a:ln>
                      <a:solidFill>
                        <a:schemeClr val="tx1"/>
                      </a:solidFill>
                    </a:ln>
                  </pic:spPr>
                </pic:pic>
              </a:graphicData>
            </a:graphic>
          </wp:inline>
        </w:drawing>
      </w:r>
    </w:p>
    <w:p w14:paraId="4B2CB892">
      <w:pPr>
        <w:pStyle w:val="35"/>
        <w:bidi w:val="0"/>
        <w:rPr>
          <w:rFonts w:hint="default"/>
          <w:color w:val="auto"/>
        </w:rPr>
      </w:pPr>
      <w:bookmarkStart w:id="17" w:name="_Toc27936"/>
      <w:r>
        <w:rPr>
          <w:rFonts w:hint="default"/>
          <w:color w:val="auto"/>
        </w:rPr>
        <w:t>QC质量控制</w:t>
      </w:r>
      <w:bookmarkEnd w:id="17"/>
    </w:p>
    <w:p w14:paraId="760BCFF2">
      <w:pPr>
        <w:pStyle w:val="37"/>
        <w:bidi w:val="0"/>
        <w:rPr>
          <w:rFonts w:hint="eastAsia"/>
          <w:color w:val="auto"/>
        </w:rPr>
      </w:pPr>
      <w:r>
        <w:rPr>
          <w:rFonts w:hint="default"/>
          <w:color w:val="auto"/>
        </w:rPr>
        <w:t>原材料复检表单</w:t>
      </w:r>
    </w:p>
    <w:p w14:paraId="23523E8D">
      <w:pPr>
        <w:bidi w:val="0"/>
        <w:rPr>
          <w:rFonts w:hint="eastAsia"/>
          <w:color w:val="auto"/>
        </w:rPr>
      </w:pPr>
      <w:r>
        <w:rPr>
          <w:rFonts w:hint="eastAsia"/>
          <w:color w:val="auto"/>
        </w:rPr>
        <w:t>该 “原材料复验单” 表单是数智工厂质量管理模块中原材料检测环节的核心单据，用于对入场原材料（此处为热缩膜类材料）进行复验管理，实现原材料质量的精准把控与可追溯。</w:t>
      </w:r>
    </w:p>
    <w:p w14:paraId="5979A20B">
      <w:pPr>
        <w:bidi w:val="0"/>
        <w:rPr>
          <w:rFonts w:hint="eastAsia"/>
          <w:color w:val="auto"/>
        </w:rPr>
      </w:pPr>
      <w:r>
        <w:rPr>
          <w:rFonts w:hint="eastAsia"/>
          <w:color w:val="auto"/>
        </w:rPr>
        <w:t>功能层面：</w:t>
      </w:r>
    </w:p>
    <w:p w14:paraId="38A00BD3">
      <w:pPr>
        <w:bidi w:val="0"/>
        <w:rPr>
          <w:rFonts w:hint="eastAsia"/>
          <w:color w:val="auto"/>
        </w:rPr>
      </w:pPr>
      <w:r>
        <w:rPr>
          <w:rFonts w:hint="eastAsia"/>
          <w:color w:val="auto"/>
        </w:rPr>
        <w:t>记录基础信息：涵盖单据编号、状态、发起人与时间、复验依据（如热缩膜检验报告单）、复验结果（合格 / 不合格）、复验人员及签字等关键信息，形成复验流程的基础档案。</w:t>
      </w:r>
    </w:p>
    <w:p w14:paraId="1465C7A9">
      <w:pPr>
        <w:bidi w:val="0"/>
        <w:rPr>
          <w:rFonts w:hint="eastAsia"/>
          <w:color w:val="auto"/>
        </w:rPr>
      </w:pPr>
      <w:r>
        <w:rPr>
          <w:rFonts w:hint="eastAsia"/>
          <w:color w:val="auto"/>
        </w:rPr>
        <w:t>管理检验信息：通过 “检验信息” 栏，详细记录原材料的包号 / 样品号、检验项目（如热缩膜罩内径）、原测定值、标准值、复验值及检验结果，实现对原材料关键质量指标的复验数据全维度记录与对比分析。</w:t>
      </w:r>
    </w:p>
    <w:p w14:paraId="45AE1177">
      <w:pPr>
        <w:bidi w:val="0"/>
        <w:rPr>
          <w:rFonts w:hint="eastAsia"/>
          <w:color w:val="auto"/>
        </w:rPr>
      </w:pPr>
      <w:r>
        <w:rPr>
          <w:rFonts w:hint="eastAsia"/>
          <w:color w:val="auto"/>
        </w:rPr>
        <w:t>支持附件与备注：可通过 “附件信息” 上传检验相关凭证（如检测报告、实物照片），“备注” 栏用于补充特殊说明，确保复验过程的信息完整性。</w:t>
      </w:r>
    </w:p>
    <w:p w14:paraId="724228C7">
      <w:pPr>
        <w:bidi w:val="0"/>
        <w:rPr>
          <w:rFonts w:hint="eastAsia"/>
          <w:color w:val="auto"/>
        </w:rPr>
      </w:pPr>
      <w:r>
        <w:rPr>
          <w:rFonts w:hint="eastAsia"/>
          <w:color w:val="auto"/>
        </w:rPr>
        <w:t>作用层面：</w:t>
      </w:r>
    </w:p>
    <w:p w14:paraId="1955534E">
      <w:pPr>
        <w:bidi w:val="0"/>
        <w:rPr>
          <w:rFonts w:hint="eastAsia"/>
          <w:color w:val="auto"/>
        </w:rPr>
      </w:pPr>
      <w:r>
        <w:rPr>
          <w:rFonts w:hint="eastAsia"/>
          <w:color w:val="auto"/>
        </w:rPr>
        <w:t>质量把关：通过对原材料关键指标的复验，及时识别 “不合格” 材料（如图中热缩膜罩内径复验结果不合格），避免不合格原材料流入生产环节，从源头降低质量风险。</w:t>
      </w:r>
    </w:p>
    <w:p w14:paraId="683B6D40">
      <w:pPr>
        <w:bidi w:val="0"/>
        <w:rPr>
          <w:rFonts w:hint="eastAsia"/>
          <w:color w:val="auto"/>
        </w:rPr>
      </w:pPr>
      <w:r>
        <w:rPr>
          <w:rFonts w:hint="eastAsia"/>
          <w:color w:val="auto"/>
        </w:rPr>
        <w:t>流程追溯：完整的单据信息（含编号、人员、时间、数据等）构建了原材料复验的可追溯链条，便于后续质量问题溯源、责任界定及流程优化。</w:t>
      </w:r>
    </w:p>
    <w:p w14:paraId="21A0A3B3">
      <w:pPr>
        <w:bidi w:val="0"/>
        <w:rPr>
          <w:rFonts w:hint="eastAsia"/>
          <w:color w:val="auto"/>
        </w:rPr>
      </w:pPr>
      <w:r>
        <w:rPr>
          <w:rFonts w:hint="eastAsia"/>
          <w:color w:val="auto"/>
        </w:rPr>
        <w:t>合规管理：标准化的复验流程与记录表单，满足企业内部质量管理规范及外部质量审计、监管的合规要求，助力企业建立严谨的原材料质量管控体系。</w:t>
      </w:r>
    </w:p>
    <w:p w14:paraId="499720C4">
      <w:pPr>
        <w:pStyle w:val="42"/>
        <w:bidi w:val="0"/>
        <w:rPr>
          <w:rFonts w:hint="default"/>
          <w:color w:val="auto"/>
        </w:rPr>
      </w:pPr>
      <w:r>
        <w:rPr>
          <w:rFonts w:hint="default"/>
          <w:color w:val="auto"/>
        </w:rPr>
        <w:drawing>
          <wp:inline distT="0" distB="0" distL="114300" distR="114300">
            <wp:extent cx="5243195" cy="1889125"/>
            <wp:effectExtent l="0" t="0" r="14605" b="635"/>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a:picLocks noChangeAspect="1"/>
                    </pic:cNvPicPr>
                  </pic:nvPicPr>
                  <pic:blipFill>
                    <a:blip r:embed="rId59"/>
                    <a:stretch>
                      <a:fillRect/>
                    </a:stretch>
                  </pic:blipFill>
                  <pic:spPr>
                    <a:xfrm>
                      <a:off x="0" y="0"/>
                      <a:ext cx="5243195" cy="1889125"/>
                    </a:xfrm>
                    <a:prstGeom prst="rect">
                      <a:avLst/>
                    </a:prstGeom>
                  </pic:spPr>
                </pic:pic>
              </a:graphicData>
            </a:graphic>
          </wp:inline>
        </w:drawing>
      </w:r>
    </w:p>
    <w:p w14:paraId="778AF53D">
      <w:pPr>
        <w:pStyle w:val="37"/>
        <w:bidi w:val="0"/>
        <w:rPr>
          <w:rFonts w:hint="default"/>
          <w:color w:val="auto"/>
        </w:rPr>
      </w:pPr>
      <w:r>
        <w:rPr>
          <w:rFonts w:hint="default"/>
          <w:color w:val="auto"/>
        </w:rPr>
        <w:t>空罐最终检验报告表单</w:t>
      </w:r>
      <w:r>
        <w:rPr>
          <w:rFonts w:hint="eastAsia"/>
          <w:color w:val="auto"/>
          <w:lang w:eastAsia="zh-CN"/>
        </w:rPr>
        <w:t>（</w:t>
      </w:r>
      <w:r>
        <w:rPr>
          <w:rFonts w:hint="eastAsia"/>
          <w:color w:val="auto"/>
          <w:lang w:val="en-US" w:eastAsia="zh-CN"/>
        </w:rPr>
        <w:t>定制开发</w:t>
      </w:r>
      <w:r>
        <w:rPr>
          <w:rFonts w:hint="eastAsia"/>
          <w:color w:val="auto"/>
          <w:lang w:eastAsia="zh-CN"/>
        </w:rPr>
        <w:t>）</w:t>
      </w:r>
    </w:p>
    <w:p w14:paraId="28974D7E">
      <w:pPr>
        <w:bidi w:val="0"/>
        <w:rPr>
          <w:rFonts w:hint="default"/>
          <w:color w:val="auto"/>
        </w:rPr>
      </w:pPr>
      <w:r>
        <w:rPr>
          <w:rFonts w:hint="default"/>
          <w:color w:val="auto"/>
        </w:rPr>
        <w:t>该 “空罐最终检验报告” 表单是数智工厂质量管理模块中空罐质量检测环节的核心单据，用于对生产环节的空罐（如红牛品类空罐）进行多维度质量检验与管理，保障空罐质量符合生产与产品标准。</w:t>
      </w:r>
    </w:p>
    <w:p w14:paraId="2156B535">
      <w:pPr>
        <w:bidi w:val="0"/>
        <w:rPr>
          <w:rFonts w:hint="default"/>
          <w:color w:val="auto"/>
        </w:rPr>
      </w:pPr>
      <w:r>
        <w:rPr>
          <w:rFonts w:hint="default"/>
          <w:color w:val="auto"/>
        </w:rPr>
        <w:t>功能层面：</w:t>
      </w:r>
    </w:p>
    <w:p w14:paraId="1505E42C">
      <w:pPr>
        <w:bidi w:val="0"/>
        <w:rPr>
          <w:rFonts w:hint="default"/>
          <w:color w:val="auto"/>
        </w:rPr>
      </w:pPr>
      <w:r>
        <w:rPr>
          <w:rFonts w:hint="default"/>
          <w:color w:val="auto"/>
        </w:rPr>
        <w:t>基础信息管理：记录单据编号、生产批号、产品类型、检验日期、产品大类、检验员、产线、制单人等关键信息，明确检验对象、责任主体与时间节点，形成空罐检验的基础档案。</w:t>
      </w:r>
    </w:p>
    <w:p w14:paraId="2D7DAD9F">
      <w:pPr>
        <w:bidi w:val="0"/>
        <w:rPr>
          <w:rFonts w:hint="default"/>
          <w:color w:val="auto"/>
        </w:rPr>
      </w:pPr>
      <w:r>
        <w:rPr>
          <w:rFonts w:hint="default"/>
          <w:color w:val="auto"/>
        </w:rPr>
        <w:t>多指标检验记录：在 “检验信息” 栏，针对空罐的罐体高度、翻边尺寸、宽度、身钩长度、盖钩长度、残糖长度、迭接率、厚度、盖钩间隙、罐钩间隙、皱纹度、蓝点尺寸、罐内径等多项关键质量指标进行检测记录，实现对空罐物理特性的全面检验覆盖。</w:t>
      </w:r>
    </w:p>
    <w:p w14:paraId="64BC80A7">
      <w:pPr>
        <w:bidi w:val="0"/>
        <w:rPr>
          <w:rFonts w:hint="default"/>
          <w:color w:val="auto"/>
        </w:rPr>
      </w:pPr>
      <w:r>
        <w:rPr>
          <w:rFonts w:hint="default"/>
          <w:color w:val="auto"/>
        </w:rPr>
        <w:t>状态与附件管理：支持标记检验状态（检验中、已完成等），并可通过 “附件信息” 上传检验相关的凭证（如检测设备数据截图、空罐实物照片），“备注” 栏用于补充特殊检验说明，确保检验流程的信息完整性。</w:t>
      </w:r>
    </w:p>
    <w:p w14:paraId="36408025">
      <w:pPr>
        <w:bidi w:val="0"/>
        <w:rPr>
          <w:rFonts w:hint="default"/>
          <w:color w:val="auto"/>
        </w:rPr>
      </w:pPr>
      <w:r>
        <w:rPr>
          <w:rFonts w:hint="default"/>
          <w:color w:val="auto"/>
        </w:rPr>
        <w:t>作用层面：</w:t>
      </w:r>
    </w:p>
    <w:p w14:paraId="55096BDC">
      <w:pPr>
        <w:bidi w:val="0"/>
        <w:rPr>
          <w:rFonts w:hint="default"/>
          <w:color w:val="auto"/>
        </w:rPr>
      </w:pPr>
      <w:r>
        <w:rPr>
          <w:rFonts w:hint="default"/>
          <w:color w:val="auto"/>
        </w:rPr>
        <w:t>空罐质量把控：通过对空罐多项关键指标的精准检测，及时识别质量异常（如尺寸偏差、结构缺陷等），避免不合格空罐进入后续生产环节，保障最终产品的包装质量与安全性。</w:t>
      </w:r>
    </w:p>
    <w:p w14:paraId="17FAEBB9">
      <w:pPr>
        <w:bidi w:val="0"/>
        <w:rPr>
          <w:rFonts w:hint="default"/>
          <w:color w:val="auto"/>
        </w:rPr>
      </w:pPr>
      <w:r>
        <w:rPr>
          <w:rFonts w:hint="default"/>
          <w:color w:val="auto"/>
        </w:rPr>
        <w:t>生产过程追溯：完整的单据信息（含编号、产线、人员、时间、检测数据等）构建了空罐检验的可追溯链条，便于后续质量问题溯源、生产工艺优化及责任界定。</w:t>
      </w:r>
    </w:p>
    <w:p w14:paraId="72848386">
      <w:pPr>
        <w:bidi w:val="0"/>
        <w:rPr>
          <w:rFonts w:hint="default"/>
          <w:color w:val="auto"/>
        </w:rPr>
      </w:pPr>
      <w:r>
        <w:rPr>
          <w:rFonts w:hint="default"/>
          <w:color w:val="auto"/>
        </w:rPr>
        <w:t>合规与标准化管理：标准化的检验流程与记录表单，既满足企业内部空罐质量管控的规范要求，也为外部质量审计、行业监管提供了可查、可验的合规依据，助力企业建立系统化的空罐质量保障体系。</w:t>
      </w:r>
    </w:p>
    <w:p w14:paraId="2FE030DB">
      <w:pPr>
        <w:pStyle w:val="42"/>
        <w:bidi w:val="0"/>
        <w:rPr>
          <w:rFonts w:hint="default"/>
          <w:color w:val="auto"/>
        </w:rPr>
      </w:pPr>
      <w:r>
        <w:rPr>
          <w:rFonts w:hint="default"/>
          <w:color w:val="auto"/>
        </w:rPr>
        <w:drawing>
          <wp:inline distT="0" distB="0" distL="114300" distR="114300">
            <wp:extent cx="5263515" cy="1951990"/>
            <wp:effectExtent l="0" t="0" r="9525" b="1397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pic:cNvPicPr>
                  </pic:nvPicPr>
                  <pic:blipFill>
                    <a:blip r:embed="rId60"/>
                    <a:stretch>
                      <a:fillRect/>
                    </a:stretch>
                  </pic:blipFill>
                  <pic:spPr>
                    <a:xfrm>
                      <a:off x="0" y="0"/>
                      <a:ext cx="5263515" cy="1951990"/>
                    </a:xfrm>
                    <a:prstGeom prst="rect">
                      <a:avLst/>
                    </a:prstGeom>
                  </pic:spPr>
                </pic:pic>
              </a:graphicData>
            </a:graphic>
          </wp:inline>
        </w:drawing>
      </w:r>
    </w:p>
    <w:p w14:paraId="5BFCE7FA">
      <w:pPr>
        <w:pStyle w:val="37"/>
        <w:bidi w:val="0"/>
        <w:rPr>
          <w:rFonts w:hint="default"/>
          <w:color w:val="auto"/>
        </w:rPr>
      </w:pPr>
      <w:r>
        <w:rPr>
          <w:rFonts w:hint="default"/>
          <w:color w:val="auto"/>
        </w:rPr>
        <w:t>VB12 称重记录表单</w:t>
      </w:r>
    </w:p>
    <w:p w14:paraId="69F75D3A">
      <w:pPr>
        <w:bidi w:val="0"/>
        <w:rPr>
          <w:rFonts w:hint="default"/>
          <w:color w:val="auto"/>
        </w:rPr>
      </w:pPr>
      <w:r>
        <w:rPr>
          <w:rFonts w:hint="default"/>
          <w:color w:val="auto"/>
        </w:rPr>
        <w:t>该 “VB12 称重记录” 表单是数智工厂质量管理模块中原材料（VB12 类物料）称重管理环节的核心单据，用于对 VB12 物料的称重过程进行精准记录与数据管理，保障物料称重的准确性与可追溯性。</w:t>
      </w:r>
    </w:p>
    <w:p w14:paraId="71D48C0E">
      <w:pPr>
        <w:bidi w:val="0"/>
        <w:rPr>
          <w:rFonts w:hint="default"/>
          <w:color w:val="auto"/>
        </w:rPr>
      </w:pPr>
      <w:r>
        <w:rPr>
          <w:rFonts w:hint="default"/>
          <w:color w:val="auto"/>
        </w:rPr>
        <w:t>功能层面：</w:t>
      </w:r>
    </w:p>
    <w:p w14:paraId="0D2660F2">
      <w:pPr>
        <w:bidi w:val="0"/>
        <w:rPr>
          <w:rFonts w:hint="default"/>
          <w:color w:val="auto"/>
        </w:rPr>
      </w:pPr>
      <w:r>
        <w:rPr>
          <w:rFonts w:hint="default"/>
          <w:color w:val="auto"/>
        </w:rPr>
        <w:t>基础信息管理：支持录入称重单号、品类、物料名称、规格、单位等信息，明确称重对象与基本属性；同时记录称重人、称重日期、备注等，界定称重责任与时间节点，形成称重流程的基础档案。</w:t>
      </w:r>
    </w:p>
    <w:p w14:paraId="66B3BC1F">
      <w:pPr>
        <w:bidi w:val="0"/>
        <w:rPr>
          <w:rFonts w:hint="default"/>
          <w:color w:val="auto"/>
        </w:rPr>
      </w:pPr>
      <w:r>
        <w:rPr>
          <w:rFonts w:hint="default"/>
          <w:color w:val="auto"/>
        </w:rPr>
        <w:t>领用与配方管理：通过 “领用信息” 栏，关联 “9506 配料库” 与 “VB12 配方库”，实现物料领用的配方级管控，确保 VB12 物料领用符合生产配方要求；还可记录物料的内部批次、分装前毛重、条码、原厂批次、供应商、生产日期等信息，完善物料溯源维度。</w:t>
      </w:r>
    </w:p>
    <w:p w14:paraId="4C4316FC">
      <w:pPr>
        <w:bidi w:val="0"/>
        <w:rPr>
          <w:rFonts w:hint="default"/>
          <w:color w:val="auto"/>
        </w:rPr>
      </w:pPr>
      <w:r>
        <w:rPr>
          <w:rFonts w:hint="default"/>
          <w:color w:val="auto"/>
        </w:rPr>
        <w:t>称重数据集成：支持对接电子秤自动获取当前重量，同时具备手动记录、导入记录功能，满足不同场景下的称重数据录入需求；“称重计算” 模块可自动计算分装前后重量差、实际分装用量、理论称重、均重等关键数据，实现称重数据的自动化统计分析。</w:t>
      </w:r>
    </w:p>
    <w:p w14:paraId="38AA8341">
      <w:pPr>
        <w:bidi w:val="0"/>
        <w:rPr>
          <w:rFonts w:hint="default"/>
          <w:color w:val="auto"/>
        </w:rPr>
      </w:pPr>
      <w:r>
        <w:rPr>
          <w:rFonts w:hint="default"/>
          <w:color w:val="auto"/>
        </w:rPr>
        <w:t>数据导出与交互：提供 “记录模板导出” 功能，便于数据的外部存档与分析；“电子秤交互端” 支持与电子秤设备的深度交互，保障称重数据的实时性与准确性。</w:t>
      </w:r>
    </w:p>
    <w:p w14:paraId="6B6FD358">
      <w:pPr>
        <w:bidi w:val="0"/>
        <w:rPr>
          <w:rFonts w:hint="default"/>
          <w:color w:val="auto"/>
        </w:rPr>
      </w:pPr>
      <w:r>
        <w:rPr>
          <w:rFonts w:hint="default"/>
          <w:color w:val="auto"/>
        </w:rPr>
        <w:t>作用层面：</w:t>
      </w:r>
    </w:p>
    <w:p w14:paraId="0BFCCD18">
      <w:pPr>
        <w:bidi w:val="0"/>
        <w:rPr>
          <w:rFonts w:hint="default"/>
          <w:color w:val="auto"/>
        </w:rPr>
      </w:pPr>
      <w:r>
        <w:rPr>
          <w:rFonts w:hint="default"/>
          <w:color w:val="auto"/>
        </w:rPr>
        <w:t>称重精度把控：通过电子秤对接与自动化计算，避免人工称重的误差，确保 VB12 物料称重的精准性，为后续生产配方的准确执行奠定基础，保障产品质量的稳定性。</w:t>
      </w:r>
    </w:p>
    <w:p w14:paraId="7DD8D153">
      <w:pPr>
        <w:bidi w:val="0"/>
        <w:rPr>
          <w:rFonts w:hint="default"/>
          <w:color w:val="auto"/>
        </w:rPr>
      </w:pPr>
      <w:r>
        <w:rPr>
          <w:rFonts w:hint="default"/>
          <w:color w:val="auto"/>
        </w:rPr>
        <w:t>物料溯源管理：完整的物料信息（原厂批次、供应商、生产日期等）与称重流程信息（称重人、日期、数据等），构建了 VB12 物料从领用、称重到使用的全链路追溯体系，便于质量问题溯源与物料批次管理。</w:t>
      </w:r>
    </w:p>
    <w:p w14:paraId="241BF587">
      <w:pPr>
        <w:bidi w:val="0"/>
        <w:rPr>
          <w:rFonts w:hint="default"/>
          <w:color w:val="auto"/>
        </w:rPr>
      </w:pPr>
      <w:r>
        <w:rPr>
          <w:rFonts w:hint="default"/>
          <w:color w:val="auto"/>
        </w:rPr>
        <w:t>生产合规与效率提升：标准化的称重流程与数据管理，既满足食品 / 医药行业对原料称重的合规要求，又通过自动化计算与数据集成，提升称重环节的作业效率，减少人工操作成本与错误率。</w:t>
      </w:r>
    </w:p>
    <w:p w14:paraId="39FDB155">
      <w:pPr>
        <w:pStyle w:val="42"/>
        <w:wordWrap/>
        <w:overflowPunct/>
        <w:topLinePunct w:val="0"/>
        <w:bidi w:val="0"/>
        <w:snapToGrid w:val="0"/>
        <w:spacing w:beforeAutospacing="0" w:afterAutospacing="0" w:line="360" w:lineRule="auto"/>
        <w:rPr>
          <w:rFonts w:hint="default"/>
          <w:color w:val="auto"/>
        </w:rPr>
      </w:pPr>
      <w:r>
        <w:rPr>
          <w:rFonts w:hint="default"/>
          <w:color w:val="auto"/>
        </w:rPr>
        <w:drawing>
          <wp:inline distT="0" distB="0" distL="114300" distR="114300">
            <wp:extent cx="5267960" cy="1974850"/>
            <wp:effectExtent l="0" t="0" r="5080" b="635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61"/>
                    <a:stretch>
                      <a:fillRect/>
                    </a:stretch>
                  </pic:blipFill>
                  <pic:spPr>
                    <a:xfrm>
                      <a:off x="0" y="0"/>
                      <a:ext cx="5267960" cy="1974850"/>
                    </a:xfrm>
                    <a:prstGeom prst="rect">
                      <a:avLst/>
                    </a:prstGeom>
                  </pic:spPr>
                </pic:pic>
              </a:graphicData>
            </a:graphic>
          </wp:inline>
        </w:drawing>
      </w:r>
    </w:p>
    <w:p w14:paraId="216B27F0">
      <w:pPr>
        <w:pStyle w:val="37"/>
        <w:bidi w:val="0"/>
        <w:rPr>
          <w:rFonts w:hint="default"/>
          <w:color w:val="auto"/>
        </w:rPr>
      </w:pPr>
      <w:r>
        <w:rPr>
          <w:rFonts w:hint="default"/>
          <w:color w:val="auto"/>
        </w:rPr>
        <w:t>成品最终检验报告表单</w:t>
      </w:r>
    </w:p>
    <w:p w14:paraId="34C14FD3">
      <w:pPr>
        <w:bidi w:val="0"/>
        <w:rPr>
          <w:rFonts w:hint="default"/>
          <w:color w:val="auto"/>
        </w:rPr>
      </w:pPr>
      <w:r>
        <w:rPr>
          <w:rFonts w:hint="default"/>
          <w:color w:val="auto"/>
        </w:rPr>
        <w:t>该 “成品最终检验报告” 表单是数智工厂质量管理模块中成品质量检测环节的核心单据，用于对成品（如红牛维生素功能饮料）进行多维度质量检验与管理，保障成品质量符合标准与市场要求。</w:t>
      </w:r>
    </w:p>
    <w:p w14:paraId="0847BE2C">
      <w:pPr>
        <w:bidi w:val="0"/>
        <w:rPr>
          <w:rFonts w:hint="default"/>
          <w:color w:val="auto"/>
        </w:rPr>
      </w:pPr>
      <w:r>
        <w:rPr>
          <w:rFonts w:hint="default"/>
          <w:color w:val="auto"/>
        </w:rPr>
        <w:t>功能层面：</w:t>
      </w:r>
    </w:p>
    <w:p w14:paraId="30F57292">
      <w:pPr>
        <w:bidi w:val="0"/>
        <w:rPr>
          <w:rFonts w:hint="default"/>
          <w:color w:val="auto"/>
        </w:rPr>
      </w:pPr>
      <w:r>
        <w:rPr>
          <w:rFonts w:hint="default"/>
          <w:color w:val="auto"/>
        </w:rPr>
        <w:t>基础信息管理：记录单据编号、状态、制单人、创建时间，以及产品名称、线别、批次、检测日期、产品大类、产品类型等关键信息，明确检验对象、生产背景与时间节点，形成成品检验的基础档案。</w:t>
      </w:r>
    </w:p>
    <w:p w14:paraId="01700762">
      <w:pPr>
        <w:bidi w:val="0"/>
        <w:rPr>
          <w:rFonts w:hint="default"/>
          <w:color w:val="auto"/>
        </w:rPr>
      </w:pPr>
      <w:r>
        <w:rPr>
          <w:rFonts w:hint="default"/>
          <w:color w:val="auto"/>
        </w:rPr>
        <w:t>多指标检验记录：在 “检验信息” 栏，针对成品的宽度、身钩长度、盖钩长度、残糖长度、迭接率、厚度、盖钩间隙、罐钩间隙、皱纹度等多项关键质量指标进行检测记录，实现对成品物理特性的全面检验覆盖。</w:t>
      </w:r>
    </w:p>
    <w:p w14:paraId="700C1DE2">
      <w:pPr>
        <w:bidi w:val="0"/>
        <w:rPr>
          <w:rFonts w:hint="default"/>
          <w:color w:val="auto"/>
        </w:rPr>
      </w:pPr>
      <w:r>
        <w:rPr>
          <w:rFonts w:hint="default"/>
          <w:color w:val="auto"/>
        </w:rPr>
        <w:t>流程与附件管理：支持标记检验结果、复验结果，记录检验员、复核员信息，同时可通过 “附件信息” 上传检验相关凭证（如成品实物照片、检测设备数据），“备注” 栏用于补充特殊检验说明，确保检验流程的信息完整性。</w:t>
      </w:r>
    </w:p>
    <w:p w14:paraId="7791C059">
      <w:pPr>
        <w:bidi w:val="0"/>
        <w:rPr>
          <w:rFonts w:hint="default"/>
          <w:color w:val="auto"/>
        </w:rPr>
      </w:pPr>
      <w:r>
        <w:rPr>
          <w:rFonts w:hint="default"/>
          <w:color w:val="auto"/>
        </w:rPr>
        <w:t>作用层面：</w:t>
      </w:r>
    </w:p>
    <w:p w14:paraId="1EB2EB96">
      <w:pPr>
        <w:bidi w:val="0"/>
        <w:rPr>
          <w:rFonts w:hint="default"/>
          <w:color w:val="auto"/>
        </w:rPr>
      </w:pPr>
      <w:r>
        <w:rPr>
          <w:rFonts w:hint="default"/>
          <w:color w:val="auto"/>
        </w:rPr>
        <w:t>成品质量把控：通过对成品多项关键指标的精准检测，及时识别质量异常（如尺寸偏差、结构缺陷等），避免不合格成品流入市场，保障产品的消费安全性与品牌口碑。</w:t>
      </w:r>
    </w:p>
    <w:p w14:paraId="7629DFEE">
      <w:pPr>
        <w:bidi w:val="0"/>
        <w:rPr>
          <w:rFonts w:hint="default"/>
          <w:color w:val="auto"/>
        </w:rPr>
      </w:pPr>
      <w:r>
        <w:rPr>
          <w:rFonts w:hint="default"/>
          <w:color w:val="auto"/>
        </w:rPr>
        <w:t>生产全链路追溯：完整的单据信息（含编号、批次、产线、人员、时间、检测数据等）构建了成品从生产到检验的可追溯链条，便于后续质量问题溯源、生产工艺优化及责任界定。</w:t>
      </w:r>
    </w:p>
    <w:p w14:paraId="01E646D8">
      <w:pPr>
        <w:bidi w:val="0"/>
        <w:rPr>
          <w:rFonts w:hint="default"/>
          <w:color w:val="auto"/>
        </w:rPr>
      </w:pPr>
      <w:r>
        <w:rPr>
          <w:rFonts w:hint="default"/>
          <w:color w:val="auto"/>
        </w:rPr>
        <w:t>合规与品牌保障：标准化的检验流程与记录表单，既满足食品行业对成品质量管控的合规要求，也为品牌维护提供了质量硬证据，助力企业建立系统化的成品质量保障体系，提升市场竞争力。</w:t>
      </w:r>
    </w:p>
    <w:p w14:paraId="4778A319">
      <w:pPr>
        <w:pStyle w:val="42"/>
        <w:wordWrap/>
        <w:overflowPunct/>
        <w:topLinePunct w:val="0"/>
        <w:bidi w:val="0"/>
        <w:snapToGrid w:val="0"/>
        <w:spacing w:beforeAutospacing="0" w:afterAutospacing="0" w:line="360" w:lineRule="auto"/>
        <w:rPr>
          <w:rFonts w:hint="default"/>
          <w:color w:val="auto"/>
        </w:rPr>
      </w:pPr>
      <w:r>
        <w:rPr>
          <w:rFonts w:hint="default"/>
          <w:color w:val="auto"/>
        </w:rPr>
        <w:drawing>
          <wp:inline distT="0" distB="0" distL="114300" distR="114300">
            <wp:extent cx="5253990" cy="1920240"/>
            <wp:effectExtent l="0" t="0" r="381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pic:cNvPicPr>
                  </pic:nvPicPr>
                  <pic:blipFill>
                    <a:blip r:embed="rId62"/>
                    <a:stretch>
                      <a:fillRect/>
                    </a:stretch>
                  </pic:blipFill>
                  <pic:spPr>
                    <a:xfrm>
                      <a:off x="0" y="0"/>
                      <a:ext cx="5253990" cy="1920240"/>
                    </a:xfrm>
                    <a:prstGeom prst="rect">
                      <a:avLst/>
                    </a:prstGeom>
                  </pic:spPr>
                </pic:pic>
              </a:graphicData>
            </a:graphic>
          </wp:inline>
        </w:drawing>
      </w:r>
    </w:p>
    <w:p w14:paraId="337400D5">
      <w:pPr>
        <w:pStyle w:val="37"/>
        <w:bidi w:val="0"/>
        <w:rPr>
          <w:rFonts w:hint="default"/>
          <w:color w:val="auto"/>
        </w:rPr>
      </w:pPr>
      <w:r>
        <w:rPr>
          <w:rFonts w:hint="default"/>
          <w:color w:val="auto"/>
        </w:rPr>
        <w:t>Brix、pH 值分析检验报告单表单</w:t>
      </w:r>
      <w:r>
        <w:rPr>
          <w:rFonts w:hint="eastAsia"/>
          <w:color w:val="auto"/>
          <w:lang w:eastAsia="zh-CN"/>
        </w:rPr>
        <w:t>（</w:t>
      </w:r>
      <w:r>
        <w:rPr>
          <w:rFonts w:hint="eastAsia"/>
          <w:color w:val="auto"/>
          <w:lang w:val="en-US" w:eastAsia="zh-CN"/>
        </w:rPr>
        <w:t>定制开发</w:t>
      </w:r>
      <w:r>
        <w:rPr>
          <w:rFonts w:hint="eastAsia"/>
          <w:color w:val="auto"/>
          <w:lang w:eastAsia="zh-CN"/>
        </w:rPr>
        <w:t>）</w:t>
      </w:r>
    </w:p>
    <w:p w14:paraId="1C7411FC">
      <w:pPr>
        <w:bidi w:val="0"/>
        <w:rPr>
          <w:rFonts w:hint="default"/>
          <w:color w:val="auto"/>
        </w:rPr>
      </w:pPr>
      <w:r>
        <w:rPr>
          <w:rFonts w:hint="default"/>
          <w:color w:val="auto"/>
        </w:rPr>
        <w:t>该 “Brix、pH 值分析检验报告单” 表单是数智工厂质量管理模块中成品理化指标检测环节的核心单据，用于对成品（如红牛维生素功能饮料）的可溶性固形物（Brix）、pH 值、牛磺酸、咖啡因等关键理化指标进行检测与管理，保障成品的理化质量符合标准。</w:t>
      </w:r>
    </w:p>
    <w:p w14:paraId="3D1BC1B5">
      <w:pPr>
        <w:bidi w:val="0"/>
        <w:rPr>
          <w:rFonts w:hint="default"/>
          <w:color w:val="auto"/>
        </w:rPr>
      </w:pPr>
      <w:r>
        <w:rPr>
          <w:rFonts w:hint="default"/>
          <w:color w:val="auto"/>
        </w:rPr>
        <w:t>功能层面：</w:t>
      </w:r>
    </w:p>
    <w:p w14:paraId="0EDF2D28">
      <w:pPr>
        <w:bidi w:val="0"/>
        <w:rPr>
          <w:rFonts w:hint="default"/>
          <w:color w:val="auto"/>
        </w:rPr>
      </w:pPr>
      <w:r>
        <w:rPr>
          <w:rFonts w:hint="default"/>
          <w:color w:val="auto"/>
        </w:rPr>
        <w:t>基础信息管理：记录单据编号、状态、制单人、创建时间，以及产品名称、批次、线别、检测日期、产品大类、产品类型、检验员等关键信息，明确检验对象、生产背景与责任主体，形成理化检验的基础档案。</w:t>
      </w:r>
    </w:p>
    <w:p w14:paraId="5278832C">
      <w:pPr>
        <w:bidi w:val="0"/>
        <w:rPr>
          <w:rFonts w:hint="default"/>
          <w:color w:val="auto"/>
        </w:rPr>
      </w:pPr>
      <w:r>
        <w:rPr>
          <w:rFonts w:hint="default"/>
          <w:color w:val="auto"/>
        </w:rPr>
        <w:t>多指标检测记录：在 “检验信息” 栏，针对可溶性固形物、pH 值、牛磺酸、咖啡因、ABS（吸光度）、检测波长（nm）等多项关键理化指标进行检测记录，涵盖指标的参考范围（如 pH 3.40-3.55、牛磺酸 350-500mg/L 等）与实际检测值，实现对成品理化特性的全面检验覆盖。</w:t>
      </w:r>
    </w:p>
    <w:p w14:paraId="08C49397">
      <w:pPr>
        <w:bidi w:val="0"/>
        <w:rPr>
          <w:rFonts w:hint="default"/>
          <w:color w:val="auto"/>
        </w:rPr>
      </w:pPr>
      <w:r>
        <w:rPr>
          <w:rFonts w:hint="default"/>
          <w:color w:val="auto"/>
        </w:rPr>
        <w:t>数据与图表管理：支持关联 “UV 曲线图”（用于理化检测的光谱分析可视化），同时可在 “备注” 栏说明检测所用仪器（如阿贝折光仪、pH 计、分光光度计等），确保检测方法与数据的可追溯性。</w:t>
      </w:r>
    </w:p>
    <w:p w14:paraId="1B0D9589">
      <w:pPr>
        <w:bidi w:val="0"/>
        <w:rPr>
          <w:rFonts w:hint="default"/>
          <w:color w:val="auto"/>
        </w:rPr>
      </w:pPr>
      <w:r>
        <w:rPr>
          <w:rFonts w:hint="default"/>
          <w:color w:val="auto"/>
        </w:rPr>
        <w:t>作用层面：</w:t>
      </w:r>
    </w:p>
    <w:p w14:paraId="39583248">
      <w:pPr>
        <w:bidi w:val="0"/>
        <w:rPr>
          <w:rFonts w:hint="default"/>
          <w:color w:val="auto"/>
        </w:rPr>
      </w:pPr>
      <w:r>
        <w:rPr>
          <w:rFonts w:hint="default"/>
          <w:color w:val="auto"/>
        </w:rPr>
        <w:t>理化质量把控：通过对成品多项理化指标的精准检测，及时识别指标偏差（如可溶性固形物不达标、pH 值超出范围等），避免理化不合格的成品流入市场，保障产品的营养成分、口感稳定性与安全性。</w:t>
      </w:r>
    </w:p>
    <w:p w14:paraId="51CFD6B8">
      <w:pPr>
        <w:bidi w:val="0"/>
        <w:rPr>
          <w:rFonts w:hint="default"/>
          <w:color w:val="auto"/>
        </w:rPr>
      </w:pPr>
      <w:r>
        <w:rPr>
          <w:rFonts w:hint="default"/>
          <w:color w:val="auto"/>
        </w:rPr>
        <w:t>生产工艺验证：理化指标的检测结果可反向验证生产工艺的稳定性（如配方执行、生产参数控制等），助力企业优化生产工艺，提升成品理化质量的一致性。</w:t>
      </w:r>
    </w:p>
    <w:p w14:paraId="1B67D268">
      <w:pPr>
        <w:bidi w:val="0"/>
        <w:rPr>
          <w:rFonts w:hint="default"/>
          <w:color w:val="auto"/>
        </w:rPr>
      </w:pPr>
      <w:r>
        <w:rPr>
          <w:rFonts w:hint="default"/>
          <w:color w:val="auto"/>
        </w:rPr>
        <w:t>合规与标准契合：标准化的理化检验流程与记录表单，既满足食品行业对成品理化指标管控的合规要求，也为产品质量对标（如与国家标准、企业标准比对）提供数据支撑，助力企业建立系统化的成品理化质量保障体系。</w:t>
      </w:r>
    </w:p>
    <w:p w14:paraId="28811C08">
      <w:pPr>
        <w:pStyle w:val="42"/>
        <w:bidi w:val="0"/>
        <w:rPr>
          <w:rFonts w:hint="default"/>
          <w:color w:val="auto"/>
        </w:rPr>
      </w:pPr>
      <w:r>
        <w:rPr>
          <w:rFonts w:hint="default"/>
          <w:color w:val="auto"/>
        </w:rPr>
        <w:drawing>
          <wp:inline distT="0" distB="0" distL="114300" distR="114300">
            <wp:extent cx="5271135" cy="1938020"/>
            <wp:effectExtent l="0" t="0" r="1905" b="1270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63"/>
                    <a:stretch>
                      <a:fillRect/>
                    </a:stretch>
                  </pic:blipFill>
                  <pic:spPr>
                    <a:xfrm>
                      <a:off x="0" y="0"/>
                      <a:ext cx="5271135" cy="1938020"/>
                    </a:xfrm>
                    <a:prstGeom prst="rect">
                      <a:avLst/>
                    </a:prstGeom>
                  </pic:spPr>
                </pic:pic>
              </a:graphicData>
            </a:graphic>
          </wp:inline>
        </w:drawing>
      </w:r>
    </w:p>
    <w:p w14:paraId="24DD009D">
      <w:pPr>
        <w:pStyle w:val="37"/>
        <w:bidi w:val="0"/>
        <w:rPr>
          <w:rFonts w:hint="default"/>
          <w:color w:val="auto"/>
        </w:rPr>
      </w:pPr>
      <w:r>
        <w:rPr>
          <w:rFonts w:hint="default"/>
          <w:color w:val="auto"/>
        </w:rPr>
        <w:t>QA 量测检验报告</w:t>
      </w:r>
    </w:p>
    <w:p w14:paraId="1AEF77CD">
      <w:pPr>
        <w:bidi w:val="0"/>
        <w:rPr>
          <w:rFonts w:hint="default"/>
          <w:color w:val="auto"/>
        </w:rPr>
      </w:pPr>
      <w:r>
        <w:rPr>
          <w:rFonts w:hint="default"/>
          <w:color w:val="auto"/>
        </w:rPr>
        <w:t>该 “QA 量测检验报告单（总砷）” 表单是数智工厂质量管理模块中成品安全指标检测环节的核心单据，用于对成品（如红牛维生素功能饮料）的总砷含量进行专业检测与管理，保障成品的安全性符合国家及行业标准。</w:t>
      </w:r>
    </w:p>
    <w:p w14:paraId="1F0BE8F9">
      <w:pPr>
        <w:bidi w:val="0"/>
        <w:rPr>
          <w:rFonts w:hint="default"/>
          <w:color w:val="auto"/>
        </w:rPr>
      </w:pPr>
      <w:r>
        <w:rPr>
          <w:rFonts w:hint="default"/>
          <w:color w:val="auto"/>
        </w:rPr>
        <w:t>功能层面：</w:t>
      </w:r>
    </w:p>
    <w:p w14:paraId="07545A2C">
      <w:pPr>
        <w:bidi w:val="0"/>
        <w:rPr>
          <w:rFonts w:hint="default"/>
          <w:color w:val="auto"/>
        </w:rPr>
      </w:pPr>
      <w:r>
        <w:rPr>
          <w:rFonts w:hint="default"/>
          <w:color w:val="auto"/>
        </w:rPr>
        <w:t>基础信息管理：记录单据编号、检验项目（总砷）、检测日期、仪器名称（质谱仪）、仪器编号、产品名称、产品类型、产品大类、检验依据（如 Q/RBF-TS-QC-033-2025）等关键信息，明确检测对象、设备、标准与责任主体，形成总砷检测的基础档案。</w:t>
      </w:r>
    </w:p>
    <w:p w14:paraId="3437362D">
      <w:pPr>
        <w:bidi w:val="0"/>
        <w:rPr>
          <w:rFonts w:hint="default"/>
          <w:color w:val="auto"/>
        </w:rPr>
      </w:pPr>
      <w:r>
        <w:rPr>
          <w:rFonts w:hint="default"/>
          <w:color w:val="auto"/>
        </w:rPr>
        <w:t>检测流程全记录：包含样品前处理（如反应管操作、加热溶解等步骤）、检测条件（检测试剂、仪器参数、载气流量等）、标准曲线配置（标准物质浓度、吸光度、相关系数等），实现从样品制备到检测方法的全流程标准化记录。</w:t>
      </w:r>
    </w:p>
    <w:p w14:paraId="63D3ABA2">
      <w:pPr>
        <w:bidi w:val="0"/>
        <w:rPr>
          <w:rFonts w:hint="default"/>
          <w:color w:val="auto"/>
        </w:rPr>
      </w:pPr>
      <w:r>
        <w:rPr>
          <w:rFonts w:hint="default"/>
          <w:color w:val="auto"/>
        </w:rPr>
        <w:t>检验结果管理：在 “检验信息” 栏，记录样品批次、编号、生产日期、检测序号及总砷含量（As 浓度），并判定检验结果（合格 / 不合格），同时支持生成报告与自定义报告，满足数据存档与输出需求。</w:t>
      </w:r>
    </w:p>
    <w:p w14:paraId="2FDAA0B0">
      <w:pPr>
        <w:bidi w:val="0"/>
        <w:rPr>
          <w:rFonts w:hint="default"/>
          <w:color w:val="auto"/>
        </w:rPr>
      </w:pPr>
      <w:r>
        <w:rPr>
          <w:rFonts w:hint="default"/>
          <w:color w:val="auto"/>
        </w:rPr>
        <w:t>作用层面：</w:t>
      </w:r>
    </w:p>
    <w:p w14:paraId="6B42F22C">
      <w:pPr>
        <w:bidi w:val="0"/>
        <w:rPr>
          <w:rFonts w:hint="default"/>
          <w:color w:val="auto"/>
        </w:rPr>
      </w:pPr>
      <w:r>
        <w:rPr>
          <w:rFonts w:hint="default"/>
          <w:color w:val="auto"/>
        </w:rPr>
        <w:t>安全风险把控：通过对总砷含量的精准检测，及时识别成品中重金属（砷）的超标风险，避免不安全产品流入市场，保障消费者健康，维护品牌安全口碑。</w:t>
      </w:r>
    </w:p>
    <w:p w14:paraId="03DCAA0C">
      <w:pPr>
        <w:bidi w:val="0"/>
        <w:rPr>
          <w:rFonts w:hint="default"/>
          <w:color w:val="auto"/>
        </w:rPr>
      </w:pPr>
      <w:r>
        <w:rPr>
          <w:rFonts w:hint="default"/>
          <w:color w:val="auto"/>
        </w:rPr>
        <w:t>检测方法溯源：完整的样品前处理、检测条件、标准曲线信息，构建了总砷检测的方法学溯源链条，便于后续检测方法优化、设备校准及质量问题溯源。</w:t>
      </w:r>
    </w:p>
    <w:p w14:paraId="1526149D">
      <w:pPr>
        <w:bidi w:val="0"/>
        <w:rPr>
          <w:rFonts w:hint="default"/>
          <w:color w:val="auto"/>
        </w:rPr>
      </w:pPr>
      <w:r>
        <w:rPr>
          <w:rFonts w:hint="default"/>
          <w:color w:val="auto"/>
        </w:rPr>
        <w:t>合规与监管满足：总砷检测属于食品安全性强制检测项目，该表单的标准化记录既满足国家食品安全法规的合规要求，也为市场监管部门的抽检、审计提供了可查、可验的专业证据，助力企业建立系统化的成品安全保障体系。</w:t>
      </w:r>
    </w:p>
    <w:p w14:paraId="4D4D2D5D">
      <w:pPr>
        <w:pStyle w:val="42"/>
        <w:bidi w:val="0"/>
        <w:rPr>
          <w:rFonts w:hint="default"/>
          <w:color w:val="auto"/>
        </w:rPr>
      </w:pPr>
      <w:r>
        <w:rPr>
          <w:rFonts w:hint="default"/>
          <w:color w:val="auto"/>
        </w:rPr>
        <w:drawing>
          <wp:inline distT="0" distB="0" distL="114300" distR="114300">
            <wp:extent cx="5261610" cy="1917065"/>
            <wp:effectExtent l="0" t="0" r="11430" b="3175"/>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pic:cNvPicPr>
                  </pic:nvPicPr>
                  <pic:blipFill>
                    <a:blip r:embed="rId64"/>
                    <a:stretch>
                      <a:fillRect/>
                    </a:stretch>
                  </pic:blipFill>
                  <pic:spPr>
                    <a:xfrm>
                      <a:off x="0" y="0"/>
                      <a:ext cx="5261610" cy="1917065"/>
                    </a:xfrm>
                    <a:prstGeom prst="rect">
                      <a:avLst/>
                    </a:prstGeom>
                  </pic:spPr>
                </pic:pic>
              </a:graphicData>
            </a:graphic>
          </wp:inline>
        </w:drawing>
      </w:r>
    </w:p>
    <w:p w14:paraId="27C8340C">
      <w:pPr>
        <w:pStyle w:val="37"/>
        <w:bidi w:val="0"/>
        <w:rPr>
          <w:rFonts w:hint="default"/>
          <w:color w:val="auto"/>
        </w:rPr>
      </w:pPr>
      <w:r>
        <w:rPr>
          <w:rFonts w:hint="default"/>
          <w:color w:val="auto"/>
        </w:rPr>
        <w:t>工序复检单表单</w:t>
      </w:r>
    </w:p>
    <w:p w14:paraId="0B85AB94">
      <w:pPr>
        <w:bidi w:val="0"/>
        <w:rPr>
          <w:rFonts w:hint="default"/>
          <w:color w:val="auto"/>
        </w:rPr>
      </w:pPr>
      <w:r>
        <w:rPr>
          <w:rFonts w:hint="default"/>
          <w:color w:val="auto"/>
        </w:rPr>
        <w:t>该 “工序复检单” 表单是数智工厂质量管理模块中工序质量复核环节的核心单据，用于对生产工序中的样品（如编号 111NA 的产品）进行复检管理，确保工序质量的稳定性与问题的及时纠正。</w:t>
      </w:r>
    </w:p>
    <w:p w14:paraId="7994CDCC">
      <w:pPr>
        <w:bidi w:val="0"/>
        <w:rPr>
          <w:rFonts w:hint="default"/>
          <w:color w:val="auto"/>
        </w:rPr>
      </w:pPr>
      <w:r>
        <w:rPr>
          <w:rFonts w:hint="default"/>
          <w:color w:val="auto"/>
        </w:rPr>
        <w:t>功能层面：</w:t>
      </w:r>
    </w:p>
    <w:p w14:paraId="61A86584">
      <w:pPr>
        <w:bidi w:val="0"/>
        <w:rPr>
          <w:rFonts w:hint="default"/>
          <w:color w:val="auto"/>
        </w:rPr>
      </w:pPr>
      <w:r>
        <w:rPr>
          <w:rFonts w:hint="default"/>
          <w:color w:val="auto"/>
        </w:rPr>
        <w:t>基础信息管理：记录单据编号、状态、发起人、发起时间，以及复检单据、批次、单号、批号等关键信息，明确复检对象、责任主体与时间节点，形成工序复检的基础档案。</w:t>
      </w:r>
    </w:p>
    <w:p w14:paraId="31A1C29B">
      <w:pPr>
        <w:bidi w:val="0"/>
        <w:rPr>
          <w:rFonts w:hint="default"/>
          <w:color w:val="auto"/>
        </w:rPr>
      </w:pPr>
      <w:r>
        <w:rPr>
          <w:rFonts w:hint="default"/>
          <w:color w:val="auto"/>
        </w:rPr>
        <w:t>复检流程管理：支持标记复检结果（如复检中）、设置复检日期与结果日期，指定复检人，同时记录复检员签名，规范复检流程的责任与时间管理；“备注” 栏可补充复检的特殊说明，确保流程信息完整性。</w:t>
      </w:r>
    </w:p>
    <w:p w14:paraId="1E1C88D8">
      <w:pPr>
        <w:bidi w:val="0"/>
        <w:rPr>
          <w:rFonts w:hint="default"/>
          <w:color w:val="auto"/>
        </w:rPr>
      </w:pPr>
      <w:r>
        <w:rPr>
          <w:rFonts w:hint="default"/>
          <w:color w:val="auto"/>
        </w:rPr>
        <w:t>检验数据记录：在 “复检信息” 栏，针对样品的检验项目（如选择长度），记录原测定值、标准值、复检值及复检结果，实现对工序关键质量指标的复检数据全维度对比与分析。</w:t>
      </w:r>
    </w:p>
    <w:p w14:paraId="2EF3DC29">
      <w:pPr>
        <w:bidi w:val="0"/>
        <w:rPr>
          <w:rFonts w:hint="default"/>
          <w:color w:val="auto"/>
        </w:rPr>
      </w:pPr>
      <w:r>
        <w:rPr>
          <w:rFonts w:hint="default"/>
          <w:color w:val="auto"/>
        </w:rPr>
        <w:t>作用层面：</w:t>
      </w:r>
    </w:p>
    <w:p w14:paraId="1C514CDD">
      <w:pPr>
        <w:bidi w:val="0"/>
        <w:rPr>
          <w:rFonts w:hint="default"/>
          <w:color w:val="auto"/>
        </w:rPr>
      </w:pPr>
      <w:r>
        <w:rPr>
          <w:rFonts w:hint="default"/>
          <w:color w:val="auto"/>
        </w:rPr>
        <w:t>工序质量把控：通过对工序样品关键指标的复检，及时识别原检验中的偏差或疑点（如原测定值 0.80mm 与标准值≥0.90mm 的差异），避免不合格品流入下道工序，保障工序间质量的有效衔接。</w:t>
      </w:r>
    </w:p>
    <w:p w14:paraId="15850B37">
      <w:pPr>
        <w:bidi w:val="0"/>
        <w:rPr>
          <w:rFonts w:hint="default"/>
          <w:color w:val="auto"/>
        </w:rPr>
      </w:pPr>
      <w:r>
        <w:rPr>
          <w:rFonts w:hint="default"/>
          <w:color w:val="auto"/>
        </w:rPr>
        <w:t>质量问题追溯：完整的单据信息（含编号、批次、人员、时间、数据等）构建了工序复检的可追溯链条，便于后续质量问题溯源、工序工艺优化及责任界定。</w:t>
      </w:r>
    </w:p>
    <w:p w14:paraId="39C3B23A">
      <w:pPr>
        <w:bidi w:val="0"/>
        <w:rPr>
          <w:rFonts w:hint="default"/>
          <w:color w:val="auto"/>
        </w:rPr>
      </w:pPr>
      <w:r>
        <w:rPr>
          <w:rFonts w:hint="default"/>
          <w:color w:val="auto"/>
        </w:rPr>
        <w:t>流程合规管理：标准化的复检流程与记录表单，满足企业内部工序质量管控的规范要求，助力企业建立严谨的工序质量复核体系，提升整体生产质量的稳定性。</w:t>
      </w:r>
    </w:p>
    <w:p w14:paraId="733E607D">
      <w:pPr>
        <w:pStyle w:val="42"/>
        <w:bidi w:val="0"/>
        <w:rPr>
          <w:rFonts w:hint="default"/>
          <w:color w:val="auto"/>
        </w:rPr>
      </w:pPr>
      <w:r>
        <w:rPr>
          <w:rFonts w:hint="default"/>
          <w:color w:val="auto"/>
        </w:rPr>
        <w:drawing>
          <wp:inline distT="0" distB="0" distL="114300" distR="114300">
            <wp:extent cx="5246370" cy="1917065"/>
            <wp:effectExtent l="0" t="0" r="11430" b="3175"/>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pic:cNvPicPr>
                      <a:picLocks noChangeAspect="1"/>
                    </pic:cNvPicPr>
                  </pic:nvPicPr>
                  <pic:blipFill>
                    <a:blip r:embed="rId65"/>
                    <a:stretch>
                      <a:fillRect/>
                    </a:stretch>
                  </pic:blipFill>
                  <pic:spPr>
                    <a:xfrm>
                      <a:off x="0" y="0"/>
                      <a:ext cx="5246370" cy="1917065"/>
                    </a:xfrm>
                    <a:prstGeom prst="rect">
                      <a:avLst/>
                    </a:prstGeom>
                  </pic:spPr>
                </pic:pic>
              </a:graphicData>
            </a:graphic>
          </wp:inline>
        </w:drawing>
      </w:r>
    </w:p>
    <w:p w14:paraId="7FB6F6B5">
      <w:pPr>
        <w:pStyle w:val="37"/>
        <w:bidi w:val="0"/>
        <w:rPr>
          <w:rFonts w:hint="default"/>
          <w:color w:val="auto"/>
        </w:rPr>
      </w:pPr>
      <w:r>
        <w:rPr>
          <w:rFonts w:hint="default"/>
          <w:color w:val="auto"/>
        </w:rPr>
        <w:t>浮游菌检测</w:t>
      </w:r>
    </w:p>
    <w:p w14:paraId="5ED2E2B8">
      <w:pPr>
        <w:bidi w:val="0"/>
        <w:rPr>
          <w:rFonts w:hint="default"/>
          <w:color w:val="auto"/>
        </w:rPr>
      </w:pPr>
      <w:r>
        <w:rPr>
          <w:rFonts w:hint="default"/>
          <w:color w:val="auto"/>
        </w:rPr>
        <w:t>该 “浮游菌检测单” 表单是数智工厂质量管理模块中生产环境洁净度管控环节的核心单据，用于对生产区域的洁净环境指标进行检测与管理，保障生产环境符合产品质量与安全要求。</w:t>
      </w:r>
    </w:p>
    <w:p w14:paraId="2F6551C6">
      <w:pPr>
        <w:bidi w:val="0"/>
        <w:rPr>
          <w:rFonts w:hint="default"/>
          <w:color w:val="auto"/>
        </w:rPr>
      </w:pPr>
      <w:r>
        <w:rPr>
          <w:rFonts w:hint="default"/>
          <w:color w:val="auto"/>
        </w:rPr>
        <w:t>功能层面：</w:t>
      </w:r>
    </w:p>
    <w:p w14:paraId="68B1BD5F">
      <w:pPr>
        <w:bidi w:val="0"/>
        <w:rPr>
          <w:rFonts w:hint="default"/>
          <w:color w:val="auto"/>
        </w:rPr>
      </w:pPr>
      <w:r>
        <w:rPr>
          <w:rFonts w:hint="default"/>
          <w:color w:val="auto"/>
        </w:rPr>
        <w:t>基础信息管理：支持录入检验日期、统计日期、检测状态、检验员等关键信息，明确环境检测的时间范围、责任主体与检测阶段；同时记录单据状态（暂存、提交等）、检验员签名、复检人签字等，规范环境检测的流程节点与责任界定。</w:t>
      </w:r>
    </w:p>
    <w:p w14:paraId="6468051F">
      <w:pPr>
        <w:bidi w:val="0"/>
        <w:rPr>
          <w:rFonts w:hint="default"/>
          <w:color w:val="auto"/>
        </w:rPr>
      </w:pPr>
      <w:r>
        <w:rPr>
          <w:rFonts w:hint="default"/>
          <w:color w:val="auto"/>
        </w:rPr>
        <w:t>多维度环境检测记录：在 “检测内容” 栏，可针对不同区域的洁净度级别、测点编号，记录测点结果、区域结果，以及温度、湿度、压差、平均浓度等环境指标，实现对生产环境多参数的全面检测覆盖；支持 “新增区域”“删除区域” 操作，灵活适配不同生产区域的环境检测需求。</w:t>
      </w:r>
    </w:p>
    <w:p w14:paraId="3126378B">
      <w:pPr>
        <w:bidi w:val="0"/>
        <w:rPr>
          <w:rFonts w:hint="default"/>
          <w:color w:val="auto"/>
        </w:rPr>
      </w:pPr>
      <w:r>
        <w:rPr>
          <w:rFonts w:hint="default"/>
          <w:color w:val="auto"/>
        </w:rPr>
        <w:t>流程与数据管理：具备 “保存”“签字提交” 功能，实现检测数据的及时存档与流程化审批；“备注” 栏可补充环境检测的特殊说明（如异常情况、设备状态等），确保检测信息的完整性。</w:t>
      </w:r>
    </w:p>
    <w:p w14:paraId="2BF53F10">
      <w:pPr>
        <w:bidi w:val="0"/>
        <w:rPr>
          <w:rFonts w:hint="default"/>
          <w:color w:val="auto"/>
        </w:rPr>
      </w:pPr>
      <w:r>
        <w:rPr>
          <w:rFonts w:hint="default"/>
          <w:color w:val="auto"/>
        </w:rPr>
        <w:t>作用层面：</w:t>
      </w:r>
    </w:p>
    <w:p w14:paraId="38E56046">
      <w:pPr>
        <w:bidi w:val="0"/>
        <w:rPr>
          <w:rFonts w:hint="default"/>
          <w:color w:val="auto"/>
        </w:rPr>
      </w:pPr>
      <w:r>
        <w:rPr>
          <w:rFonts w:hint="default"/>
          <w:color w:val="auto"/>
        </w:rPr>
        <w:t>环境质量把控：通过对洁净度、温湿度、压差、浓度等指标的精准检测，及时识别生产环境的异常（如洁净度不达标、温湿度超出范围等），避免环境因素对产品质量造成污染或影响，保障成品的安全性与稳定性。</w:t>
      </w:r>
    </w:p>
    <w:p w14:paraId="7CE4156F">
      <w:pPr>
        <w:bidi w:val="0"/>
        <w:rPr>
          <w:rFonts w:hint="default"/>
          <w:color w:val="auto"/>
        </w:rPr>
      </w:pPr>
      <w:r>
        <w:rPr>
          <w:rFonts w:hint="default"/>
          <w:color w:val="auto"/>
        </w:rPr>
        <w:t>生产合规保障：洁净环境检测是食品、医药等行业生产合规的强制要求，该表单的标准化记录既满足行业对生产环境的管控规范，也为外部监管审计提供了可查、可验的环境数据证据，助力企业通过合规性审查。</w:t>
      </w:r>
    </w:p>
    <w:p w14:paraId="4BCF2330">
      <w:pPr>
        <w:bidi w:val="0"/>
        <w:rPr>
          <w:rFonts w:hint="default"/>
          <w:color w:val="auto"/>
        </w:rPr>
      </w:pPr>
      <w:r>
        <w:rPr>
          <w:rFonts w:hint="default"/>
          <w:color w:val="auto"/>
        </w:rPr>
        <w:t>环境管理优化：完整的环境检测数据（含区域、指标、时间、人员等）可用于分析生产环境的波动规律，助力企业优化环境控制策略（如空调系统调节、洁净区管理），提升生产环境的稳定性与可控性。</w:t>
      </w:r>
    </w:p>
    <w:p w14:paraId="78511913">
      <w:pPr>
        <w:pStyle w:val="42"/>
        <w:bidi w:val="0"/>
        <w:rPr>
          <w:rFonts w:hint="default"/>
          <w:color w:val="auto"/>
        </w:rPr>
      </w:pPr>
      <w:r>
        <w:rPr>
          <w:rFonts w:hint="default"/>
          <w:color w:val="auto"/>
        </w:rPr>
        <w:drawing>
          <wp:inline distT="0" distB="0" distL="114300" distR="114300">
            <wp:extent cx="5264785" cy="1934845"/>
            <wp:effectExtent l="0" t="0" r="8255" b="635"/>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pic:cNvPicPr>
                      <a:picLocks noChangeAspect="1"/>
                    </pic:cNvPicPr>
                  </pic:nvPicPr>
                  <pic:blipFill>
                    <a:blip r:embed="rId66"/>
                    <a:stretch>
                      <a:fillRect/>
                    </a:stretch>
                  </pic:blipFill>
                  <pic:spPr>
                    <a:xfrm>
                      <a:off x="0" y="0"/>
                      <a:ext cx="5264785" cy="1934845"/>
                    </a:xfrm>
                    <a:prstGeom prst="rect">
                      <a:avLst/>
                    </a:prstGeom>
                  </pic:spPr>
                </pic:pic>
              </a:graphicData>
            </a:graphic>
          </wp:inline>
        </w:drawing>
      </w:r>
    </w:p>
    <w:p w14:paraId="2CAD8397">
      <w:pPr>
        <w:bidi w:val="0"/>
        <w:rPr>
          <w:rFonts w:hint="eastAsia"/>
          <w:color w:val="auto"/>
        </w:rPr>
      </w:pPr>
      <w:r>
        <w:rPr>
          <w:rFonts w:hint="eastAsia"/>
          <w:color w:val="auto"/>
        </w:rPr>
        <w:t>电子表单与移动应用：开发电子表单和移动应用，使品控人员能够在现场直接录入数据，减少纸质表单的使用。通过移动设备快速访问和填写表单，提高数据收集的效率和准确性。</w:t>
      </w:r>
    </w:p>
    <w:p w14:paraId="593F31FA">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4611370" cy="2556510"/>
            <wp:effectExtent l="9525" t="9525" r="12065" b="9525"/>
            <wp:docPr id="2106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81" name="图片 1"/>
                    <pic:cNvPicPr>
                      <a:picLocks noChangeAspect="1"/>
                    </pic:cNvPicPr>
                  </pic:nvPicPr>
                  <pic:blipFill>
                    <a:blip r:embed="rId67"/>
                    <a:stretch>
                      <a:fillRect/>
                    </a:stretch>
                  </pic:blipFill>
                  <pic:spPr>
                    <a:xfrm>
                      <a:off x="0" y="0"/>
                      <a:ext cx="4612344" cy="2557168"/>
                    </a:xfrm>
                    <a:prstGeom prst="rect">
                      <a:avLst/>
                    </a:prstGeom>
                    <a:ln>
                      <a:solidFill>
                        <a:schemeClr val="tx1"/>
                      </a:solidFill>
                    </a:ln>
                  </pic:spPr>
                </pic:pic>
              </a:graphicData>
            </a:graphic>
          </wp:inline>
        </w:drawing>
      </w:r>
    </w:p>
    <w:p w14:paraId="289FA986">
      <w:pPr>
        <w:pStyle w:val="35"/>
        <w:bidi w:val="0"/>
        <w:rPr>
          <w:rFonts w:hint="default"/>
          <w:color w:val="auto"/>
        </w:rPr>
      </w:pPr>
      <w:bookmarkStart w:id="18" w:name="_Toc8476"/>
      <w:r>
        <w:rPr>
          <w:rFonts w:hint="default"/>
          <w:color w:val="auto"/>
        </w:rPr>
        <w:t>QA质量保证</w:t>
      </w:r>
      <w:bookmarkEnd w:id="18"/>
    </w:p>
    <w:p w14:paraId="692CD82E">
      <w:pPr>
        <w:pStyle w:val="37"/>
        <w:bidi w:val="0"/>
        <w:rPr>
          <w:rFonts w:hint="default"/>
          <w:color w:val="auto"/>
        </w:rPr>
      </w:pPr>
      <w:r>
        <w:rPr>
          <w:rFonts w:hint="default"/>
          <w:color w:val="auto"/>
        </w:rPr>
        <w:t>品管部每日自查记录单</w:t>
      </w:r>
    </w:p>
    <w:p w14:paraId="75F1723B">
      <w:pPr>
        <w:bidi w:val="0"/>
        <w:rPr>
          <w:rFonts w:hint="default"/>
          <w:color w:val="auto"/>
        </w:rPr>
      </w:pPr>
      <w:r>
        <w:rPr>
          <w:rFonts w:hint="default"/>
          <w:color w:val="auto"/>
        </w:rPr>
        <w:t>该 “品管部每日自查记录单” 表单是数智工厂质量管理模块中品管日常自查与问题整改环节的核心单据，用于品管部门对生产各环节开展日常自查，及时发现并跟踪整改质量与安全隐患，保障生产全流程的合规性与安全性。</w:t>
      </w:r>
    </w:p>
    <w:p w14:paraId="27B99BCF">
      <w:pPr>
        <w:bidi w:val="0"/>
        <w:rPr>
          <w:rFonts w:hint="default"/>
          <w:color w:val="auto"/>
        </w:rPr>
      </w:pPr>
      <w:r>
        <w:rPr>
          <w:rFonts w:hint="default"/>
          <w:color w:val="auto"/>
        </w:rPr>
        <w:t>功能层面：</w:t>
      </w:r>
    </w:p>
    <w:p w14:paraId="7464F7FA">
      <w:pPr>
        <w:bidi w:val="0"/>
        <w:rPr>
          <w:rFonts w:hint="default"/>
          <w:color w:val="auto"/>
        </w:rPr>
      </w:pPr>
      <w:r>
        <w:rPr>
          <w:rFonts w:hint="default"/>
          <w:color w:val="auto"/>
        </w:rPr>
        <w:t>基础信息管理：记录单据编号、状态、检查日期、自查进度（未开始、进行中、已完成等）、整改结果、逾期天数、完成日期及检查人等关键信息，明确自查的时间范围、责任主体与进度节点，形成品管自查的基础档案。</w:t>
      </w:r>
    </w:p>
    <w:p w14:paraId="579A0509">
      <w:pPr>
        <w:bidi w:val="0"/>
        <w:rPr>
          <w:rFonts w:hint="default"/>
          <w:color w:val="auto"/>
        </w:rPr>
      </w:pPr>
      <w:r>
        <w:rPr>
          <w:rFonts w:hint="default"/>
          <w:color w:val="auto"/>
        </w:rPr>
        <w:t>多维度自查与整改管理：在 “自查信息” 栏，针对不同自查项目，可记录自查内容、是否合规、存在问题、问题图片、整改措施、整改图片、整改结果、整改人及整改完成时间，实现从问题发现到整改闭环的全流程管理；支持对多个自查项目的逐项记录，灵活适配不同检查场景的需求。</w:t>
      </w:r>
    </w:p>
    <w:p w14:paraId="018BD416">
      <w:pPr>
        <w:bidi w:val="0"/>
        <w:rPr>
          <w:rFonts w:hint="default"/>
          <w:color w:val="auto"/>
          <w:sz w:val="30"/>
          <w:szCs w:val="30"/>
        </w:rPr>
      </w:pPr>
      <w:r>
        <w:rPr>
          <w:rFonts w:hint="default"/>
          <w:color w:val="auto"/>
          <w:sz w:val="30"/>
          <w:szCs w:val="30"/>
        </w:rPr>
        <w:t>流程与规范管理：通过 “记录填写说明” 明确自查的操作规范（如日常检查频率、问题记录要求、紧急隐患上报流程），确保品管自查工作的标准化与合规性；同时具备单据暂存、提交及审批流程功能，保障自查与整改流程的规范性与可追溯性。</w:t>
      </w:r>
    </w:p>
    <w:p w14:paraId="795F24BC">
      <w:pPr>
        <w:bidi w:val="0"/>
        <w:rPr>
          <w:rFonts w:hint="default"/>
          <w:color w:val="auto"/>
        </w:rPr>
      </w:pPr>
      <w:r>
        <w:rPr>
          <w:rFonts w:hint="default"/>
          <w:color w:val="auto"/>
        </w:rPr>
        <w:t>作用层面：</w:t>
      </w:r>
    </w:p>
    <w:p w14:paraId="15DC3616">
      <w:pPr>
        <w:bidi w:val="0"/>
        <w:rPr>
          <w:rFonts w:hint="default"/>
          <w:color w:val="auto"/>
        </w:rPr>
      </w:pPr>
      <w:r>
        <w:rPr>
          <w:rFonts w:hint="default"/>
          <w:color w:val="auto"/>
        </w:rPr>
        <w:t>隐患及时识别：通过每日自查，及时发现生产环节的质量、安全隐患（如流程不合规、设备异常、环境问题等），避免隐患扩大引发产品质量事故或安全风险。</w:t>
      </w:r>
    </w:p>
    <w:p w14:paraId="0855A093">
      <w:pPr>
        <w:bidi w:val="0"/>
        <w:rPr>
          <w:rFonts w:hint="default"/>
          <w:color w:val="auto"/>
        </w:rPr>
      </w:pPr>
      <w:r>
        <w:rPr>
          <w:rFonts w:hint="default"/>
          <w:color w:val="auto"/>
        </w:rPr>
        <w:t>整改闭环管控：从问题记录、整改措施制定、整改执行到结果验证的全流程管理，确保每个隐患都能得到有效整改，形成 “发现 - 整改 - 验证” 的闭环，提升品管工作的有效性。</w:t>
      </w:r>
    </w:p>
    <w:p w14:paraId="796C4881">
      <w:pPr>
        <w:bidi w:val="0"/>
        <w:rPr>
          <w:rFonts w:hint="default"/>
          <w:color w:val="auto"/>
        </w:rPr>
      </w:pPr>
      <w:r>
        <w:rPr>
          <w:rFonts w:hint="default"/>
          <w:color w:val="auto"/>
        </w:rPr>
        <w:t>合规与风控保障：标准化的自查记录与整改流程，既满足食品 / 医药行业对品管日常检查的合规要求，也为企业内部风险控制提供了数据支撑，助力企业建立常态化的质量安全管控机制。</w:t>
      </w:r>
    </w:p>
    <w:p w14:paraId="041D8148">
      <w:pPr>
        <w:pStyle w:val="42"/>
        <w:bidi w:val="0"/>
        <w:rPr>
          <w:rFonts w:hint="default"/>
          <w:color w:val="auto"/>
        </w:rPr>
      </w:pPr>
      <w:r>
        <w:rPr>
          <w:rFonts w:hint="default"/>
          <w:color w:val="auto"/>
        </w:rPr>
        <w:drawing>
          <wp:inline distT="0" distB="0" distL="114300" distR="114300">
            <wp:extent cx="5252720" cy="1958340"/>
            <wp:effectExtent l="0" t="0" r="5080" b="762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pic:cNvPicPr>
                  </pic:nvPicPr>
                  <pic:blipFill>
                    <a:blip r:embed="rId68"/>
                    <a:stretch>
                      <a:fillRect/>
                    </a:stretch>
                  </pic:blipFill>
                  <pic:spPr>
                    <a:xfrm>
                      <a:off x="0" y="0"/>
                      <a:ext cx="5252720" cy="1958340"/>
                    </a:xfrm>
                    <a:prstGeom prst="rect">
                      <a:avLst/>
                    </a:prstGeom>
                  </pic:spPr>
                </pic:pic>
              </a:graphicData>
            </a:graphic>
          </wp:inline>
        </w:drawing>
      </w:r>
    </w:p>
    <w:p w14:paraId="381C56D0">
      <w:pPr>
        <w:pStyle w:val="37"/>
        <w:bidi w:val="0"/>
        <w:rPr>
          <w:rFonts w:hint="default"/>
          <w:color w:val="auto"/>
        </w:rPr>
      </w:pPr>
      <w:r>
        <w:rPr>
          <w:rFonts w:hint="eastAsia"/>
          <w:color w:val="auto"/>
          <w:lang w:val="en-US" w:eastAsia="zh-CN"/>
        </w:rPr>
        <w:t>内部审核</w:t>
      </w:r>
    </w:p>
    <w:p w14:paraId="1F0FE161">
      <w:pPr>
        <w:bidi w:val="0"/>
        <w:rPr>
          <w:rFonts w:hint="default"/>
          <w:color w:val="auto"/>
        </w:rPr>
      </w:pPr>
      <w:r>
        <w:rPr>
          <w:rFonts w:hint="default"/>
          <w:color w:val="auto"/>
          <w:lang w:val="en-US" w:eastAsia="zh-CN"/>
        </w:rPr>
        <w:t>内审任务管理是企业内部合规管控体系的 “全流程任务管控中枢” 功能，用于统筹管理不同层级的内部审计任务，实现从任务发起、流转到结果闭环的全生命周期跟踪，保障内部审计工作的标准化、可追溯性与高效执行。</w:t>
      </w:r>
    </w:p>
    <w:p w14:paraId="15E3199B">
      <w:pPr>
        <w:bidi w:val="0"/>
        <w:rPr>
          <w:rFonts w:hint="default"/>
          <w:color w:val="auto"/>
        </w:rPr>
      </w:pPr>
      <w:r>
        <w:rPr>
          <w:rFonts w:hint="default"/>
          <w:color w:val="auto"/>
        </w:rPr>
        <w:t>核心能力</w:t>
      </w:r>
    </w:p>
    <w:p w14:paraId="2AE2B9D7">
      <w:pPr>
        <w:bidi w:val="0"/>
        <w:rPr>
          <w:rFonts w:hint="default"/>
          <w:color w:val="auto"/>
        </w:rPr>
      </w:pPr>
      <w:r>
        <w:rPr>
          <w:rFonts w:hint="default"/>
          <w:color w:val="auto"/>
        </w:rPr>
        <w:t>多维度精准检索：支持通过报告编号、任务状态、单据状态、内审状态等条件组合快速定位目标任务，大幅提升审计管理人员的信息查询效率。</w:t>
      </w:r>
    </w:p>
    <w:p w14:paraId="3B692E13">
      <w:pPr>
        <w:bidi w:val="0"/>
        <w:rPr>
          <w:rFonts w:hint="default"/>
          <w:color w:val="auto"/>
        </w:rPr>
      </w:pPr>
      <w:r>
        <w:rPr>
          <w:rFonts w:hint="default"/>
          <w:color w:val="auto"/>
        </w:rPr>
        <w:t>分级任务管理：适配不同管理需求，支持班组级、公司级等多级别内审任务的创建与管控，满足从基层到总部的分层审计管理要求。</w:t>
      </w:r>
    </w:p>
    <w:p w14:paraId="04CD03DA">
      <w:pPr>
        <w:bidi w:val="0"/>
        <w:rPr>
          <w:rFonts w:hint="default"/>
          <w:color w:val="auto"/>
        </w:rPr>
      </w:pPr>
      <w:r>
        <w:rPr>
          <w:rFonts w:hint="default"/>
          <w:color w:val="auto"/>
        </w:rPr>
        <w:t>全生命周期跟踪：系统完整记录任务从发布到完成的全流程状态，包括任务状态（已发布、清单审核通过）、内审状态（未转内审、已转内审）、单据状态（暂存、已审核）等关键节点，确保审计工作的可追溯性。</w:t>
      </w:r>
    </w:p>
    <w:p w14:paraId="5D7385E4">
      <w:pPr>
        <w:bidi w:val="0"/>
        <w:rPr>
          <w:rFonts w:hint="default"/>
          <w:color w:val="auto"/>
        </w:rPr>
      </w:pPr>
      <w:r>
        <w:rPr>
          <w:rFonts w:hint="default"/>
          <w:color w:val="auto"/>
        </w:rPr>
        <w:t>标准化信息维护：统一记录任务级别、规定审核日期、检查员、检查结果、时间节点等核心属性，保障审计信息的完整性与一致性。</w:t>
      </w:r>
    </w:p>
    <w:p w14:paraId="1505DF50">
      <w:pPr>
        <w:bidi w:val="0"/>
        <w:rPr>
          <w:rFonts w:hint="default"/>
          <w:color w:val="auto"/>
        </w:rPr>
      </w:pPr>
      <w:r>
        <w:rPr>
          <w:rFonts w:hint="default"/>
          <w:color w:val="auto"/>
        </w:rPr>
        <w:t>完整操作能力：提供新增、任务取消等操作，覆盖任务从创建到终止的全流程管理需求。</w:t>
      </w:r>
    </w:p>
    <w:p w14:paraId="1E7265E5">
      <w:pPr>
        <w:pStyle w:val="42"/>
        <w:bidi w:val="0"/>
      </w:pPr>
      <w:r>
        <w:drawing>
          <wp:inline distT="0" distB="0" distL="114300" distR="114300">
            <wp:extent cx="5259070" cy="2383790"/>
            <wp:effectExtent l="0" t="0" r="17780" b="16510"/>
            <wp:docPr id="13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4"/>
                    <pic:cNvPicPr>
                      <a:picLocks noChangeAspect="1"/>
                    </pic:cNvPicPr>
                  </pic:nvPicPr>
                  <pic:blipFill>
                    <a:blip r:embed="rId69"/>
                    <a:stretch>
                      <a:fillRect/>
                    </a:stretch>
                  </pic:blipFill>
                  <pic:spPr>
                    <a:xfrm>
                      <a:off x="0" y="0"/>
                      <a:ext cx="5259070" cy="2383790"/>
                    </a:xfrm>
                    <a:prstGeom prst="rect">
                      <a:avLst/>
                    </a:prstGeom>
                    <a:noFill/>
                    <a:ln>
                      <a:noFill/>
                    </a:ln>
                  </pic:spPr>
                </pic:pic>
              </a:graphicData>
            </a:graphic>
          </wp:inline>
        </w:drawing>
      </w:r>
    </w:p>
    <w:p w14:paraId="5F7D3621">
      <w:pPr>
        <w:bidi w:val="0"/>
        <w:rPr>
          <w:rFonts w:hint="default"/>
          <w:color w:val="auto"/>
        </w:rPr>
      </w:pPr>
      <w:r>
        <w:rPr>
          <w:rFonts w:hint="default"/>
          <w:color w:val="auto"/>
        </w:rPr>
        <w:t>执行内审任务功能介绍</w:t>
      </w:r>
    </w:p>
    <w:p w14:paraId="507756AC">
      <w:pPr>
        <w:bidi w:val="0"/>
        <w:rPr>
          <w:rFonts w:hint="default"/>
          <w:color w:val="auto"/>
        </w:rPr>
      </w:pPr>
      <w:r>
        <w:rPr>
          <w:rFonts w:hint="default"/>
          <w:color w:val="auto"/>
          <w:lang w:val="en-US" w:eastAsia="zh-CN"/>
        </w:rPr>
        <w:t>执行内审任务是企业内部审计体系的 “落地执行中枢” 功能，与内审任务管理模块深度联动，支撑审计人员完成从任务承接、检查项创建到结果提交的全流程执行工作，确保内部审计工作的标准化与可追溯性。</w:t>
      </w:r>
    </w:p>
    <w:p w14:paraId="44395F72">
      <w:pPr>
        <w:bidi w:val="0"/>
        <w:rPr>
          <w:rFonts w:hint="default"/>
          <w:color w:val="auto"/>
        </w:rPr>
      </w:pPr>
      <w:r>
        <w:rPr>
          <w:rFonts w:hint="default"/>
          <w:color w:val="auto"/>
        </w:rPr>
        <w:t>核心能力</w:t>
      </w:r>
    </w:p>
    <w:p w14:paraId="37E0E892">
      <w:pPr>
        <w:bidi w:val="0"/>
        <w:rPr>
          <w:rFonts w:hint="default"/>
          <w:color w:val="auto"/>
        </w:rPr>
      </w:pPr>
      <w:r>
        <w:rPr>
          <w:rFonts w:hint="default"/>
          <w:color w:val="auto"/>
        </w:rPr>
        <w:t>多维度任务筛选：支持通过报告编号、检查结果、单据状态、任务级别等条件精准定位待执行任务，大幅提升审计人员的任务定位效率。</w:t>
      </w:r>
    </w:p>
    <w:p w14:paraId="7A7A2C39">
      <w:pPr>
        <w:bidi w:val="0"/>
        <w:rPr>
          <w:rFonts w:hint="default"/>
          <w:color w:val="auto"/>
        </w:rPr>
      </w:pPr>
      <w:r>
        <w:rPr>
          <w:rFonts w:hint="default"/>
          <w:color w:val="auto"/>
        </w:rPr>
        <w:t>阶段化操作能力：根据任务状态提供差异化操作：</w:t>
      </w:r>
    </w:p>
    <w:p w14:paraId="78DE10EC">
      <w:pPr>
        <w:bidi w:val="0"/>
        <w:rPr>
          <w:rFonts w:hint="default"/>
          <w:color w:val="auto"/>
        </w:rPr>
      </w:pPr>
      <w:r>
        <w:rPr>
          <w:rFonts w:hint="default"/>
          <w:color w:val="auto"/>
        </w:rPr>
        <w:t>对新发布任务，支持 “创建检查项”，可细化审计要点与判定标准。</w:t>
      </w:r>
    </w:p>
    <w:p w14:paraId="4D5BC06C">
      <w:pPr>
        <w:bidi w:val="0"/>
        <w:rPr>
          <w:rFonts w:hint="default"/>
          <w:color w:val="auto"/>
        </w:rPr>
      </w:pPr>
      <w:r>
        <w:rPr>
          <w:rFonts w:hint="default"/>
          <w:color w:val="auto"/>
        </w:rPr>
        <w:t>对已准备任务，支持 “执行内审”，可记录检查结果与问题细节。</w:t>
      </w:r>
    </w:p>
    <w:p w14:paraId="44782B89">
      <w:pPr>
        <w:bidi w:val="0"/>
        <w:rPr>
          <w:rFonts w:hint="default"/>
          <w:color w:val="auto"/>
        </w:rPr>
      </w:pPr>
      <w:r>
        <w:rPr>
          <w:rFonts w:hint="default"/>
          <w:color w:val="auto"/>
        </w:rPr>
        <w:t>对已完成任务，支持 “详情” 查看，可追溯完整的审计过程与结论。</w:t>
      </w:r>
    </w:p>
    <w:p w14:paraId="0752F0B5">
      <w:pPr>
        <w:bidi w:val="0"/>
        <w:rPr>
          <w:rFonts w:hint="default"/>
          <w:color w:val="auto"/>
        </w:rPr>
      </w:pPr>
      <w:r>
        <w:rPr>
          <w:rFonts w:hint="default"/>
          <w:color w:val="auto"/>
        </w:rPr>
        <w:t>全流程状态跟踪：系统完整记录任务状态（已发布、清单审核通过）、检查结果（部分合格）、单据状态（暂存、已审核）等关键节点，确保审计执行过程的可追溯性。</w:t>
      </w:r>
    </w:p>
    <w:p w14:paraId="396F7110">
      <w:pPr>
        <w:bidi w:val="0"/>
        <w:rPr>
          <w:rFonts w:hint="default"/>
          <w:color w:val="auto"/>
        </w:rPr>
      </w:pPr>
      <w:r>
        <w:rPr>
          <w:rFonts w:hint="default"/>
          <w:color w:val="auto"/>
        </w:rPr>
        <w:t>标准化信息维护：统一记录任务级别、规定审核日期、检查员、时间节点等核心属性，保障审计信息的一致性与完整性。</w:t>
      </w:r>
    </w:p>
    <w:p w14:paraId="4E43CE55">
      <w:pPr>
        <w:bidi w:val="0"/>
        <w:rPr>
          <w:rFonts w:hint="default"/>
          <w:color w:val="auto"/>
        </w:rPr>
      </w:pPr>
      <w:r>
        <w:rPr>
          <w:rFonts w:hint="default"/>
          <w:color w:val="auto"/>
        </w:rPr>
        <w:t>功能价值</w:t>
      </w:r>
    </w:p>
    <w:p w14:paraId="5850F543">
      <w:pPr>
        <w:bidi w:val="0"/>
        <w:rPr>
          <w:rFonts w:hint="default"/>
          <w:color w:val="auto"/>
        </w:rPr>
      </w:pPr>
      <w:r>
        <w:rPr>
          <w:rFonts w:hint="default"/>
          <w:color w:val="auto"/>
          <w:lang w:val="en-US" w:eastAsia="zh-CN"/>
        </w:rPr>
        <w:t>通过阶段化的执行流程与状态跟踪，该功能有效规范了审计执行动作，确保审计任务精准落地、问题清晰记录、结果可追溯，为企业持续优化合规管理、降低运营风险提供了坚实的执行支撑。</w:t>
      </w:r>
    </w:p>
    <w:p w14:paraId="55274511">
      <w:pPr>
        <w:pStyle w:val="42"/>
        <w:bidi w:val="0"/>
      </w:pPr>
      <w:r>
        <w:drawing>
          <wp:inline distT="0" distB="0" distL="114300" distR="114300">
            <wp:extent cx="5268595" cy="2165985"/>
            <wp:effectExtent l="0" t="0" r="8255" b="5715"/>
            <wp:docPr id="14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45"/>
                    <pic:cNvPicPr>
                      <a:picLocks noChangeAspect="1"/>
                    </pic:cNvPicPr>
                  </pic:nvPicPr>
                  <pic:blipFill>
                    <a:blip r:embed="rId70"/>
                    <a:stretch>
                      <a:fillRect/>
                    </a:stretch>
                  </pic:blipFill>
                  <pic:spPr>
                    <a:xfrm>
                      <a:off x="0" y="0"/>
                      <a:ext cx="5268595" cy="2165985"/>
                    </a:xfrm>
                    <a:prstGeom prst="rect">
                      <a:avLst/>
                    </a:prstGeom>
                    <a:noFill/>
                    <a:ln>
                      <a:noFill/>
                    </a:ln>
                  </pic:spPr>
                </pic:pic>
              </a:graphicData>
            </a:graphic>
          </wp:inline>
        </w:drawing>
      </w:r>
    </w:p>
    <w:p w14:paraId="6DD33F4E">
      <w:pPr>
        <w:pStyle w:val="42"/>
        <w:bidi w:val="0"/>
      </w:pPr>
    </w:p>
    <w:p w14:paraId="0B860925">
      <w:pPr>
        <w:bidi w:val="0"/>
        <w:rPr>
          <w:rFonts w:hint="default"/>
          <w:color w:val="auto"/>
        </w:rPr>
      </w:pPr>
      <w:r>
        <w:rPr>
          <w:rFonts w:hint="default"/>
          <w:color w:val="auto"/>
        </w:rPr>
        <w:t>公司级问题项处理功能介绍</w:t>
      </w:r>
    </w:p>
    <w:p w14:paraId="723D750E">
      <w:pPr>
        <w:bidi w:val="0"/>
        <w:rPr>
          <w:rFonts w:hint="default"/>
          <w:color w:val="auto"/>
        </w:rPr>
      </w:pPr>
      <w:r>
        <w:rPr>
          <w:rFonts w:hint="default"/>
          <w:color w:val="auto"/>
          <w:lang w:val="en-US" w:eastAsia="zh-CN"/>
        </w:rPr>
        <w:t>公司级问题项处理是企业内部审计体系的 “整改跟踪中枢” 功能，专门用于公司级问题项的全生命周期管控，确保内审发现的问题能够被精准跟踪、按时整改并有效验证，形成 “发现 - 整改 - 验证 - 闭环” 的完整管理链条。</w:t>
      </w:r>
    </w:p>
    <w:p w14:paraId="63AABC83">
      <w:pPr>
        <w:bidi w:val="0"/>
        <w:rPr>
          <w:rFonts w:hint="default"/>
          <w:color w:val="auto"/>
        </w:rPr>
      </w:pPr>
      <w:r>
        <w:rPr>
          <w:rFonts w:hint="default"/>
          <w:color w:val="auto"/>
        </w:rPr>
        <w:t>核心能力</w:t>
      </w:r>
    </w:p>
    <w:p w14:paraId="44103EC3">
      <w:pPr>
        <w:bidi w:val="0"/>
        <w:rPr>
          <w:rFonts w:hint="default"/>
          <w:color w:val="auto"/>
        </w:rPr>
      </w:pPr>
      <w:r>
        <w:rPr>
          <w:rFonts w:hint="default"/>
          <w:color w:val="auto"/>
        </w:rPr>
        <w:t>多维度精准检索：支持通过内审编号、问题类别、处理状态、检验日期范围等条件快速定位目标问题项，大幅提升问题跟踪与管理效率。</w:t>
      </w:r>
    </w:p>
    <w:p w14:paraId="5747C9A4">
      <w:pPr>
        <w:bidi w:val="0"/>
        <w:rPr>
          <w:rFonts w:hint="default"/>
          <w:color w:val="auto"/>
        </w:rPr>
      </w:pPr>
      <w:r>
        <w:rPr>
          <w:rFonts w:hint="default"/>
          <w:color w:val="auto"/>
        </w:rPr>
        <w:t>全流程状态管控：覆盖问题从发现到闭环的全流程，清晰展示问题的处理状态（整改中、验证通过）、责任部门、责任人、整改人、验收人及整改期限，确保责任到人、进度可控。</w:t>
      </w:r>
    </w:p>
    <w:p w14:paraId="382882DE">
      <w:pPr>
        <w:bidi w:val="0"/>
        <w:rPr>
          <w:rFonts w:hint="default"/>
          <w:color w:val="auto"/>
        </w:rPr>
      </w:pPr>
      <w:r>
        <w:rPr>
          <w:rFonts w:hint="default"/>
          <w:color w:val="auto"/>
        </w:rPr>
        <w:t>可视化问题记录：支持上传问题图片，直观呈现问题细节，辅助整改与验证工作的精准开展，减少信息偏差。</w:t>
      </w:r>
    </w:p>
    <w:p w14:paraId="061D1A69">
      <w:pPr>
        <w:bidi w:val="0"/>
        <w:rPr>
          <w:rFonts w:hint="default"/>
          <w:color w:val="auto"/>
        </w:rPr>
      </w:pPr>
      <w:r>
        <w:rPr>
          <w:rFonts w:hint="default"/>
          <w:color w:val="auto"/>
        </w:rPr>
        <w:t>任务提醒与追溯：提供 “设置任务提醒” 功能，可对即将到期的整改任务进行预警，避免逾期；同时支持查看详情，完整追溯问题的处理过程与验证结果。</w:t>
      </w:r>
    </w:p>
    <w:p w14:paraId="11F61D81">
      <w:pPr>
        <w:bidi w:val="0"/>
        <w:rPr>
          <w:rFonts w:hint="default"/>
          <w:color w:val="auto"/>
        </w:rPr>
      </w:pPr>
      <w:r>
        <w:rPr>
          <w:rFonts w:hint="default"/>
          <w:color w:val="auto"/>
        </w:rPr>
        <w:t>标准化信息维护：统一记录问题项描述、类别、时间节点等核心信息，保障问题管理的规范性与可追溯性。</w:t>
      </w:r>
    </w:p>
    <w:p w14:paraId="32CBBFA7">
      <w:pPr>
        <w:bidi w:val="0"/>
        <w:rPr>
          <w:rFonts w:hint="default"/>
          <w:color w:val="auto"/>
        </w:rPr>
      </w:pPr>
      <w:r>
        <w:rPr>
          <w:rFonts w:hint="default"/>
          <w:color w:val="auto"/>
        </w:rPr>
        <w:t>功能价值</w:t>
      </w:r>
    </w:p>
    <w:p w14:paraId="31C2EE41">
      <w:pPr>
        <w:bidi w:val="0"/>
      </w:pPr>
      <w:r>
        <w:rPr>
          <w:rFonts w:hint="default"/>
          <w:color w:val="auto"/>
          <w:lang w:val="en-US" w:eastAsia="zh-CN"/>
        </w:rPr>
        <w:t>通过系统化的问题跟踪与整改验证，该功能确保了内审发现的公司级问题能够得到及时、有效的闭环处理，避免问题复发，从而持续优化企业的合规管理体系，提升运营的稳定性与风险防控能力。</w:t>
      </w:r>
    </w:p>
    <w:p w14:paraId="50537C53">
      <w:pPr>
        <w:pStyle w:val="42"/>
        <w:bidi w:val="0"/>
      </w:pPr>
      <w:r>
        <w:drawing>
          <wp:inline distT="0" distB="0" distL="114300" distR="114300">
            <wp:extent cx="5273040" cy="1881505"/>
            <wp:effectExtent l="0" t="0" r="3810" b="4445"/>
            <wp:docPr id="14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46"/>
                    <pic:cNvPicPr>
                      <a:picLocks noChangeAspect="1"/>
                    </pic:cNvPicPr>
                  </pic:nvPicPr>
                  <pic:blipFill>
                    <a:blip r:embed="rId71"/>
                    <a:stretch>
                      <a:fillRect/>
                    </a:stretch>
                  </pic:blipFill>
                  <pic:spPr>
                    <a:xfrm>
                      <a:off x="0" y="0"/>
                      <a:ext cx="5273040" cy="1881505"/>
                    </a:xfrm>
                    <a:prstGeom prst="rect">
                      <a:avLst/>
                    </a:prstGeom>
                    <a:noFill/>
                    <a:ln>
                      <a:noFill/>
                    </a:ln>
                  </pic:spPr>
                </pic:pic>
              </a:graphicData>
            </a:graphic>
          </wp:inline>
        </w:drawing>
      </w:r>
    </w:p>
    <w:p w14:paraId="17FEDA94">
      <w:pPr>
        <w:pStyle w:val="42"/>
        <w:bidi w:val="0"/>
      </w:pPr>
    </w:p>
    <w:p w14:paraId="4115424D">
      <w:pPr>
        <w:bidi w:val="0"/>
        <w:rPr>
          <w:rFonts w:hint="default"/>
          <w:color w:val="auto"/>
        </w:rPr>
      </w:pPr>
      <w:r>
        <w:rPr>
          <w:rFonts w:hint="default"/>
          <w:color w:val="auto"/>
        </w:rPr>
        <w:t>供应商审核计划功能介绍</w:t>
      </w:r>
    </w:p>
    <w:p w14:paraId="385E4670">
      <w:pPr>
        <w:bidi w:val="0"/>
        <w:rPr>
          <w:rFonts w:hint="default"/>
          <w:color w:val="auto"/>
        </w:rPr>
      </w:pPr>
      <w:r>
        <w:rPr>
          <w:rFonts w:hint="default"/>
          <w:color w:val="auto"/>
          <w:lang w:val="en-US" w:eastAsia="zh-CN"/>
        </w:rPr>
        <w:t>供应商审核计划是企业供应链质量管理体系的 “供应商风险管控中枢” 功能，用于统筹规划与跟踪对供应商的定期或专项审核工作，确保供应商质量能力持续符合企业要求，从源头把控供应链风险。</w:t>
      </w:r>
    </w:p>
    <w:p w14:paraId="427E2D49">
      <w:pPr>
        <w:bidi w:val="0"/>
        <w:rPr>
          <w:rFonts w:hint="default"/>
          <w:color w:val="auto"/>
        </w:rPr>
      </w:pPr>
      <w:r>
        <w:rPr>
          <w:rFonts w:hint="default"/>
          <w:color w:val="auto"/>
        </w:rPr>
        <w:t>核心能力</w:t>
      </w:r>
    </w:p>
    <w:p w14:paraId="2F7CFDEA">
      <w:pPr>
        <w:bidi w:val="0"/>
        <w:rPr>
          <w:rFonts w:hint="default"/>
          <w:color w:val="auto"/>
        </w:rPr>
      </w:pPr>
      <w:r>
        <w:rPr>
          <w:rFonts w:hint="default"/>
          <w:color w:val="auto"/>
        </w:rPr>
        <w:t>多维度精准检索：支持通过报告编号、访问日期范围、单据状态等条件快速定位目标审核计划，大幅提升供应链管理人员的信息查询效率。</w:t>
      </w:r>
    </w:p>
    <w:p w14:paraId="0D092E52">
      <w:pPr>
        <w:bidi w:val="0"/>
        <w:rPr>
          <w:rFonts w:hint="default"/>
          <w:color w:val="auto"/>
        </w:rPr>
      </w:pPr>
      <w:r>
        <w:rPr>
          <w:rFonts w:hint="default"/>
          <w:color w:val="auto"/>
        </w:rPr>
        <w:t>全生命周期管理：提供新建审核计划、跟踪审核状态（如已审核）的完整能力，覆盖从计划创建到审核完成的全流程管控。</w:t>
      </w:r>
    </w:p>
    <w:p w14:paraId="2F762F4A">
      <w:pPr>
        <w:bidi w:val="0"/>
        <w:rPr>
          <w:rFonts w:hint="default"/>
          <w:color w:val="auto"/>
        </w:rPr>
      </w:pPr>
      <w:r>
        <w:rPr>
          <w:rFonts w:hint="default"/>
          <w:color w:val="auto"/>
        </w:rPr>
        <w:t>标准化信息维护：统一记录报告编号、供应商、供应内容、访问日期、访问人、联系人、单据状态、创建人及时间等核心信息，保障审核计划的规范性与可追溯性。</w:t>
      </w:r>
    </w:p>
    <w:p w14:paraId="1096508A">
      <w:pPr>
        <w:bidi w:val="0"/>
        <w:rPr>
          <w:rFonts w:hint="default"/>
          <w:color w:val="auto"/>
        </w:rPr>
      </w:pPr>
      <w:r>
        <w:rPr>
          <w:rFonts w:hint="default"/>
          <w:color w:val="auto"/>
        </w:rPr>
        <w:t>状态可视化跟踪：清晰展示单据状态（如已审核），确保审核工作按计划推进，结果可查可追溯。</w:t>
      </w:r>
    </w:p>
    <w:p w14:paraId="394F12E8">
      <w:pPr>
        <w:bidi w:val="0"/>
        <w:rPr>
          <w:rFonts w:hint="default"/>
          <w:color w:val="auto"/>
        </w:rPr>
      </w:pPr>
      <w:r>
        <w:rPr>
          <w:rFonts w:hint="default"/>
          <w:color w:val="auto"/>
        </w:rPr>
        <w:t>功能价值</w:t>
      </w:r>
    </w:p>
    <w:p w14:paraId="054490EB">
      <w:pPr>
        <w:bidi w:val="0"/>
      </w:pPr>
      <w:r>
        <w:rPr>
          <w:rFonts w:hint="default"/>
          <w:color w:val="auto"/>
          <w:lang w:val="en-US" w:eastAsia="zh-CN"/>
        </w:rPr>
        <w:t>通过系统化的审核计划管理，该功能帮助企业建立常态化的供应商质量监控机制，及时识别供应商质量风险，推动供应商持续改进，从而保障供应链的稳定性与产品质量的可靠性，降低因供应商问题导致的生产中断或质量事故风险。</w:t>
      </w:r>
    </w:p>
    <w:p w14:paraId="6D10ECB3">
      <w:pPr>
        <w:pStyle w:val="42"/>
        <w:bidi w:val="0"/>
      </w:pPr>
      <w:r>
        <w:drawing>
          <wp:inline distT="0" distB="0" distL="114300" distR="114300">
            <wp:extent cx="5268595" cy="1355725"/>
            <wp:effectExtent l="0" t="0" r="8255" b="15875"/>
            <wp:docPr id="14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47"/>
                    <pic:cNvPicPr>
                      <a:picLocks noChangeAspect="1"/>
                    </pic:cNvPicPr>
                  </pic:nvPicPr>
                  <pic:blipFill>
                    <a:blip r:embed="rId72"/>
                    <a:stretch>
                      <a:fillRect/>
                    </a:stretch>
                  </pic:blipFill>
                  <pic:spPr>
                    <a:xfrm>
                      <a:off x="0" y="0"/>
                      <a:ext cx="5268595" cy="1355725"/>
                    </a:xfrm>
                    <a:prstGeom prst="rect">
                      <a:avLst/>
                    </a:prstGeom>
                    <a:noFill/>
                    <a:ln>
                      <a:noFill/>
                    </a:ln>
                  </pic:spPr>
                </pic:pic>
              </a:graphicData>
            </a:graphic>
          </wp:inline>
        </w:drawing>
      </w:r>
    </w:p>
    <w:p w14:paraId="555BD16F">
      <w:pPr>
        <w:bidi w:val="0"/>
        <w:rPr>
          <w:rFonts w:hint="default"/>
          <w:color w:val="auto"/>
        </w:rPr>
      </w:pPr>
      <w:r>
        <w:rPr>
          <w:rFonts w:hint="default"/>
          <w:color w:val="auto"/>
        </w:rPr>
        <w:t>供应商访问记录功能介绍</w:t>
      </w:r>
    </w:p>
    <w:p w14:paraId="2A048D47">
      <w:pPr>
        <w:bidi w:val="0"/>
        <w:rPr>
          <w:rFonts w:hint="default"/>
          <w:color w:val="auto"/>
        </w:rPr>
      </w:pPr>
      <w:r>
        <w:rPr>
          <w:rFonts w:hint="default"/>
          <w:color w:val="auto"/>
          <w:lang w:val="en-US" w:eastAsia="zh-CN"/>
        </w:rPr>
        <w:t>供应商访问记录是企业供应链质量管理体系的 “审核执行追溯中枢” 功能，与供应商审核计划模块深度联动，用于精准记录和跟踪对供应商的实际访问与审核过程，确保供应商质量审核工作的可追溯性与透明性。</w:t>
      </w:r>
    </w:p>
    <w:p w14:paraId="61ADB56B">
      <w:pPr>
        <w:bidi w:val="0"/>
        <w:rPr>
          <w:rFonts w:hint="default"/>
          <w:color w:val="auto"/>
        </w:rPr>
      </w:pPr>
      <w:r>
        <w:rPr>
          <w:rFonts w:hint="default"/>
          <w:color w:val="auto"/>
        </w:rPr>
        <w:t>核心能力</w:t>
      </w:r>
    </w:p>
    <w:p w14:paraId="4BCB401F">
      <w:pPr>
        <w:bidi w:val="0"/>
        <w:rPr>
          <w:rFonts w:hint="default"/>
          <w:color w:val="auto"/>
        </w:rPr>
      </w:pPr>
      <w:r>
        <w:rPr>
          <w:rFonts w:hint="default"/>
          <w:color w:val="auto"/>
        </w:rPr>
        <w:t>多维度精准检索：支持通过报告编号、访问日期范围、审核进度等条件快速定位目标访问记录，大幅提升供应链管理人员的信息查询效率。</w:t>
      </w:r>
    </w:p>
    <w:p w14:paraId="55A70AA8">
      <w:pPr>
        <w:bidi w:val="0"/>
        <w:rPr>
          <w:rFonts w:hint="default"/>
          <w:color w:val="auto"/>
        </w:rPr>
      </w:pPr>
      <w:r>
        <w:rPr>
          <w:rFonts w:hint="default"/>
          <w:color w:val="auto"/>
        </w:rPr>
        <w:t>全流程进度跟踪：清晰展示审核进度（如 “审核完成”），完整记录访问日期、访问人、联系人等关键执行信息，实现从计划到执行的全链路追溯。</w:t>
      </w:r>
    </w:p>
    <w:p w14:paraId="731D4793">
      <w:pPr>
        <w:bidi w:val="0"/>
        <w:rPr>
          <w:rFonts w:hint="default"/>
          <w:color w:val="auto"/>
        </w:rPr>
      </w:pPr>
      <w:r>
        <w:rPr>
          <w:rFonts w:hint="default"/>
          <w:color w:val="auto"/>
        </w:rPr>
        <w:t>标准化信息维护：统一记录报告编号、供应商、供应内容、创建人及时间等核心属性，保障访问与审核信息的一致性与完整性。</w:t>
      </w:r>
    </w:p>
    <w:p w14:paraId="054AD128">
      <w:pPr>
        <w:bidi w:val="0"/>
        <w:rPr>
          <w:rFonts w:hint="default"/>
          <w:color w:val="auto"/>
        </w:rPr>
      </w:pPr>
      <w:r>
        <w:rPr>
          <w:rFonts w:hint="default"/>
          <w:color w:val="auto"/>
        </w:rPr>
        <w:t>历史数据沉淀：系统留存所有访问与审核记录，为后续供应商质量评估、风险分析与合作决策提供可追溯的历史数据支撑。</w:t>
      </w:r>
    </w:p>
    <w:p w14:paraId="73DB7169">
      <w:pPr>
        <w:bidi w:val="0"/>
        <w:rPr>
          <w:rFonts w:hint="default"/>
          <w:color w:val="auto"/>
        </w:rPr>
      </w:pPr>
      <w:r>
        <w:rPr>
          <w:rFonts w:hint="default"/>
          <w:color w:val="auto"/>
        </w:rPr>
        <w:t>功能价值</w:t>
      </w:r>
    </w:p>
    <w:p w14:paraId="26C27F80">
      <w:pPr>
        <w:bidi w:val="0"/>
      </w:pPr>
      <w:r>
        <w:rPr>
          <w:rFonts w:hint="default"/>
          <w:color w:val="auto"/>
          <w:lang w:val="en-US" w:eastAsia="zh-CN"/>
        </w:rPr>
        <w:t>通过系统化的访问记录管理，该功能确保了供应商审核工作的透明化与可追溯性，沉淀的历史数据可帮助企业持续评估供应商的质量稳定性与改进能力，从而优化供应链合作策略，降低供应链风险，保障产品质量的源头可控。</w:t>
      </w:r>
    </w:p>
    <w:p w14:paraId="00E3CE19">
      <w:pPr>
        <w:pStyle w:val="42"/>
        <w:bidi w:val="0"/>
      </w:pPr>
      <w:r>
        <w:drawing>
          <wp:inline distT="0" distB="0" distL="114300" distR="114300">
            <wp:extent cx="5264785" cy="1369695"/>
            <wp:effectExtent l="0" t="0" r="12065" b="1905"/>
            <wp:docPr id="14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9"/>
                    <pic:cNvPicPr>
                      <a:picLocks noChangeAspect="1"/>
                    </pic:cNvPicPr>
                  </pic:nvPicPr>
                  <pic:blipFill>
                    <a:blip r:embed="rId73"/>
                    <a:stretch>
                      <a:fillRect/>
                    </a:stretch>
                  </pic:blipFill>
                  <pic:spPr>
                    <a:xfrm>
                      <a:off x="0" y="0"/>
                      <a:ext cx="5264785" cy="1369695"/>
                    </a:xfrm>
                    <a:prstGeom prst="rect">
                      <a:avLst/>
                    </a:prstGeom>
                    <a:noFill/>
                    <a:ln>
                      <a:noFill/>
                    </a:ln>
                  </pic:spPr>
                </pic:pic>
              </a:graphicData>
            </a:graphic>
          </wp:inline>
        </w:drawing>
      </w:r>
    </w:p>
    <w:p w14:paraId="00923635">
      <w:pPr>
        <w:pStyle w:val="42"/>
        <w:bidi w:val="0"/>
      </w:pPr>
    </w:p>
    <w:p w14:paraId="61DDEC0E">
      <w:pPr>
        <w:pStyle w:val="37"/>
        <w:bidi w:val="0"/>
        <w:rPr>
          <w:rFonts w:hint="default"/>
          <w:color w:val="auto"/>
        </w:rPr>
      </w:pPr>
      <w:r>
        <w:rPr>
          <w:rFonts w:hint="eastAsia"/>
          <w:color w:val="auto"/>
          <w:lang w:val="en-US" w:eastAsia="zh-CN"/>
        </w:rPr>
        <w:t>仪器管理</w:t>
      </w:r>
    </w:p>
    <w:p w14:paraId="16552F72">
      <w:pPr>
        <w:bidi w:val="0"/>
        <w:rPr>
          <w:rFonts w:hint="default"/>
          <w:color w:val="auto"/>
        </w:rPr>
      </w:pPr>
      <w:r>
        <w:rPr>
          <w:rFonts w:hint="default"/>
          <w:color w:val="auto"/>
        </w:rPr>
        <w:t>pH 计校准表管理功能介绍</w:t>
      </w:r>
    </w:p>
    <w:p w14:paraId="2A60B33C">
      <w:pPr>
        <w:bidi w:val="0"/>
        <w:rPr>
          <w:rFonts w:hint="default"/>
          <w:color w:val="auto"/>
        </w:rPr>
      </w:pPr>
      <w:r>
        <w:rPr>
          <w:rFonts w:hint="default"/>
          <w:color w:val="auto"/>
          <w:lang w:val="en-US" w:eastAsia="zh-CN"/>
        </w:rPr>
        <w:t>pH 计校准表管理是企业质量管控体系中 “检测设备精度保障中枢” 功能，用于系统化管理 pH 计等关键检测设备的校准过程与记录，确保设备测量精度持续符合生产与检验要求，从工具层面保障质量数据的准确性与可靠性。</w:t>
      </w:r>
    </w:p>
    <w:p w14:paraId="0AFD2B4B">
      <w:pPr>
        <w:bidi w:val="0"/>
        <w:rPr>
          <w:rFonts w:hint="default"/>
          <w:color w:val="auto"/>
        </w:rPr>
      </w:pPr>
      <w:r>
        <w:rPr>
          <w:rFonts w:hint="default"/>
          <w:color w:val="auto"/>
        </w:rPr>
        <w:t>核心能力</w:t>
      </w:r>
    </w:p>
    <w:p w14:paraId="1006A064">
      <w:pPr>
        <w:bidi w:val="0"/>
        <w:rPr>
          <w:rFonts w:hint="default"/>
          <w:color w:val="auto"/>
        </w:rPr>
      </w:pPr>
      <w:r>
        <w:rPr>
          <w:rFonts w:hint="default"/>
          <w:color w:val="auto"/>
        </w:rPr>
        <w:t>多维度精准检索：支持通过确认状态、校准人、校准日期范围等条件快速定位目标校准记录，大幅提升设备管理人员的信息查询效率。</w:t>
      </w:r>
    </w:p>
    <w:p w14:paraId="1695074A">
      <w:pPr>
        <w:bidi w:val="0"/>
        <w:rPr>
          <w:rFonts w:hint="default"/>
          <w:color w:val="auto"/>
        </w:rPr>
      </w:pPr>
      <w:r>
        <w:rPr>
          <w:rFonts w:hint="default"/>
          <w:color w:val="auto"/>
        </w:rPr>
        <w:t>全要素校准记录：完整记录设备核心信息（编号、名称、型号、使用地点）、关键校准数据（CAL1、CAL2、斜率）、人员信息（校准人、确认人电子签名）及全量时间节点（校准日期、确认时间、创建时间），确保校准过程的可追溯性。</w:t>
      </w:r>
    </w:p>
    <w:p w14:paraId="5F756742">
      <w:pPr>
        <w:bidi w:val="0"/>
        <w:rPr>
          <w:rFonts w:hint="default"/>
          <w:color w:val="auto"/>
        </w:rPr>
      </w:pPr>
      <w:r>
        <w:rPr>
          <w:rFonts w:hint="default"/>
          <w:color w:val="auto"/>
        </w:rPr>
        <w:t>完整操作能力：提供新建校准记录、导出数据等功能，满足从校准事件记录到数据归档分析的全流程需求。</w:t>
      </w:r>
    </w:p>
    <w:p w14:paraId="292B85F9">
      <w:pPr>
        <w:bidi w:val="0"/>
        <w:rPr>
          <w:rFonts w:hint="default"/>
          <w:color w:val="auto"/>
        </w:rPr>
      </w:pPr>
      <w:r>
        <w:rPr>
          <w:rFonts w:hint="default"/>
          <w:color w:val="auto"/>
        </w:rPr>
        <w:t>电子签名与状态管控：通过电子确认签名与确认状态（如 “已确认”），形成校准结果的审批闭环，确保校准行为的规范性与结果的有效性。</w:t>
      </w:r>
    </w:p>
    <w:p w14:paraId="65795BFE">
      <w:pPr>
        <w:bidi w:val="0"/>
        <w:rPr>
          <w:rFonts w:hint="default"/>
          <w:color w:val="auto"/>
        </w:rPr>
      </w:pPr>
      <w:r>
        <w:rPr>
          <w:rFonts w:hint="default"/>
          <w:color w:val="auto"/>
        </w:rPr>
        <w:t>功能价值</w:t>
      </w:r>
    </w:p>
    <w:p w14:paraId="69783A1B">
      <w:pPr>
        <w:bidi w:val="0"/>
        <w:rPr>
          <w:rFonts w:hint="default"/>
          <w:color w:val="auto"/>
        </w:rPr>
      </w:pPr>
      <w:r>
        <w:rPr>
          <w:rFonts w:hint="default"/>
          <w:color w:val="auto"/>
          <w:lang w:val="en-US" w:eastAsia="zh-CN"/>
        </w:rPr>
        <w:t>通过系统化的校准记录管理，该功能确保了 pH 计等检测设备的测量精度，避免因设备偏差导致的质量数据失真，为生产过程控制与产品质量检验提供了可靠的工具保障。同时，沉淀的校准数据可用于设备性能趋势分析与预防性维护，进一步提升设备管理的科学性与前瞻性，助力企业满足质量合规要求。</w:t>
      </w:r>
    </w:p>
    <w:p w14:paraId="6738EDBC">
      <w:pPr>
        <w:pStyle w:val="42"/>
        <w:bidi w:val="0"/>
      </w:pPr>
      <w:r>
        <w:drawing>
          <wp:inline distT="0" distB="0" distL="114300" distR="114300">
            <wp:extent cx="5271135" cy="2355215"/>
            <wp:effectExtent l="0" t="0" r="5715" b="6985"/>
            <wp:docPr id="14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51"/>
                    <pic:cNvPicPr>
                      <a:picLocks noChangeAspect="1"/>
                    </pic:cNvPicPr>
                  </pic:nvPicPr>
                  <pic:blipFill>
                    <a:blip r:embed="rId74"/>
                    <a:stretch>
                      <a:fillRect/>
                    </a:stretch>
                  </pic:blipFill>
                  <pic:spPr>
                    <a:xfrm>
                      <a:off x="0" y="0"/>
                      <a:ext cx="5271135" cy="2355215"/>
                    </a:xfrm>
                    <a:prstGeom prst="rect">
                      <a:avLst/>
                    </a:prstGeom>
                    <a:noFill/>
                    <a:ln>
                      <a:noFill/>
                    </a:ln>
                  </pic:spPr>
                </pic:pic>
              </a:graphicData>
            </a:graphic>
          </wp:inline>
        </w:drawing>
      </w:r>
    </w:p>
    <w:p w14:paraId="68D2973B">
      <w:pPr>
        <w:pStyle w:val="42"/>
        <w:bidi w:val="0"/>
      </w:pPr>
    </w:p>
    <w:p w14:paraId="37039C32">
      <w:pPr>
        <w:bidi w:val="0"/>
        <w:rPr>
          <w:rFonts w:hint="default"/>
          <w:color w:val="auto"/>
        </w:rPr>
      </w:pPr>
      <w:r>
        <w:rPr>
          <w:rFonts w:hint="default"/>
          <w:color w:val="auto"/>
        </w:rPr>
        <w:t>天平校准记录功能介绍</w:t>
      </w:r>
    </w:p>
    <w:p w14:paraId="13A4DB9B">
      <w:pPr>
        <w:bidi w:val="0"/>
        <w:rPr>
          <w:rFonts w:hint="default"/>
          <w:color w:val="auto"/>
        </w:rPr>
      </w:pPr>
      <w:r>
        <w:rPr>
          <w:rFonts w:hint="default"/>
          <w:color w:val="auto"/>
          <w:lang w:val="en-US" w:eastAsia="zh-CN"/>
        </w:rPr>
        <w:t>天平校准记录是企业质量管控体系中 “计量设备精度保障中枢” 功能，用于系统化管理天平这类核心计量设备的校准过程与结果，确保设备称量精度持续符合生产与检验要求，从工具层面保障质量数据的准确性与可靠性。</w:t>
      </w:r>
    </w:p>
    <w:p w14:paraId="7245CFFF">
      <w:pPr>
        <w:bidi w:val="0"/>
        <w:rPr>
          <w:rFonts w:hint="default"/>
          <w:color w:val="auto"/>
        </w:rPr>
      </w:pPr>
      <w:r>
        <w:rPr>
          <w:rFonts w:hint="default"/>
          <w:color w:val="auto"/>
        </w:rPr>
        <w:t>核心能力</w:t>
      </w:r>
    </w:p>
    <w:p w14:paraId="39FC3F9A">
      <w:pPr>
        <w:bidi w:val="0"/>
        <w:rPr>
          <w:rFonts w:hint="default"/>
          <w:color w:val="auto"/>
        </w:rPr>
      </w:pPr>
      <w:r>
        <w:rPr>
          <w:rFonts w:hint="default"/>
          <w:color w:val="auto"/>
        </w:rPr>
        <w:t>多维度精准检索：支持通过单据编号、型号、使用地点、单据状态、检验日期范围等条件快速定位目标校准记录，大幅提升设备管理人员的信息查询效率。</w:t>
      </w:r>
    </w:p>
    <w:p w14:paraId="192FBA1C">
      <w:pPr>
        <w:bidi w:val="0"/>
        <w:rPr>
          <w:rFonts w:hint="default"/>
          <w:color w:val="auto"/>
        </w:rPr>
      </w:pPr>
      <w:r>
        <w:rPr>
          <w:rFonts w:hint="default"/>
          <w:color w:val="auto"/>
        </w:rPr>
        <w:t>全要素校准记录：完整记录设备核心信息（型号、使用地点、Max 规格）、关键校准数据（砝码重量、数值单位、检验结果）、人员信息（检验员、制单人）及全量时间节点（检验日期、创建时间），确保校准过程的可追溯性。</w:t>
      </w:r>
    </w:p>
    <w:p w14:paraId="4EF7A328">
      <w:pPr>
        <w:bidi w:val="0"/>
        <w:rPr>
          <w:rFonts w:hint="default"/>
          <w:color w:val="auto"/>
        </w:rPr>
      </w:pPr>
      <w:r>
        <w:rPr>
          <w:rFonts w:hint="default"/>
          <w:color w:val="auto"/>
        </w:rPr>
        <w:t>完整操作能力：提供新建校准记录、生成校准报告、编辑暂存记录等功能，满足从校准事件记录到报告归档的全流程需求。</w:t>
      </w:r>
    </w:p>
    <w:p w14:paraId="6F609F34">
      <w:pPr>
        <w:bidi w:val="0"/>
        <w:rPr>
          <w:rFonts w:hint="default"/>
          <w:color w:val="auto"/>
        </w:rPr>
      </w:pPr>
      <w:r>
        <w:rPr>
          <w:rFonts w:hint="default"/>
          <w:color w:val="auto"/>
        </w:rPr>
        <w:t>状态管控与报告生成：通过单据状态（如 “已审核”“暂存”）管控校准结果的有效性，并支持一键生成校准报告，为质量合规审计提供直接依据。</w:t>
      </w:r>
    </w:p>
    <w:p w14:paraId="41662C5A">
      <w:pPr>
        <w:bidi w:val="0"/>
        <w:rPr>
          <w:rFonts w:hint="default"/>
          <w:color w:val="auto"/>
        </w:rPr>
      </w:pPr>
      <w:r>
        <w:rPr>
          <w:rFonts w:hint="default"/>
          <w:color w:val="auto"/>
        </w:rPr>
        <w:t>功能价值</w:t>
      </w:r>
    </w:p>
    <w:p w14:paraId="387684DF">
      <w:pPr>
        <w:bidi w:val="0"/>
        <w:rPr>
          <w:rFonts w:hint="default"/>
          <w:color w:val="auto"/>
        </w:rPr>
      </w:pPr>
      <w:r>
        <w:rPr>
          <w:rFonts w:hint="default"/>
          <w:color w:val="auto"/>
          <w:lang w:val="en-US" w:eastAsia="zh-CN"/>
        </w:rPr>
        <w:t>通过系统化的校准记录管理，该功能确保了天平这类计量设备的称量精度，避免因设备偏差导致的质量数据失真，为生产过程控制与产品质量检验提供了可靠的工具保障。同时，沉淀的校准数据可用于设备性能趋势分析与预防性维护，进一步提升设备管理的科学性与前瞻性，助力企业满足质量合规要求。</w:t>
      </w:r>
    </w:p>
    <w:p w14:paraId="2F6D7377">
      <w:pPr>
        <w:pStyle w:val="42"/>
        <w:bidi w:val="0"/>
      </w:pPr>
      <w:r>
        <w:drawing>
          <wp:inline distT="0" distB="0" distL="114300" distR="114300">
            <wp:extent cx="5265420" cy="2333625"/>
            <wp:effectExtent l="0" t="0" r="11430" b="9525"/>
            <wp:docPr id="14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53"/>
                    <pic:cNvPicPr>
                      <a:picLocks noChangeAspect="1"/>
                    </pic:cNvPicPr>
                  </pic:nvPicPr>
                  <pic:blipFill>
                    <a:blip r:embed="rId75"/>
                    <a:stretch>
                      <a:fillRect/>
                    </a:stretch>
                  </pic:blipFill>
                  <pic:spPr>
                    <a:xfrm>
                      <a:off x="0" y="0"/>
                      <a:ext cx="5265420" cy="2333625"/>
                    </a:xfrm>
                    <a:prstGeom prst="rect">
                      <a:avLst/>
                    </a:prstGeom>
                    <a:noFill/>
                    <a:ln>
                      <a:noFill/>
                    </a:ln>
                  </pic:spPr>
                </pic:pic>
              </a:graphicData>
            </a:graphic>
          </wp:inline>
        </w:drawing>
      </w:r>
    </w:p>
    <w:p w14:paraId="5B62599D">
      <w:pPr>
        <w:bidi w:val="0"/>
        <w:rPr>
          <w:rFonts w:hint="default"/>
          <w:color w:val="auto"/>
        </w:rPr>
      </w:pPr>
      <w:r>
        <w:rPr>
          <w:rFonts w:hint="default"/>
          <w:color w:val="auto"/>
        </w:rPr>
        <w:t>卷封投影仪校准记录表功能介绍</w:t>
      </w:r>
    </w:p>
    <w:p w14:paraId="7BEB3526">
      <w:pPr>
        <w:bidi w:val="0"/>
        <w:rPr>
          <w:rFonts w:hint="default"/>
          <w:color w:val="auto"/>
        </w:rPr>
      </w:pPr>
      <w:r>
        <w:rPr>
          <w:rFonts w:hint="default"/>
          <w:color w:val="auto"/>
          <w:lang w:val="en-US" w:eastAsia="zh-CN"/>
        </w:rPr>
        <w:t>卷封投影仪校准记录表是企业质量管控体系中 “卷封检测设备精度保障中枢” 功能，用于系统化管理卷封投影仪这类关键检测设备的校准过程与结果，确保设备测量精度持续符合生产与检验要求，从工具层面保障产品卷封质量的稳定性与可靠性。</w:t>
      </w:r>
    </w:p>
    <w:p w14:paraId="73A0BF38">
      <w:pPr>
        <w:bidi w:val="0"/>
        <w:rPr>
          <w:rFonts w:hint="default"/>
          <w:color w:val="auto"/>
        </w:rPr>
      </w:pPr>
      <w:r>
        <w:rPr>
          <w:rFonts w:hint="default"/>
          <w:color w:val="auto"/>
        </w:rPr>
        <w:t>核心能力</w:t>
      </w:r>
    </w:p>
    <w:p w14:paraId="570649B5">
      <w:pPr>
        <w:bidi w:val="0"/>
        <w:rPr>
          <w:rFonts w:hint="default"/>
          <w:color w:val="auto"/>
        </w:rPr>
      </w:pPr>
      <w:r>
        <w:rPr>
          <w:rFonts w:hint="default"/>
          <w:color w:val="auto"/>
        </w:rPr>
        <w:t>多维度精准检索：支持通过车间、确认状态、校准人、校准日期范围等条件快速定位目标校准记录，大幅提升设备管理人员的信息查询效率。</w:t>
      </w:r>
    </w:p>
    <w:p w14:paraId="3C917ED7">
      <w:pPr>
        <w:bidi w:val="0"/>
        <w:rPr>
          <w:rFonts w:hint="default"/>
          <w:color w:val="auto"/>
        </w:rPr>
      </w:pPr>
      <w:r>
        <w:rPr>
          <w:rFonts w:hint="default"/>
          <w:color w:val="auto"/>
        </w:rPr>
        <w:t>全要素校准记录：完整记录核心校准数据（校准标准值、测量值、误差值）、人员信息（校准人、确认人电子签名）及全量时间节点（校准日期、校准时间、确认时间、创建时间），确保校准过程的可追溯性。</w:t>
      </w:r>
    </w:p>
    <w:p w14:paraId="38B6DDA9">
      <w:pPr>
        <w:bidi w:val="0"/>
        <w:rPr>
          <w:rFonts w:hint="default"/>
          <w:color w:val="auto"/>
        </w:rPr>
      </w:pPr>
      <w:r>
        <w:rPr>
          <w:rFonts w:hint="default"/>
          <w:color w:val="auto"/>
        </w:rPr>
        <w:t>完整操作能力：提供新建校准记录、导出数据、编辑暂存记录等功能，满足从校准事件记录到数据归档分析的全流程需求。</w:t>
      </w:r>
    </w:p>
    <w:p w14:paraId="791B30C9">
      <w:pPr>
        <w:bidi w:val="0"/>
        <w:rPr>
          <w:rFonts w:hint="default"/>
          <w:color w:val="auto"/>
        </w:rPr>
      </w:pPr>
      <w:r>
        <w:rPr>
          <w:rFonts w:hint="default"/>
          <w:color w:val="auto"/>
        </w:rPr>
        <w:t>电子签名与状态管控：通过确认状态（已确认、未确认）与电子签名，形成校准结果的审批闭环，确保校准行为的规范性与结果的有效性。</w:t>
      </w:r>
    </w:p>
    <w:p w14:paraId="2A2FF7C6">
      <w:pPr>
        <w:bidi w:val="0"/>
        <w:rPr>
          <w:rFonts w:hint="default"/>
          <w:color w:val="auto"/>
        </w:rPr>
      </w:pPr>
      <w:r>
        <w:rPr>
          <w:rFonts w:hint="default"/>
          <w:color w:val="auto"/>
        </w:rPr>
        <w:t>功能价值</w:t>
      </w:r>
    </w:p>
    <w:p w14:paraId="67743046">
      <w:pPr>
        <w:bidi w:val="0"/>
        <w:rPr>
          <w:rFonts w:hint="default"/>
          <w:color w:val="auto"/>
        </w:rPr>
      </w:pPr>
      <w:r>
        <w:rPr>
          <w:rFonts w:hint="default"/>
          <w:color w:val="auto"/>
          <w:lang w:val="en-US" w:eastAsia="zh-CN"/>
        </w:rPr>
        <w:t>通过系统化的校准记录管理，该功能确保了卷封投影仪的测量精度，避免因设备偏差导致的卷封质量缺陷，为产品质量安全提供了可靠的工具保障。同时，沉淀的校准数据可用于设备性能趋势分析与预防性维护，进一步提升设备管理的科学性与前瞻性，助力企业满足质量合规要求。</w:t>
      </w:r>
    </w:p>
    <w:p w14:paraId="3803A2DC">
      <w:pPr>
        <w:pStyle w:val="42"/>
        <w:bidi w:val="0"/>
      </w:pPr>
      <w:r>
        <w:drawing>
          <wp:inline distT="0" distB="0" distL="114300" distR="114300">
            <wp:extent cx="5260975" cy="2346325"/>
            <wp:effectExtent l="0" t="0" r="15875" b="15875"/>
            <wp:docPr id="15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54"/>
                    <pic:cNvPicPr>
                      <a:picLocks noChangeAspect="1"/>
                    </pic:cNvPicPr>
                  </pic:nvPicPr>
                  <pic:blipFill>
                    <a:blip r:embed="rId76"/>
                    <a:stretch>
                      <a:fillRect/>
                    </a:stretch>
                  </pic:blipFill>
                  <pic:spPr>
                    <a:xfrm>
                      <a:off x="0" y="0"/>
                      <a:ext cx="5260975" cy="2346325"/>
                    </a:xfrm>
                    <a:prstGeom prst="rect">
                      <a:avLst/>
                    </a:prstGeom>
                    <a:noFill/>
                    <a:ln>
                      <a:noFill/>
                    </a:ln>
                  </pic:spPr>
                </pic:pic>
              </a:graphicData>
            </a:graphic>
          </wp:inline>
        </w:drawing>
      </w:r>
    </w:p>
    <w:p w14:paraId="4953D7C8">
      <w:pPr>
        <w:bidi w:val="0"/>
        <w:rPr>
          <w:rFonts w:hint="default"/>
          <w:color w:val="auto"/>
        </w:rPr>
      </w:pPr>
      <w:r>
        <w:rPr>
          <w:rFonts w:hint="default"/>
          <w:color w:val="auto"/>
        </w:rPr>
        <w:t>电子天平使用记录管理功能介绍</w:t>
      </w:r>
    </w:p>
    <w:p w14:paraId="34675A3E">
      <w:pPr>
        <w:bidi w:val="0"/>
        <w:rPr>
          <w:rFonts w:hint="default"/>
          <w:color w:val="auto"/>
        </w:rPr>
      </w:pPr>
      <w:r>
        <w:rPr>
          <w:rFonts w:hint="default"/>
          <w:color w:val="auto"/>
          <w:lang w:val="en-US" w:eastAsia="zh-CN"/>
        </w:rPr>
        <w:t>电子天平使用记录管理是企业质量管控体系中 “计量设备使用追溯中枢” 功能，用于系统化记录电子天平每次使用的全场景信息，确保称量过程的可追溯性与设备状态的可控性，从过程层面保障质量数据的准确性与可靠性。</w:t>
      </w:r>
    </w:p>
    <w:p w14:paraId="66018A65">
      <w:pPr>
        <w:bidi w:val="0"/>
        <w:rPr>
          <w:rFonts w:hint="default"/>
          <w:color w:val="auto"/>
        </w:rPr>
      </w:pPr>
      <w:r>
        <w:rPr>
          <w:rFonts w:hint="default"/>
          <w:color w:val="auto"/>
        </w:rPr>
        <w:t>核心能力</w:t>
      </w:r>
    </w:p>
    <w:p w14:paraId="41ED2EAB">
      <w:pPr>
        <w:bidi w:val="0"/>
        <w:rPr>
          <w:rFonts w:hint="default"/>
          <w:color w:val="auto"/>
        </w:rPr>
      </w:pPr>
      <w:r>
        <w:rPr>
          <w:rFonts w:hint="default"/>
          <w:color w:val="auto"/>
        </w:rPr>
        <w:t>多维度精准检索：支持通过仪器名称、使用年份、检测项目、确认状态、使用日期范围等条件快速定位目标使用记录，大幅提升设备管理人员与质量追溯人员的信息查询效率。</w:t>
      </w:r>
    </w:p>
    <w:p w14:paraId="5C03EC0E">
      <w:pPr>
        <w:bidi w:val="0"/>
        <w:rPr>
          <w:rFonts w:hint="default"/>
          <w:color w:val="auto"/>
        </w:rPr>
      </w:pPr>
      <w:r>
        <w:rPr>
          <w:rFonts w:hint="default"/>
          <w:color w:val="auto"/>
        </w:rPr>
        <w:t>全场景信息记录：完整记录使用场景的核心数据，包括环境条件（室温、相对湿度）、仪器状况（使用前 / 后状态）、检测项目、使用人、电子签名及全量时间节点（使用日期、时间、创建时间），确保每一次称量过程都具备可追溯性。</w:t>
      </w:r>
    </w:p>
    <w:p w14:paraId="036CFEF7">
      <w:pPr>
        <w:bidi w:val="0"/>
        <w:rPr>
          <w:rFonts w:hint="default"/>
          <w:color w:val="auto"/>
        </w:rPr>
      </w:pPr>
      <w:r>
        <w:rPr>
          <w:rFonts w:hint="default"/>
          <w:color w:val="auto"/>
        </w:rPr>
        <w:t>完整操作能力：提供新建使用记录、导出数据等功能，满足从使用事件记录到数据归档分析的全流程需求。</w:t>
      </w:r>
    </w:p>
    <w:p w14:paraId="56B244A0">
      <w:pPr>
        <w:bidi w:val="0"/>
        <w:rPr>
          <w:rFonts w:hint="default"/>
          <w:color w:val="auto"/>
        </w:rPr>
      </w:pPr>
      <w:r>
        <w:rPr>
          <w:rFonts w:hint="default"/>
          <w:color w:val="auto"/>
        </w:rPr>
        <w:t>状态管控与责任追溯：通过确认状态（如 “已确认”）与电子签名，明确使用责任，形成使用过程的闭环管控，确保操作行为的规范性与结果的有效性。</w:t>
      </w:r>
    </w:p>
    <w:p w14:paraId="75067459">
      <w:pPr>
        <w:bidi w:val="0"/>
        <w:rPr>
          <w:rFonts w:hint="default"/>
          <w:color w:val="auto"/>
        </w:rPr>
      </w:pPr>
      <w:r>
        <w:rPr>
          <w:rFonts w:hint="default"/>
          <w:color w:val="auto"/>
        </w:rPr>
        <w:t>功能价值</w:t>
      </w:r>
    </w:p>
    <w:p w14:paraId="5E23F55D">
      <w:pPr>
        <w:bidi w:val="0"/>
        <w:rPr>
          <w:rFonts w:hint="default"/>
          <w:color w:val="auto"/>
        </w:rPr>
      </w:pPr>
      <w:r>
        <w:rPr>
          <w:rFonts w:hint="default"/>
          <w:color w:val="auto"/>
          <w:lang w:val="en-US" w:eastAsia="zh-CN"/>
        </w:rPr>
        <w:t>通过系统化的使用记录管理，该功能确保了电子天平使用过程的可追溯性，一旦出现质量问题，可快速回溯使用场景与设备状态，定位问题根源。同时，沉淀的使用数据可用于分析设备使用频率、环境对设备的影响，为预防性维护与设备资源优化提供数据支撑，助力企业提升设备管理效率与质量合规水平。</w:t>
      </w:r>
    </w:p>
    <w:p w14:paraId="49E8FA92">
      <w:pPr>
        <w:pStyle w:val="42"/>
        <w:bidi w:val="0"/>
      </w:pPr>
      <w:r>
        <w:drawing>
          <wp:inline distT="0" distB="0" distL="114300" distR="114300">
            <wp:extent cx="5271135" cy="2563495"/>
            <wp:effectExtent l="0" t="0" r="5715" b="8255"/>
            <wp:docPr id="15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55"/>
                    <pic:cNvPicPr>
                      <a:picLocks noChangeAspect="1"/>
                    </pic:cNvPicPr>
                  </pic:nvPicPr>
                  <pic:blipFill>
                    <a:blip r:embed="rId77"/>
                    <a:stretch>
                      <a:fillRect/>
                    </a:stretch>
                  </pic:blipFill>
                  <pic:spPr>
                    <a:xfrm>
                      <a:off x="0" y="0"/>
                      <a:ext cx="5271135" cy="2563495"/>
                    </a:xfrm>
                    <a:prstGeom prst="rect">
                      <a:avLst/>
                    </a:prstGeom>
                    <a:noFill/>
                    <a:ln>
                      <a:noFill/>
                    </a:ln>
                  </pic:spPr>
                </pic:pic>
              </a:graphicData>
            </a:graphic>
          </wp:inline>
        </w:drawing>
      </w:r>
    </w:p>
    <w:p w14:paraId="1A6B2A1A">
      <w:pPr>
        <w:bidi w:val="0"/>
        <w:rPr>
          <w:rFonts w:hint="default"/>
          <w:color w:val="auto"/>
        </w:rPr>
      </w:pPr>
      <w:r>
        <w:rPr>
          <w:rFonts w:hint="default"/>
          <w:color w:val="auto"/>
        </w:rPr>
        <w:t>其他仪器使用记录管理功能介绍</w:t>
      </w:r>
    </w:p>
    <w:p w14:paraId="099D42C1">
      <w:pPr>
        <w:bidi w:val="0"/>
        <w:rPr>
          <w:rFonts w:hint="default"/>
          <w:color w:val="auto"/>
        </w:rPr>
      </w:pPr>
      <w:r>
        <w:rPr>
          <w:rFonts w:hint="default"/>
          <w:color w:val="auto"/>
          <w:lang w:val="en-US" w:eastAsia="zh-CN"/>
        </w:rPr>
        <w:t>其他仪器使用记录管理是企业质量管控体系中 “通用检测设备使用追溯中枢” 功能，用于系统化管理紫外分光光度计、易开罐盖破力全开测定仪等各类非核心计量检测仪器的使用过程与状态，确保每一次检测操作都具备可追溯性，从过程层面保障质量数据的准确性与可靠性。</w:t>
      </w:r>
    </w:p>
    <w:p w14:paraId="3F39021F">
      <w:pPr>
        <w:bidi w:val="0"/>
        <w:rPr>
          <w:rFonts w:hint="default"/>
          <w:color w:val="auto"/>
        </w:rPr>
      </w:pPr>
      <w:r>
        <w:rPr>
          <w:rFonts w:hint="default"/>
          <w:color w:val="auto"/>
        </w:rPr>
        <w:t>核心能力</w:t>
      </w:r>
    </w:p>
    <w:p w14:paraId="7FE850B7">
      <w:pPr>
        <w:bidi w:val="0"/>
        <w:rPr>
          <w:rFonts w:hint="default"/>
          <w:color w:val="auto"/>
        </w:rPr>
      </w:pPr>
      <w:r>
        <w:rPr>
          <w:rFonts w:hint="default"/>
          <w:color w:val="auto"/>
        </w:rPr>
        <w:t>多维度精准检索：支持通过仪器名称、使用年份、检测批次、确认状态、使用日期范围等条件快速定位目标使用记录，大幅提升设备管理人员与质量追溯人员的信息查询效率。</w:t>
      </w:r>
    </w:p>
    <w:p w14:paraId="5A8E5AD1">
      <w:pPr>
        <w:bidi w:val="0"/>
        <w:rPr>
          <w:rFonts w:hint="default"/>
          <w:color w:val="auto"/>
        </w:rPr>
      </w:pPr>
      <w:r>
        <w:rPr>
          <w:rFonts w:hint="default"/>
          <w:color w:val="auto"/>
        </w:rPr>
        <w:t>全场景信息记录：完整记录使用场景的核心数据，包括环境条件（室温、相对湿度）、仪器状况（使用前 / 后状态）、检测项目与批次、使用人电子签名及全量时间节点（使用时间、结束时间、创建时间），确保每一次检测过程都具备可追溯性。</w:t>
      </w:r>
    </w:p>
    <w:p w14:paraId="64343A36">
      <w:pPr>
        <w:bidi w:val="0"/>
        <w:rPr>
          <w:rFonts w:hint="default"/>
          <w:color w:val="auto"/>
        </w:rPr>
      </w:pPr>
      <w:r>
        <w:rPr>
          <w:rFonts w:hint="default"/>
          <w:color w:val="auto"/>
        </w:rPr>
        <w:t>完整操作能力：提供新建使用记录、导出数据等功能，满足从使用事件记录到数据归档分析的全流程需求。</w:t>
      </w:r>
    </w:p>
    <w:p w14:paraId="6DC17F69">
      <w:pPr>
        <w:bidi w:val="0"/>
        <w:rPr>
          <w:rFonts w:hint="default"/>
          <w:color w:val="auto"/>
        </w:rPr>
      </w:pPr>
      <w:r>
        <w:rPr>
          <w:rFonts w:hint="default"/>
          <w:color w:val="auto"/>
        </w:rPr>
        <w:t>状态管控与责任追溯：通过确认状态（如 “已确认”）与电子签名，明确使用责任，形成使用过程的闭环管控，确保操作行为的规范性与结果的有效性。</w:t>
      </w:r>
    </w:p>
    <w:p w14:paraId="34D2D8D4">
      <w:pPr>
        <w:bidi w:val="0"/>
        <w:rPr>
          <w:rFonts w:hint="default"/>
          <w:color w:val="auto"/>
        </w:rPr>
      </w:pPr>
      <w:r>
        <w:rPr>
          <w:rFonts w:hint="default"/>
          <w:color w:val="auto"/>
        </w:rPr>
        <w:t>功能价值</w:t>
      </w:r>
    </w:p>
    <w:p w14:paraId="0203D057">
      <w:pPr>
        <w:bidi w:val="0"/>
        <w:rPr>
          <w:rFonts w:hint="default"/>
          <w:color w:val="auto"/>
        </w:rPr>
      </w:pPr>
      <w:r>
        <w:rPr>
          <w:rFonts w:hint="default"/>
          <w:color w:val="auto"/>
          <w:lang w:val="en-US" w:eastAsia="zh-CN"/>
        </w:rPr>
        <w:t>通过系统化的使用记录管理，该功能确保了各类检测仪器使用过程的可追溯性，一旦出现质量问题，可快速回溯使用场景与设备状态，定位问题根源。同时，沉淀的使用数据可用于分析设备使用频率、环境对设备的影响，为预防性维护与设备资源优化提供数据支撑，助力企业提升设备管理效率与质量合规水平。</w:t>
      </w:r>
    </w:p>
    <w:p w14:paraId="2C0F2F6F">
      <w:pPr>
        <w:pStyle w:val="42"/>
        <w:bidi w:val="0"/>
        <w:rPr>
          <w:rFonts w:hint="default"/>
        </w:rPr>
      </w:pPr>
      <w:r>
        <w:drawing>
          <wp:inline distT="0" distB="0" distL="114300" distR="114300">
            <wp:extent cx="5268595" cy="2555240"/>
            <wp:effectExtent l="0" t="0" r="8255" b="16510"/>
            <wp:docPr id="15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56"/>
                    <pic:cNvPicPr>
                      <a:picLocks noChangeAspect="1"/>
                    </pic:cNvPicPr>
                  </pic:nvPicPr>
                  <pic:blipFill>
                    <a:blip r:embed="rId78"/>
                    <a:stretch>
                      <a:fillRect/>
                    </a:stretch>
                  </pic:blipFill>
                  <pic:spPr>
                    <a:xfrm>
                      <a:off x="0" y="0"/>
                      <a:ext cx="5268595" cy="2555240"/>
                    </a:xfrm>
                    <a:prstGeom prst="rect">
                      <a:avLst/>
                    </a:prstGeom>
                    <a:noFill/>
                    <a:ln>
                      <a:noFill/>
                    </a:ln>
                  </pic:spPr>
                </pic:pic>
              </a:graphicData>
            </a:graphic>
          </wp:inline>
        </w:drawing>
      </w:r>
    </w:p>
    <w:p w14:paraId="5E2FEFEF">
      <w:pPr>
        <w:pStyle w:val="42"/>
        <w:bidi w:val="0"/>
        <w:rPr>
          <w:rFonts w:hint="default"/>
        </w:rPr>
      </w:pPr>
    </w:p>
    <w:p w14:paraId="07417994">
      <w:pPr>
        <w:pStyle w:val="37"/>
        <w:bidi w:val="0"/>
        <w:rPr>
          <w:rFonts w:hint="default"/>
          <w:color w:val="auto"/>
        </w:rPr>
      </w:pPr>
      <w:r>
        <w:rPr>
          <w:rFonts w:hint="default"/>
          <w:color w:val="auto"/>
        </w:rPr>
        <w:t>每周食品安全排查报告</w:t>
      </w:r>
      <w:r>
        <w:rPr>
          <w:rFonts w:hint="eastAsia"/>
          <w:color w:val="auto"/>
          <w:lang w:eastAsia="zh-CN"/>
        </w:rPr>
        <w:t>（</w:t>
      </w:r>
      <w:r>
        <w:rPr>
          <w:rFonts w:hint="eastAsia"/>
          <w:color w:val="auto"/>
          <w:lang w:val="en-US" w:eastAsia="zh-CN"/>
        </w:rPr>
        <w:t>定制开发</w:t>
      </w:r>
      <w:r>
        <w:rPr>
          <w:rFonts w:hint="eastAsia"/>
          <w:color w:val="auto"/>
          <w:lang w:eastAsia="zh-CN"/>
        </w:rPr>
        <w:t>）</w:t>
      </w:r>
    </w:p>
    <w:p w14:paraId="3A823ADB">
      <w:pPr>
        <w:bidi w:val="0"/>
        <w:rPr>
          <w:rFonts w:hint="default"/>
          <w:color w:val="auto"/>
        </w:rPr>
      </w:pPr>
      <w:r>
        <w:rPr>
          <w:rFonts w:hint="default"/>
          <w:color w:val="auto"/>
        </w:rPr>
        <w:t>该 “制程每周食品安全排查报告” 表单是数智工厂质量管理模块中食品安全风险管控环节的核心单据，用于周期性（每周）对生产制程中的食品安全风险进行全面排查、分析与整改跟踪，保障产品全生命周期的食品安全。</w:t>
      </w:r>
    </w:p>
    <w:p w14:paraId="54035E7F">
      <w:pPr>
        <w:bidi w:val="0"/>
        <w:rPr>
          <w:rFonts w:hint="default"/>
          <w:color w:val="auto"/>
        </w:rPr>
      </w:pPr>
      <w:r>
        <w:rPr>
          <w:rFonts w:hint="default"/>
          <w:color w:val="auto"/>
        </w:rPr>
        <w:t>功能层面：</w:t>
      </w:r>
    </w:p>
    <w:p w14:paraId="73E83C31">
      <w:pPr>
        <w:bidi w:val="0"/>
        <w:rPr>
          <w:rFonts w:hint="default"/>
          <w:color w:val="auto"/>
        </w:rPr>
      </w:pPr>
      <w:r>
        <w:rPr>
          <w:rFonts w:hint="default"/>
          <w:color w:val="auto"/>
        </w:rPr>
        <w:t>基础信息管理：记录报告编号、报告人、报告周期、审核人、审核日期等关键信息，明确报告的责任主体、时间范围与审批节点，形成食品安全排查的基础档案。</w:t>
      </w:r>
    </w:p>
    <w:p w14:paraId="3AB12F51">
      <w:pPr>
        <w:bidi w:val="0"/>
        <w:rPr>
          <w:rFonts w:hint="default"/>
          <w:color w:val="auto"/>
        </w:rPr>
      </w:pPr>
      <w:r>
        <w:rPr>
          <w:rFonts w:hint="default"/>
          <w:color w:val="auto"/>
        </w:rPr>
        <w:t>多维度风险排查与整改管理：</w:t>
      </w:r>
    </w:p>
    <w:p w14:paraId="3750EA06">
      <w:pPr>
        <w:bidi w:val="0"/>
        <w:rPr>
          <w:rFonts w:hint="default"/>
          <w:color w:val="auto"/>
        </w:rPr>
      </w:pPr>
      <w:r>
        <w:rPr>
          <w:rFonts w:hint="default"/>
          <w:color w:val="auto"/>
        </w:rPr>
        <w:t>针对 “本周主要存在的食品安全风险隐患”，可记录风险项目、检验结果、问题描述、图片、类型、整改措施及结果，实现对显性风险的集中管理。</w:t>
      </w:r>
    </w:p>
    <w:p w14:paraId="68974C3C">
      <w:pPr>
        <w:bidi w:val="0"/>
        <w:rPr>
          <w:rFonts w:hint="default"/>
          <w:color w:val="auto"/>
        </w:rPr>
      </w:pPr>
      <w:r>
        <w:rPr>
          <w:rFonts w:hint="default"/>
          <w:color w:val="auto"/>
        </w:rPr>
        <w:t>对 “本周每日自查食品安全风险隐患排查情况”“上一周食品安全风险隐患问题整改落实情况”，分别跟踪日常自查与历史整改的执行效果，确保风险排查的持续性与整改的闭环性。</w:t>
      </w:r>
    </w:p>
    <w:p w14:paraId="40B593BA">
      <w:pPr>
        <w:bidi w:val="0"/>
        <w:rPr>
          <w:rFonts w:hint="default"/>
          <w:color w:val="auto"/>
        </w:rPr>
      </w:pPr>
      <w:r>
        <w:rPr>
          <w:rFonts w:hint="default"/>
          <w:color w:val="auto"/>
        </w:rPr>
        <w:t>风险评估与工作规划：通过 “本周食品安全管理情况评价”（如风险可控、存在隐患、严重隐患），对本周食品安全状况进行分级评估；“下周工作重点” 可明确后续食品安全管控的方向，实现风险管控的前瞻性规划。</w:t>
      </w:r>
    </w:p>
    <w:p w14:paraId="66288FBE">
      <w:pPr>
        <w:bidi w:val="0"/>
        <w:rPr>
          <w:rFonts w:hint="default"/>
          <w:color w:val="auto"/>
        </w:rPr>
      </w:pPr>
      <w:r>
        <w:rPr>
          <w:rFonts w:hint="default"/>
          <w:color w:val="auto"/>
        </w:rPr>
        <w:t>作用层面：</w:t>
      </w:r>
    </w:p>
    <w:p w14:paraId="673FA988">
      <w:pPr>
        <w:bidi w:val="0"/>
        <w:rPr>
          <w:rFonts w:hint="default"/>
          <w:color w:val="auto"/>
        </w:rPr>
      </w:pPr>
      <w:r>
        <w:rPr>
          <w:rFonts w:hint="default"/>
          <w:color w:val="auto"/>
        </w:rPr>
        <w:t>食品安全风险预警：周期性排查可及时识别制程中潜在的食品安全风险（如原料污染、流程违规、环境不达标等），将风险遏制在萌芽阶段，避免引发食品安全事故。</w:t>
      </w:r>
    </w:p>
    <w:p w14:paraId="7B54EAC6">
      <w:pPr>
        <w:bidi w:val="0"/>
        <w:rPr>
          <w:rFonts w:hint="default"/>
          <w:color w:val="auto"/>
        </w:rPr>
      </w:pPr>
      <w:r>
        <w:rPr>
          <w:rFonts w:hint="default"/>
          <w:color w:val="auto"/>
        </w:rPr>
        <w:t>整改闭环与追溯：从风险发现、整改措施制定、执行到效果验证的全流程记录，构建了食品安全问题的可追溯链条，便于后续风险溯源、责任界定及管理优化。</w:t>
      </w:r>
    </w:p>
    <w:p w14:paraId="1065E4C7">
      <w:pPr>
        <w:bidi w:val="0"/>
        <w:rPr>
          <w:rFonts w:hint="default"/>
          <w:color w:val="auto"/>
        </w:rPr>
      </w:pPr>
      <w:r>
        <w:rPr>
          <w:rFonts w:hint="default"/>
          <w:color w:val="auto"/>
        </w:rPr>
        <w:t>合规与体系建设：该表单的标准化记录满足食品行业对食品安全周期性排查的合规要求，助力企业建立系统化的食品安全管理体系，提升品牌在食品安全领域的公信力。</w:t>
      </w:r>
    </w:p>
    <w:p w14:paraId="6DB59A5D">
      <w:pPr>
        <w:pStyle w:val="42"/>
        <w:bidi w:val="0"/>
        <w:rPr>
          <w:rFonts w:hint="default"/>
          <w:color w:val="auto"/>
        </w:rPr>
      </w:pPr>
      <w:r>
        <w:rPr>
          <w:rFonts w:hint="default"/>
          <w:color w:val="auto"/>
        </w:rPr>
        <w:drawing>
          <wp:inline distT="0" distB="0" distL="114300" distR="114300">
            <wp:extent cx="5269230" cy="1955165"/>
            <wp:effectExtent l="0" t="0" r="3810" b="10795"/>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pic:cNvPicPr>
                  </pic:nvPicPr>
                  <pic:blipFill>
                    <a:blip r:embed="rId79"/>
                    <a:stretch>
                      <a:fillRect/>
                    </a:stretch>
                  </pic:blipFill>
                  <pic:spPr>
                    <a:xfrm>
                      <a:off x="0" y="0"/>
                      <a:ext cx="5269230" cy="1955165"/>
                    </a:xfrm>
                    <a:prstGeom prst="rect">
                      <a:avLst/>
                    </a:prstGeom>
                  </pic:spPr>
                </pic:pic>
              </a:graphicData>
            </a:graphic>
          </wp:inline>
        </w:drawing>
      </w:r>
    </w:p>
    <w:p w14:paraId="79AAE45D">
      <w:pPr>
        <w:pStyle w:val="37"/>
        <w:bidi w:val="0"/>
        <w:rPr>
          <w:rFonts w:hint="default"/>
          <w:color w:val="auto"/>
        </w:rPr>
      </w:pPr>
      <w:r>
        <w:rPr>
          <w:rFonts w:hint="default"/>
          <w:color w:val="auto"/>
        </w:rPr>
        <w:t>公司级问题点处理</w:t>
      </w:r>
    </w:p>
    <w:p w14:paraId="32983063">
      <w:pPr>
        <w:bidi w:val="0"/>
        <w:rPr>
          <w:rFonts w:hint="default"/>
          <w:color w:val="auto"/>
        </w:rPr>
      </w:pPr>
      <w:r>
        <w:rPr>
          <w:rFonts w:hint="default"/>
          <w:color w:val="auto"/>
        </w:rPr>
        <w:t>该 “公司级问题点处理” 表单是数智工厂质量管理模块中企业级质量与运营问题统筹管控的核心工具，用于对公司各部门（生产、设备、品管、行政人事等）的问题点进行集中记录、跟踪、整改与验证，实现跨部门问题的闭环管理。</w:t>
      </w:r>
    </w:p>
    <w:p w14:paraId="4937EDF1">
      <w:pPr>
        <w:bidi w:val="0"/>
        <w:rPr>
          <w:rFonts w:hint="default"/>
          <w:color w:val="auto"/>
        </w:rPr>
      </w:pPr>
      <w:r>
        <w:rPr>
          <w:rFonts w:hint="default"/>
          <w:color w:val="auto"/>
        </w:rPr>
        <w:t>功能层面：</w:t>
      </w:r>
    </w:p>
    <w:p w14:paraId="1EC7A16E">
      <w:pPr>
        <w:bidi w:val="0"/>
        <w:rPr>
          <w:rFonts w:hint="default"/>
          <w:color w:val="auto"/>
        </w:rPr>
      </w:pPr>
      <w:r>
        <w:rPr>
          <w:rFonts w:hint="default"/>
          <w:color w:val="auto"/>
        </w:rPr>
        <w:t>多维度问题管理：记录内审编号、问题点描述、问题类别（问题项、不符合项、建议项等）、问题图片，明确问题的具体表现与属性；同时关联整改期限、处理状态（整改中、待提交、验证通过等）、责任部门、责任人、整改人、验收人及创建时间，构建问题从发现到解决的全流程责任链条。</w:t>
      </w:r>
    </w:p>
    <w:p w14:paraId="449EE080">
      <w:pPr>
        <w:bidi w:val="0"/>
        <w:rPr>
          <w:rFonts w:hint="default"/>
          <w:color w:val="auto"/>
        </w:rPr>
      </w:pPr>
      <w:r>
        <w:rPr>
          <w:rFonts w:hint="default"/>
          <w:color w:val="auto"/>
        </w:rPr>
        <w:t>检查信息追溯：关联报告编号、检查日期、检查时间、检验员，实现问题点与原始检查行为的溯源，便于后续复盘检查流程的规范性与有效性。</w:t>
      </w:r>
    </w:p>
    <w:p w14:paraId="52EF1738">
      <w:pPr>
        <w:bidi w:val="0"/>
        <w:rPr>
          <w:rFonts w:hint="default"/>
          <w:color w:val="auto"/>
        </w:rPr>
      </w:pPr>
      <w:r>
        <w:rPr>
          <w:rFonts w:hint="default"/>
          <w:color w:val="auto"/>
        </w:rPr>
        <w:t>筛选与查询功能：支持通过内审编号、问题类别、处理状态、检验日期等条件进行精准查询，同时可批量设置任务提醒，确保问题整改的时效性。</w:t>
      </w:r>
    </w:p>
    <w:p w14:paraId="1E205883">
      <w:pPr>
        <w:bidi w:val="0"/>
        <w:rPr>
          <w:rFonts w:hint="default"/>
          <w:color w:val="auto"/>
        </w:rPr>
      </w:pPr>
      <w:r>
        <w:rPr>
          <w:rFonts w:hint="default"/>
          <w:color w:val="auto"/>
        </w:rPr>
        <w:t>作用层面：</w:t>
      </w:r>
    </w:p>
    <w:p w14:paraId="7518E7A8">
      <w:pPr>
        <w:bidi w:val="0"/>
        <w:rPr>
          <w:rFonts w:hint="default"/>
          <w:color w:val="auto"/>
        </w:rPr>
      </w:pPr>
      <w:r>
        <w:rPr>
          <w:rFonts w:hint="default"/>
          <w:color w:val="auto"/>
        </w:rPr>
        <w:t>跨部门协同整改：打破部门壁垒，对公司级问题进行集中管控，明确各部门在问题整改中的角色与责任，提升跨部门协同效率，确保问题得到系统性解决。</w:t>
      </w:r>
    </w:p>
    <w:p w14:paraId="4FF8FAD2">
      <w:pPr>
        <w:bidi w:val="0"/>
        <w:rPr>
          <w:rFonts w:hint="default"/>
          <w:color w:val="auto"/>
        </w:rPr>
      </w:pPr>
      <w:r>
        <w:rPr>
          <w:rFonts w:hint="default"/>
          <w:color w:val="auto"/>
        </w:rPr>
        <w:t>问题闭环追溯：从问题发现、整改实施到验收通过的全流程记录，形成可追溯的问题管理档案，便于企业分析问题根源、优化管理流程，降低同类问题重复发生的概率。</w:t>
      </w:r>
    </w:p>
    <w:p w14:paraId="0FAF833A">
      <w:pPr>
        <w:bidi w:val="0"/>
        <w:rPr>
          <w:rFonts w:hint="default"/>
          <w:color w:val="auto"/>
        </w:rPr>
      </w:pPr>
      <w:r>
        <w:rPr>
          <w:rFonts w:hint="default"/>
          <w:color w:val="auto"/>
        </w:rPr>
        <w:t>管理效能提升：通过标准化的问题处理流程与可视化的状态跟踪，提升企业对质量、运营问题的响应速度与处理效率，助力企业构建持续改进的管理体系。</w:t>
      </w:r>
    </w:p>
    <w:p w14:paraId="5231AA3B">
      <w:pPr>
        <w:pStyle w:val="42"/>
        <w:bidi w:val="0"/>
        <w:rPr>
          <w:rFonts w:hint="default"/>
          <w:color w:val="auto"/>
        </w:rPr>
      </w:pPr>
      <w:r>
        <w:rPr>
          <w:rFonts w:hint="default"/>
          <w:color w:val="auto"/>
        </w:rPr>
        <w:drawing>
          <wp:inline distT="0" distB="0" distL="114300" distR="114300">
            <wp:extent cx="5271135" cy="1916430"/>
            <wp:effectExtent l="0" t="0" r="1905" b="381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pic:cNvPicPr>
                  </pic:nvPicPr>
                  <pic:blipFill>
                    <a:blip r:embed="rId80"/>
                    <a:stretch>
                      <a:fillRect/>
                    </a:stretch>
                  </pic:blipFill>
                  <pic:spPr>
                    <a:xfrm>
                      <a:off x="0" y="0"/>
                      <a:ext cx="5271135" cy="1916430"/>
                    </a:xfrm>
                    <a:prstGeom prst="rect">
                      <a:avLst/>
                    </a:prstGeom>
                  </pic:spPr>
                </pic:pic>
              </a:graphicData>
            </a:graphic>
          </wp:inline>
        </w:drawing>
      </w:r>
    </w:p>
    <w:p w14:paraId="48546291">
      <w:pPr>
        <w:bidi w:val="0"/>
        <w:rPr>
          <w:rFonts w:hint="eastAsia"/>
          <w:color w:val="auto"/>
        </w:rPr>
      </w:pPr>
      <w:r>
        <w:rPr>
          <w:rFonts w:hint="eastAsia"/>
          <w:color w:val="auto"/>
        </w:rPr>
        <w:t>表单模板与自动化填充：为不同类型的品控检查创建标准化的表单模板，减少品控人员的工作量。利用OCR技术和历史数据自动填充表单中的重复信息，进一步提高数据录入的速度。</w:t>
      </w:r>
    </w:p>
    <w:p w14:paraId="76B59D6C">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625975" cy="2564765"/>
            <wp:effectExtent l="9525" t="9525" r="12700" b="16510"/>
            <wp:docPr id="70597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77341" name="图片 1"/>
                    <pic:cNvPicPr>
                      <a:picLocks noChangeAspect="1"/>
                    </pic:cNvPicPr>
                  </pic:nvPicPr>
                  <pic:blipFill>
                    <a:blip r:embed="rId81"/>
                    <a:stretch>
                      <a:fillRect/>
                    </a:stretch>
                  </pic:blipFill>
                  <pic:spPr>
                    <a:xfrm>
                      <a:off x="0" y="0"/>
                      <a:ext cx="4626647" cy="2565099"/>
                    </a:xfrm>
                    <a:prstGeom prst="rect">
                      <a:avLst/>
                    </a:prstGeom>
                    <a:ln>
                      <a:solidFill>
                        <a:schemeClr val="tx1"/>
                      </a:solidFill>
                    </a:ln>
                  </pic:spPr>
                </pic:pic>
              </a:graphicData>
            </a:graphic>
          </wp:inline>
        </w:drawing>
      </w:r>
    </w:p>
    <w:p w14:paraId="71A448AF">
      <w:pPr>
        <w:bidi w:val="0"/>
        <w:rPr>
          <w:rFonts w:hint="eastAsia"/>
          <w:color w:val="auto"/>
        </w:rPr>
      </w:pPr>
      <w:r>
        <w:rPr>
          <w:rFonts w:hint="eastAsia"/>
          <w:color w:val="auto"/>
        </w:rPr>
        <w:t>智能识别与自动填充：利用OCR、NLP等智能识别技术，自动识别和提取表单中的重复信息，并自动填充到相应的字段中。减少人工输入的工作量，降低错误率。</w:t>
      </w:r>
    </w:p>
    <w:p w14:paraId="2FC40A1C">
      <w:pPr>
        <w:bidi w:val="0"/>
        <w:rPr>
          <w:rFonts w:hint="eastAsia"/>
          <w:color w:val="auto"/>
        </w:rPr>
      </w:pPr>
      <w:r>
        <w:rPr>
          <w:rFonts w:hint="eastAsia"/>
          <w:color w:val="auto"/>
        </w:rPr>
        <w:t>质量数据分析与决策支持：利用机器学习和数据挖掘技术，对历史质量数据进行分析，识别潜在的质量风险和改进机会。提供预测性维护建议，减少设备故障和生产中断。</w:t>
      </w:r>
    </w:p>
    <w:p w14:paraId="52BADEC1">
      <w:pPr>
        <w:bidi w:val="0"/>
        <w:rPr>
          <w:rFonts w:hint="eastAsia"/>
          <w:color w:val="auto"/>
        </w:rPr>
      </w:pPr>
      <w:r>
        <w:rPr>
          <w:rFonts w:hint="eastAsia"/>
          <w:color w:val="auto"/>
        </w:rPr>
        <w:t>质量追溯与召回管理：建立完善的产品追溯体系，从原材料采购到成品出库的每个环节都有详细的记录。在发生质量问题时，能够迅速定位问题源头，并启动召回流程，减少损失。</w:t>
      </w:r>
    </w:p>
    <w:p w14:paraId="7CA5F596">
      <w:pPr>
        <w:bidi w:val="0"/>
        <w:rPr>
          <w:rFonts w:hint="eastAsia"/>
          <w:color w:val="auto"/>
        </w:rPr>
      </w:pPr>
      <w:r>
        <w:rPr>
          <w:rFonts w:hint="eastAsia"/>
          <w:color w:val="auto"/>
        </w:rPr>
        <w:t>数据校验与异常处理：在数据录入过程中，系统自动进行数据校验和异常处理。对于不符合规范的数据，系统提供智能提示和建议，引导用户进行修正。</w:t>
      </w:r>
    </w:p>
    <w:p w14:paraId="397CE47E">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625975" cy="2564130"/>
            <wp:effectExtent l="9525" t="9525" r="12700" b="17145"/>
            <wp:docPr id="581440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0153" name="图片 1"/>
                    <pic:cNvPicPr>
                      <a:picLocks noChangeAspect="1"/>
                    </pic:cNvPicPr>
                  </pic:nvPicPr>
                  <pic:blipFill>
                    <a:blip r:embed="rId82"/>
                    <a:stretch>
                      <a:fillRect/>
                    </a:stretch>
                  </pic:blipFill>
                  <pic:spPr>
                    <a:xfrm>
                      <a:off x="0" y="0"/>
                      <a:ext cx="4626270" cy="2564889"/>
                    </a:xfrm>
                    <a:prstGeom prst="rect">
                      <a:avLst/>
                    </a:prstGeom>
                    <a:ln>
                      <a:solidFill>
                        <a:schemeClr val="tx1"/>
                      </a:solidFill>
                    </a:ln>
                  </pic:spPr>
                </pic:pic>
              </a:graphicData>
            </a:graphic>
          </wp:inline>
        </w:drawing>
      </w:r>
    </w:p>
    <w:p w14:paraId="3E2FE017">
      <w:pPr>
        <w:bidi w:val="0"/>
        <w:rPr>
          <w:rFonts w:hint="eastAsia"/>
          <w:color w:val="auto"/>
        </w:rPr>
      </w:pPr>
      <w:r>
        <w:rPr>
          <w:rFonts w:hint="eastAsia"/>
          <w:color w:val="auto"/>
        </w:rPr>
        <w:t>闭环质量改进：通过持续收集和分析质量数据，识别生产过程中的薄弱环节，并制定改进措施。将改进措施落实到具体的生产环节和操作人员，形成闭环的质量管理体系。</w:t>
      </w:r>
    </w:p>
    <w:p w14:paraId="2E0700A4">
      <w:pPr>
        <w:bidi w:val="0"/>
        <w:rPr>
          <w:rFonts w:hint="eastAsia"/>
          <w:color w:val="auto"/>
        </w:rPr>
      </w:pPr>
      <w:r>
        <w:rPr>
          <w:rFonts w:hint="eastAsia"/>
          <w:color w:val="auto"/>
        </w:rPr>
        <w:t>实时质量报告：提供实时的质量报告和仪表盘，展示关键质量指标和趋势。使管理层能够快速了解当前的质量状况，并做出相应的决策。</w:t>
      </w:r>
    </w:p>
    <w:p w14:paraId="6877E70E">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679950" cy="1793875"/>
            <wp:effectExtent l="9525" t="9525" r="19685" b="10160"/>
            <wp:docPr id="140789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98827" name="图片 1"/>
                    <pic:cNvPicPr>
                      <a:picLocks noChangeAspect="1"/>
                    </pic:cNvPicPr>
                  </pic:nvPicPr>
                  <pic:blipFill>
                    <a:blip r:embed="rId83"/>
                    <a:stretch>
                      <a:fillRect/>
                    </a:stretch>
                  </pic:blipFill>
                  <pic:spPr>
                    <a:xfrm>
                      <a:off x="0" y="0"/>
                      <a:ext cx="4681234" cy="1794492"/>
                    </a:xfrm>
                    <a:prstGeom prst="rect">
                      <a:avLst/>
                    </a:prstGeom>
                    <a:ln>
                      <a:solidFill>
                        <a:schemeClr val="tx1"/>
                      </a:solidFill>
                    </a:ln>
                  </pic:spPr>
                </pic:pic>
              </a:graphicData>
            </a:graphic>
          </wp:inline>
        </w:drawing>
      </w:r>
    </w:p>
    <w:p w14:paraId="425BEFDF">
      <w:pPr>
        <w:bidi w:val="0"/>
        <w:rPr>
          <w:rFonts w:hint="eastAsia"/>
          <w:color w:val="auto"/>
        </w:rPr>
      </w:pPr>
      <w:r>
        <w:rPr>
          <w:rFonts w:hint="eastAsia"/>
          <w:color w:val="auto"/>
        </w:rPr>
        <w:t>合规性检查与审计：定期进行合规性检查和审计，确保质量管理系统的合规性。对于发现的问题，及时制定整改措施，并跟踪整改进度。</w:t>
      </w:r>
    </w:p>
    <w:p w14:paraId="46CA7590">
      <w:pPr>
        <w:bidi w:val="0"/>
        <w:rPr>
          <w:rFonts w:hint="eastAsia"/>
          <w:color w:val="auto"/>
        </w:rPr>
      </w:pPr>
      <w:r>
        <w:rPr>
          <w:rFonts w:hint="eastAsia"/>
          <w:color w:val="auto"/>
        </w:rPr>
        <w:t>持续改进机制：建立持续改进的文化和机制，鼓励员工提出改进建议，并将其落实到具体的生产和管理活动中。通过持续改进，不断提升质量管理水平。</w:t>
      </w:r>
    </w:p>
    <w:p w14:paraId="6FC4E368">
      <w:pPr>
        <w:pStyle w:val="36"/>
        <w:bidi w:val="0"/>
        <w:rPr>
          <w:rFonts w:hint="eastAsia"/>
          <w:color w:val="auto"/>
        </w:rPr>
      </w:pPr>
      <w:bookmarkStart w:id="19" w:name="_Toc30508"/>
      <w:bookmarkStart w:id="20" w:name="_Toc13075"/>
      <w:bookmarkStart w:id="21" w:name="_Toc195102183"/>
      <w:r>
        <w:rPr>
          <w:rFonts w:hint="eastAsia"/>
          <w:color w:val="auto"/>
        </w:rPr>
        <w:t>设备管理</w:t>
      </w:r>
      <w:bookmarkEnd w:id="19"/>
      <w:bookmarkEnd w:id="20"/>
      <w:bookmarkEnd w:id="21"/>
    </w:p>
    <w:p w14:paraId="46AE5BF4">
      <w:pPr>
        <w:bidi w:val="0"/>
        <w:rPr>
          <w:rFonts w:hint="eastAsia"/>
          <w:color w:val="auto"/>
        </w:rPr>
      </w:pPr>
      <w:r>
        <w:rPr>
          <w:rFonts w:hint="eastAsia"/>
          <w:color w:val="auto"/>
        </w:rPr>
        <w:t>设备管理是对设备和备件的管、用、养、修等全过程进行有效控制，以保持设备的生产能力，设备管理系统以设备及备品配件为基本管理对象，涵盖设备保养、维护、维修、分析和报废等全生命周期各个环节，提供设备故障维修、预防维修以及保养等各种维护模式，坚持设备维护任务的计划、提交、审批、执行和分析等业务主线，提升企业设备管理信息化建设水平。</w:t>
      </w:r>
    </w:p>
    <w:p w14:paraId="288FC264">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5029200" cy="2788285"/>
            <wp:effectExtent l="9525" t="9525" r="20955" b="21590"/>
            <wp:docPr id="1024754131" name="图片 1" descr="C:/Users/CP/Desktop/新建文件夹/screenshot_2025-11-11_09-22-24.pngscreenshot_2025-11-11_09-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4131" name="图片 1" descr="C:/Users/CP/Desktop/新建文件夹/screenshot_2025-11-11_09-22-24.pngscreenshot_2025-11-11_09-22-24"/>
                    <pic:cNvPicPr>
                      <a:picLocks noChangeAspect="1"/>
                    </pic:cNvPicPr>
                  </pic:nvPicPr>
                  <pic:blipFill>
                    <a:blip r:embed="rId84"/>
                    <a:srcRect l="457" r="457"/>
                    <a:stretch>
                      <a:fillRect/>
                    </a:stretch>
                  </pic:blipFill>
                  <pic:spPr>
                    <a:xfrm>
                      <a:off x="0" y="0"/>
                      <a:ext cx="5029200" cy="2788285"/>
                    </a:xfrm>
                    <a:prstGeom prst="rect">
                      <a:avLst/>
                    </a:prstGeom>
                    <a:ln>
                      <a:solidFill>
                        <a:schemeClr val="tx1"/>
                      </a:solidFill>
                    </a:ln>
                  </pic:spPr>
                </pic:pic>
              </a:graphicData>
            </a:graphic>
          </wp:inline>
        </w:drawing>
      </w:r>
    </w:p>
    <w:p w14:paraId="26D23542">
      <w:pPr>
        <w:pStyle w:val="35"/>
        <w:bidi w:val="0"/>
        <w:rPr>
          <w:rFonts w:hint="eastAsia"/>
          <w:lang w:val="en-US" w:eastAsia="zh-CN"/>
        </w:rPr>
      </w:pPr>
      <w:bookmarkStart w:id="22" w:name="_Toc30051"/>
      <w:bookmarkStart w:id="23" w:name="_Toc195102184"/>
      <w:r>
        <w:rPr>
          <w:rFonts w:hint="eastAsia"/>
        </w:rPr>
        <w:t>设备</w:t>
      </w:r>
      <w:r>
        <w:rPr>
          <w:rFonts w:hint="eastAsia"/>
          <w:lang w:val="en-US" w:eastAsia="zh-CN"/>
        </w:rPr>
        <w:t>保养</w:t>
      </w:r>
    </w:p>
    <w:p w14:paraId="4E77EC13">
      <w:pPr>
        <w:bidi w:val="0"/>
        <w:rPr>
          <w:rFonts w:hint="eastAsia"/>
          <w:color w:val="auto"/>
        </w:rPr>
      </w:pPr>
      <w:r>
        <w:rPr>
          <w:rFonts w:hint="eastAsia"/>
          <w:color w:val="auto"/>
        </w:rPr>
        <w:t>设备保养模块是整个系统实现“防患于未然”理念的基石。它通过标准化、计划化和流程化的管理，将被动维修转变为主动保养。</w:t>
      </w:r>
    </w:p>
    <w:p w14:paraId="2F19D1E3">
      <w:pPr>
        <w:bidi w:val="0"/>
        <w:rPr>
          <w:rFonts w:hint="eastAsia"/>
          <w:color w:val="auto"/>
        </w:rPr>
      </w:pPr>
      <w:r>
        <w:rPr>
          <w:rFonts w:hint="eastAsia"/>
          <w:color w:val="auto"/>
        </w:rPr>
        <w:t>保养项目是整个保养体系的“标准作业指导书”。其核心功能是为基地内所有类型的设备定义统一的保养标准库。例如，为一台灌装机设定包括清洁、润滑、紧固、检查在内的数十项标准操作。这确保了无论由哪位员工执行，保养的内容和质量都保持一致性和规范性。</w:t>
      </w:r>
    </w:p>
    <w:p w14:paraId="2797E16D">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920615" cy="2727325"/>
            <wp:effectExtent l="9525" t="9525" r="22860" b="21590"/>
            <wp:docPr id="13" name="图片 1" descr="C:/Users/CP/Desktop/新建文件夹/screenshot_2025-11-11_13-57-23.pngscreenshot_2025-11-11_13-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C:/Users/CP/Desktop/新建文件夹/screenshot_2025-11-11_13-57-23.pngscreenshot_2025-11-11_13-57-23"/>
                    <pic:cNvPicPr>
                      <a:picLocks noChangeAspect="1"/>
                    </pic:cNvPicPr>
                  </pic:nvPicPr>
                  <pic:blipFill>
                    <a:blip r:embed="rId85"/>
                    <a:srcRect t="2571" b="2571"/>
                    <a:stretch>
                      <a:fillRect/>
                    </a:stretch>
                  </pic:blipFill>
                  <pic:spPr>
                    <a:xfrm>
                      <a:off x="0" y="0"/>
                      <a:ext cx="4920615" cy="2727325"/>
                    </a:xfrm>
                    <a:prstGeom prst="rect">
                      <a:avLst/>
                    </a:prstGeom>
                    <a:ln>
                      <a:solidFill>
                        <a:schemeClr val="tx1"/>
                      </a:solidFill>
                    </a:ln>
                  </pic:spPr>
                </pic:pic>
              </a:graphicData>
            </a:graphic>
          </wp:inline>
        </w:drawing>
      </w:r>
    </w:p>
    <w:p w14:paraId="7E69D32B">
      <w:pPr>
        <w:bidi w:val="0"/>
        <w:rPr>
          <w:rFonts w:hint="eastAsia"/>
          <w:color w:val="auto"/>
        </w:rPr>
      </w:pPr>
      <w:r>
        <w:rPr>
          <w:rFonts w:hint="eastAsia"/>
          <w:color w:val="auto"/>
        </w:rPr>
        <w:t>保养计划功能则将静态的标准转化为动态的执行蓝图。它允许管理员根据设备运行周期（如每班、每日、每周或</w:t>
      </w:r>
      <w:r>
        <w:rPr>
          <w:rFonts w:hint="eastAsia"/>
          <w:color w:val="auto"/>
          <w:lang w:val="en-US" w:eastAsia="zh-CN"/>
        </w:rPr>
        <w:t>月度</w:t>
      </w:r>
      <w:r>
        <w:rPr>
          <w:rFonts w:hint="eastAsia"/>
          <w:color w:val="auto"/>
        </w:rPr>
        <w:t>），自动生成周期性的保养任务。例如，为“包装岗位六线”创建一条名为“自主保养”的周度计划，系统届时将自动派发工单。</w:t>
      </w:r>
    </w:p>
    <w:p w14:paraId="6F74AB28">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5083810" cy="2818130"/>
            <wp:effectExtent l="9525" t="9525" r="12065" b="22225"/>
            <wp:docPr id="14" name="图片 1" descr="C:/Users/CP/Desktop/新建文件夹/screenshot_2025-11-11_13-58-10.pngscreenshot_2025-11-11_13-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C:/Users/CP/Desktop/新建文件夹/screenshot_2025-11-11_13-58-10.pngscreenshot_2025-11-11_13-58-10"/>
                    <pic:cNvPicPr>
                      <a:picLocks noChangeAspect="1"/>
                    </pic:cNvPicPr>
                  </pic:nvPicPr>
                  <pic:blipFill>
                    <a:blip r:embed="rId86"/>
                    <a:srcRect t="4671" b="4671"/>
                    <a:stretch>
                      <a:fillRect/>
                    </a:stretch>
                  </pic:blipFill>
                  <pic:spPr>
                    <a:xfrm>
                      <a:off x="0" y="0"/>
                      <a:ext cx="5083810" cy="2818130"/>
                    </a:xfrm>
                    <a:prstGeom prst="rect">
                      <a:avLst/>
                    </a:prstGeom>
                    <a:ln>
                      <a:solidFill>
                        <a:schemeClr val="tx1"/>
                      </a:solidFill>
                    </a:ln>
                  </pic:spPr>
                </pic:pic>
              </a:graphicData>
            </a:graphic>
          </wp:inline>
        </w:drawing>
      </w:r>
    </w:p>
    <w:p w14:paraId="7882B943">
      <w:pPr>
        <w:bidi w:val="0"/>
        <w:rPr>
          <w:rFonts w:hint="eastAsia"/>
          <w:color w:val="auto"/>
        </w:rPr>
      </w:pPr>
      <w:r>
        <w:rPr>
          <w:rFonts w:hint="eastAsia"/>
          <w:color w:val="auto"/>
        </w:rPr>
        <w:t>保养工单是计划的执行载体。它汇总了所有已派发和已完成的保养任务记录，形成了设备保养的“履历表”。这不仅方便追踪执行进度，更为分析保养效果和优化保养周期提供了数据基础。</w:t>
      </w:r>
    </w:p>
    <w:p w14:paraId="335B4026">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905375" cy="2719070"/>
            <wp:effectExtent l="9525" t="9525" r="22860" b="14605"/>
            <wp:docPr id="21" name="图片 1" descr="C:/Users/CP/Desktop/新建文件夹/screenshot_2025-11-11_13-58-55.pngscreenshot_2025-11-11_13-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C:/Users/CP/Desktop/新建文件夹/screenshot_2025-11-11_13-58-55.pngscreenshot_2025-11-11_13-58-55"/>
                    <pic:cNvPicPr>
                      <a:picLocks noChangeAspect="1"/>
                    </pic:cNvPicPr>
                  </pic:nvPicPr>
                  <pic:blipFill>
                    <a:blip r:embed="rId87"/>
                    <a:srcRect l="1346" r="1346"/>
                    <a:stretch>
                      <a:fillRect/>
                    </a:stretch>
                  </pic:blipFill>
                  <pic:spPr>
                    <a:xfrm>
                      <a:off x="0" y="0"/>
                      <a:ext cx="4905375" cy="2719070"/>
                    </a:xfrm>
                    <a:prstGeom prst="rect">
                      <a:avLst/>
                    </a:prstGeom>
                    <a:ln>
                      <a:solidFill>
                        <a:schemeClr val="tx1"/>
                      </a:solidFill>
                    </a:ln>
                  </pic:spPr>
                </pic:pic>
              </a:graphicData>
            </a:graphic>
          </wp:inline>
        </w:drawing>
      </w:r>
    </w:p>
    <w:p w14:paraId="11649532">
      <w:pPr>
        <w:bidi w:val="0"/>
        <w:rPr>
          <w:rFonts w:hint="eastAsia"/>
          <w:color w:val="auto"/>
        </w:rPr>
      </w:pPr>
      <w:r>
        <w:rPr>
          <w:rFonts w:hint="eastAsia"/>
          <w:color w:val="auto"/>
        </w:rPr>
        <w:t>备件周期报表是连接保养与备件管理的智能化工具。它精准统计每次保养中更换的备件清单，并自动计算备件的平均使用寿命。这份报表的价值在于，它能预警备件消耗规律，为制定科学的备件采购计划和库存策略（如安全库存设定）提供至关重要的数据支持，有效降低因备件短缺导致的停机风险。</w:t>
      </w:r>
    </w:p>
    <w:p w14:paraId="351E5154">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384675" cy="2430145"/>
            <wp:effectExtent l="9525" t="9525" r="10160" b="13970"/>
            <wp:docPr id="11" name="图片 1" descr="C:/Users/CP/Desktop/新建文件夹/screenshot_2025-11-11_13-59-50.pngscreenshot_2025-11-11_13-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C:/Users/CP/Desktop/新建文件夹/screenshot_2025-11-11_13-59-50.pngscreenshot_2025-11-11_13-59-50"/>
                    <pic:cNvPicPr>
                      <a:picLocks noChangeAspect="1"/>
                    </pic:cNvPicPr>
                  </pic:nvPicPr>
                  <pic:blipFill>
                    <a:blip r:embed="rId88"/>
                    <a:srcRect t="1723" b="1723"/>
                    <a:stretch>
                      <a:fillRect/>
                    </a:stretch>
                  </pic:blipFill>
                  <pic:spPr>
                    <a:xfrm>
                      <a:off x="0" y="0"/>
                      <a:ext cx="4384675" cy="2430647"/>
                    </a:xfrm>
                    <a:prstGeom prst="rect">
                      <a:avLst/>
                    </a:prstGeom>
                    <a:ln>
                      <a:solidFill>
                        <a:schemeClr val="tx1"/>
                      </a:solidFill>
                    </a:ln>
                  </pic:spPr>
                </pic:pic>
              </a:graphicData>
            </a:graphic>
          </wp:inline>
        </w:drawing>
      </w:r>
    </w:p>
    <w:p w14:paraId="16D4E8B4">
      <w:pPr>
        <w:pStyle w:val="35"/>
        <w:bidi w:val="0"/>
        <w:rPr>
          <w:rFonts w:hint="eastAsia"/>
        </w:rPr>
      </w:pPr>
      <w:r>
        <w:rPr>
          <w:rFonts w:hint="eastAsia"/>
        </w:rPr>
        <w:t>设备点巡检</w:t>
      </w:r>
    </w:p>
    <w:p w14:paraId="0E3B27DE">
      <w:pPr>
        <w:bidi w:val="0"/>
        <w:rPr>
          <w:rFonts w:hint="eastAsia"/>
          <w:color w:val="auto"/>
        </w:rPr>
      </w:pPr>
      <w:r>
        <w:rPr>
          <w:rFonts w:hint="eastAsia"/>
          <w:color w:val="auto"/>
        </w:rPr>
        <w:t>设点巡检模块强调对设备状态的持续监控，通过制度化、数字化的巡查，早期发现潜在故障。</w:t>
      </w:r>
    </w:p>
    <w:p w14:paraId="19C608DF">
      <w:pPr>
        <w:bidi w:val="0"/>
        <w:rPr>
          <w:rFonts w:hint="eastAsia"/>
          <w:color w:val="auto"/>
        </w:rPr>
      </w:pPr>
      <w:r>
        <w:rPr>
          <w:rFonts w:hint="eastAsia"/>
          <w:color w:val="auto"/>
        </w:rPr>
        <w:t>该模块的起点是点巡检项目，它定义了每台设备需要被检查的“关键参数”和“健康指标”，如电机的温度、异响、振动等。这些项目被分为“重点项目”和“基本项目”，以实现检查的差异化与重点聚焦。</w:t>
      </w:r>
    </w:p>
    <w:p w14:paraId="1EA70D82">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384675" cy="2430145"/>
            <wp:effectExtent l="9525" t="9525" r="10160" b="13970"/>
            <wp:docPr id="41" name="图片 1" descr="C:/Users/CP/Desktop/新建文件夹/screenshot_2025-11-11_14-01-09.pngscreenshot_2025-11-11_14-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descr="C:/Users/CP/Desktop/新建文件夹/screenshot_2025-11-11_14-01-09.pngscreenshot_2025-11-11_14-01-09"/>
                    <pic:cNvPicPr>
                      <a:picLocks noChangeAspect="1"/>
                    </pic:cNvPicPr>
                  </pic:nvPicPr>
                  <pic:blipFill>
                    <a:blip r:embed="rId89"/>
                    <a:srcRect l="78" r="78"/>
                    <a:stretch>
                      <a:fillRect/>
                    </a:stretch>
                  </pic:blipFill>
                  <pic:spPr>
                    <a:xfrm>
                      <a:off x="0" y="0"/>
                      <a:ext cx="4384675" cy="2430145"/>
                    </a:xfrm>
                    <a:prstGeom prst="rect">
                      <a:avLst/>
                    </a:prstGeom>
                    <a:ln>
                      <a:solidFill>
                        <a:schemeClr val="tx1"/>
                      </a:solidFill>
                    </a:ln>
                  </pic:spPr>
                </pic:pic>
              </a:graphicData>
            </a:graphic>
          </wp:inline>
        </w:drawing>
      </w:r>
    </w:p>
    <w:p w14:paraId="504BEE4C">
      <w:pPr>
        <w:bidi w:val="0"/>
        <w:rPr>
          <w:rFonts w:hint="eastAsia"/>
          <w:color w:val="auto"/>
        </w:rPr>
      </w:pPr>
      <w:r>
        <w:rPr>
          <w:rFonts w:hint="eastAsia"/>
          <w:color w:val="auto"/>
        </w:rPr>
        <w:t>点巡检计划组功能创新性地解决了人员与任务的灵活匹配问题。它首先按岗位（如机修班组）编组，再为组内每位员工（如一车间的</w:t>
      </w:r>
      <w:r>
        <w:rPr>
          <w:rFonts w:hint="eastAsia"/>
          <w:color w:val="auto"/>
          <w:lang w:val="en-US" w:eastAsia="zh-CN"/>
        </w:rPr>
        <w:t>操作工</w:t>
      </w:r>
      <w:r>
        <w:rPr>
          <w:rFonts w:hint="eastAsia"/>
          <w:color w:val="auto"/>
        </w:rPr>
        <w:t>）分配其负责的特定设备点检项目。这种树状结构确保了责任到人，避免了任务遗漏或重叠。点巡检计划则设定了执行的节奏，通常与生产班次紧密绑定，确保每个班次都对设备进行必要的检查。</w:t>
      </w:r>
    </w:p>
    <w:p w14:paraId="3960D336">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384675" cy="2430145"/>
            <wp:effectExtent l="9525" t="9525" r="10160" b="13970"/>
            <wp:docPr id="42" name="图片 1" descr="C:/Users/CP/Desktop/新建文件夹/screenshot_2025-11-11_14-02-27.pngscreenshot_2025-11-11_14-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C:/Users/CP/Desktop/新建文件夹/screenshot_2025-11-11_14-02-27.pngscreenshot_2025-11-11_14-02-27"/>
                    <pic:cNvPicPr>
                      <a:picLocks noChangeAspect="1"/>
                    </pic:cNvPicPr>
                  </pic:nvPicPr>
                  <pic:blipFill>
                    <a:blip r:embed="rId90"/>
                    <a:srcRect l="3319" r="3319"/>
                    <a:stretch>
                      <a:fillRect/>
                    </a:stretch>
                  </pic:blipFill>
                  <pic:spPr>
                    <a:xfrm>
                      <a:off x="0" y="0"/>
                      <a:ext cx="4384675" cy="2430145"/>
                    </a:xfrm>
                    <a:prstGeom prst="rect">
                      <a:avLst/>
                    </a:prstGeom>
                    <a:ln>
                      <a:solidFill>
                        <a:schemeClr val="tx1"/>
                      </a:solidFill>
                    </a:ln>
                  </pic:spPr>
                </pic:pic>
              </a:graphicData>
            </a:graphic>
          </wp:inline>
        </w:drawing>
      </w:r>
    </w:p>
    <w:p w14:paraId="1AEC7EA4">
      <w:pPr>
        <w:bidi w:val="0"/>
        <w:rPr>
          <w:rFonts w:hint="eastAsia"/>
          <w:color w:val="auto"/>
        </w:rPr>
      </w:pPr>
      <w:r>
        <w:rPr>
          <w:rFonts w:hint="eastAsia"/>
          <w:color w:val="auto"/>
        </w:rPr>
        <w:t>所有执行记录最终汇入点巡检记录，形成完整的点检历史数据库，用于分析设备状态的长期趋势。</w:t>
      </w:r>
    </w:p>
    <w:p w14:paraId="2215B98D">
      <w:pPr>
        <w:pStyle w:val="42"/>
        <w:wordWrap/>
        <w:overflowPunct/>
        <w:topLinePunct w:val="0"/>
        <w:bidi w:val="0"/>
        <w:snapToGrid w:val="0"/>
        <w:spacing w:beforeAutospacing="0" w:afterAutospacing="0" w:line="360" w:lineRule="auto"/>
        <w:rPr>
          <w:rFonts w:hint="eastAsia"/>
          <w:color w:val="auto"/>
        </w:rPr>
      </w:pPr>
      <w:r>
        <w:rPr>
          <w:color w:val="auto"/>
        </w:rPr>
        <w:drawing>
          <wp:inline distT="0" distB="0" distL="0" distR="0">
            <wp:extent cx="4384675" cy="2430145"/>
            <wp:effectExtent l="9525" t="9525" r="10160" b="13970"/>
            <wp:docPr id="62" name="图片 1" descr="C:/Users/CP/Desktop/新建文件夹/screenshot_2025-11-11_14-03-11.pngscreenshot_2025-11-11_14-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C:/Users/CP/Desktop/新建文件夹/screenshot_2025-11-11_14-03-11.pngscreenshot_2025-11-11_14-03-11"/>
                    <pic:cNvPicPr>
                      <a:picLocks noChangeAspect="1"/>
                    </pic:cNvPicPr>
                  </pic:nvPicPr>
                  <pic:blipFill>
                    <a:blip r:embed="rId91"/>
                    <a:srcRect l="2143" r="2143"/>
                    <a:stretch>
                      <a:fillRect/>
                    </a:stretch>
                  </pic:blipFill>
                  <pic:spPr>
                    <a:xfrm>
                      <a:off x="0" y="0"/>
                      <a:ext cx="4384675" cy="2430145"/>
                    </a:xfrm>
                    <a:prstGeom prst="rect">
                      <a:avLst/>
                    </a:prstGeom>
                    <a:ln>
                      <a:solidFill>
                        <a:schemeClr val="tx1"/>
                      </a:solidFill>
                    </a:ln>
                  </pic:spPr>
                </pic:pic>
              </a:graphicData>
            </a:graphic>
          </wp:inline>
        </w:drawing>
      </w:r>
    </w:p>
    <w:p w14:paraId="7E6DD98D">
      <w:pPr>
        <w:bidi w:val="0"/>
        <w:rPr>
          <w:rFonts w:hint="eastAsia"/>
          <w:color w:val="auto"/>
        </w:rPr>
      </w:pPr>
      <w:r>
        <w:rPr>
          <w:rFonts w:hint="eastAsia"/>
          <w:color w:val="auto"/>
        </w:rPr>
        <w:t>在现场执行层面，设备巡查位置功能通过在产线关键点位设置带有唯一编码的标识牌（如点位码：2101119310），并结合设备巡查单的小程序功能，引导员工到达指定位置，通过扫码打卡、拍照上传的方式完成巡查。这种方式确保了检查的真实性与可追溯性。</w:t>
      </w:r>
    </w:p>
    <w:p w14:paraId="2E182A66">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993640" cy="2767965"/>
            <wp:effectExtent l="9525" t="9525" r="10795" b="11430"/>
            <wp:docPr id="63" name="图片 1" descr="C:/Users/CP/Desktop/新建文件夹/screenshot_2025-11-11_14-04-23.pngscreenshot_2025-11-11_14-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descr="C:/Users/CP/Desktop/新建文件夹/screenshot_2025-11-11_14-04-23.pngscreenshot_2025-11-11_14-04-23"/>
                    <pic:cNvPicPr>
                      <a:picLocks noChangeAspect="1"/>
                    </pic:cNvPicPr>
                  </pic:nvPicPr>
                  <pic:blipFill>
                    <a:blip r:embed="rId92"/>
                    <a:srcRect l="2482" r="2482"/>
                    <a:stretch>
                      <a:fillRect/>
                    </a:stretch>
                  </pic:blipFill>
                  <pic:spPr>
                    <a:xfrm>
                      <a:off x="0" y="0"/>
                      <a:ext cx="4993640" cy="2767965"/>
                    </a:xfrm>
                    <a:prstGeom prst="rect">
                      <a:avLst/>
                    </a:prstGeom>
                    <a:ln>
                      <a:solidFill>
                        <a:schemeClr val="tx1"/>
                      </a:solidFill>
                    </a:ln>
                  </pic:spPr>
                </pic:pic>
              </a:graphicData>
            </a:graphic>
          </wp:inline>
        </w:drawing>
      </w:r>
    </w:p>
    <w:p w14:paraId="618198C2">
      <w:pPr>
        <w:pStyle w:val="35"/>
        <w:bidi w:val="0"/>
        <w:rPr>
          <w:rFonts w:hint="eastAsia"/>
        </w:rPr>
      </w:pPr>
      <w:r>
        <w:rPr>
          <w:rFonts w:hint="eastAsia"/>
        </w:rPr>
        <w:t>设备报修/维修</w:t>
      </w:r>
      <w:r>
        <w:rPr>
          <w:rFonts w:hint="eastAsia"/>
          <w:color w:val="auto"/>
          <w:lang w:eastAsia="zh-CN"/>
        </w:rPr>
        <w:t>（</w:t>
      </w:r>
      <w:r>
        <w:rPr>
          <w:rFonts w:hint="eastAsia"/>
          <w:color w:val="auto"/>
          <w:lang w:val="en-US" w:eastAsia="zh-CN"/>
        </w:rPr>
        <w:t>定制开发</w:t>
      </w:r>
      <w:r>
        <w:rPr>
          <w:rFonts w:hint="eastAsia"/>
          <w:color w:val="auto"/>
          <w:lang w:eastAsia="zh-CN"/>
        </w:rPr>
        <w:t>）</w:t>
      </w:r>
    </w:p>
    <w:p w14:paraId="5BC76C0A">
      <w:pPr>
        <w:bidi w:val="0"/>
        <w:rPr>
          <w:rFonts w:hint="eastAsia"/>
          <w:color w:val="auto"/>
        </w:rPr>
      </w:pPr>
      <w:r>
        <w:rPr>
          <w:rFonts w:hint="eastAsia"/>
          <w:color w:val="auto"/>
        </w:rPr>
        <w:t>当潜在故障发展为实际故障时，报修/维修模块确保响应迅速、处理规范、分析到位。系统设计了两种主要的报修入口：一是由产线人员主动发起的自主点检报修单；二是由点巡检过程中发现的异常触发的报修。维修人员接单后，首先进行判定，确需维修则详细记录处理情况，形成从报修到关闭的完整工单流。</w:t>
      </w:r>
    </w:p>
    <w:p w14:paraId="77938AA5">
      <w:pPr>
        <w:bidi w:val="0"/>
        <w:rPr>
          <w:rFonts w:hint="eastAsia"/>
          <w:color w:val="auto"/>
        </w:rPr>
      </w:pPr>
      <w:r>
        <w:rPr>
          <w:rFonts w:hint="eastAsia"/>
          <w:color w:val="auto"/>
        </w:rPr>
        <w:t>对于影响生产的严重故障，系统通过停机误时维修单进行管理。当生产主管在生产模块登记设备停机的瞬间，系统能自动触发维修单，实现了生产与维修系统的无缝集成。维修人员必须登记详细的故障现象、维修时长和修复措施，这为分析停机损失提供了精准数据。</w:t>
      </w:r>
    </w:p>
    <w:p w14:paraId="480AA909">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5074285" cy="2813050"/>
            <wp:effectExtent l="9525" t="9525" r="21590" b="12065"/>
            <wp:docPr id="64" name="图片 1" descr="C:/Users/CP/Desktop/新建文件夹/screenshot_2025-11-11_14-05-32.pngscreenshot_2025-11-11_14-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descr="C:/Users/CP/Desktop/新建文件夹/screenshot_2025-11-11_14-05-32.pngscreenshot_2025-11-11_14-05-32"/>
                    <pic:cNvPicPr>
                      <a:picLocks noChangeAspect="1"/>
                    </pic:cNvPicPr>
                  </pic:nvPicPr>
                  <pic:blipFill>
                    <a:blip r:embed="rId93"/>
                    <a:srcRect l="936" r="936"/>
                    <a:stretch>
                      <a:fillRect/>
                    </a:stretch>
                  </pic:blipFill>
                  <pic:spPr>
                    <a:xfrm>
                      <a:off x="0" y="0"/>
                      <a:ext cx="5074285" cy="2813050"/>
                    </a:xfrm>
                    <a:prstGeom prst="rect">
                      <a:avLst/>
                    </a:prstGeom>
                    <a:ln>
                      <a:solidFill>
                        <a:schemeClr val="tx1"/>
                      </a:solidFill>
                    </a:ln>
                  </pic:spPr>
                </pic:pic>
              </a:graphicData>
            </a:graphic>
          </wp:inline>
        </w:drawing>
      </w:r>
    </w:p>
    <w:p w14:paraId="50B4DD4C">
      <w:pPr>
        <w:bidi w:val="0"/>
        <w:rPr>
          <w:rFonts w:hint="eastAsia"/>
          <w:color w:val="auto"/>
        </w:rPr>
      </w:pPr>
      <w:r>
        <w:rPr>
          <w:rFonts w:hint="eastAsia"/>
          <w:color w:val="auto"/>
        </w:rPr>
        <w:t>为了提升维修质量，系统设立了重大故障分析改善对策流程。强制要求对停机超过30分钟的故障进行根本原因分析，并制定预防性改善措施，从而避免同类故障重复发生，推动管理持续改进。</w:t>
      </w:r>
    </w:p>
    <w:p w14:paraId="0281854F">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931410" cy="2734310"/>
            <wp:effectExtent l="9525" t="9525" r="12065" b="14605"/>
            <wp:docPr id="65" name="图片 1" descr="C:/Users/CP/Desktop/新建文件夹/screenshot_2025-11-11_14-06-21.pngscreenshot_2025-11-11_14-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descr="C:/Users/CP/Desktop/新建文件夹/screenshot_2025-11-11_14-06-21.pngscreenshot_2025-11-11_14-06-21"/>
                    <pic:cNvPicPr>
                      <a:picLocks noChangeAspect="1"/>
                    </pic:cNvPicPr>
                  </pic:nvPicPr>
                  <pic:blipFill>
                    <a:blip r:embed="rId94"/>
                    <a:srcRect l="2014" r="2014"/>
                    <a:stretch>
                      <a:fillRect/>
                    </a:stretch>
                  </pic:blipFill>
                  <pic:spPr>
                    <a:xfrm>
                      <a:off x="0" y="0"/>
                      <a:ext cx="4931410" cy="2734310"/>
                    </a:xfrm>
                    <a:prstGeom prst="rect">
                      <a:avLst/>
                    </a:prstGeom>
                    <a:ln>
                      <a:solidFill>
                        <a:schemeClr val="tx1"/>
                      </a:solidFill>
                    </a:ln>
                  </pic:spPr>
                </pic:pic>
              </a:graphicData>
            </a:graphic>
          </wp:inline>
        </w:drawing>
      </w:r>
    </w:p>
    <w:p w14:paraId="409A1590">
      <w:pPr>
        <w:bidi w:val="0"/>
        <w:rPr>
          <w:rFonts w:hint="eastAsia"/>
          <w:color w:val="auto"/>
        </w:rPr>
      </w:pPr>
      <w:r>
        <w:rPr>
          <w:rFonts w:hint="eastAsia"/>
          <w:color w:val="auto"/>
        </w:rPr>
        <w:t>故障原因功能则是一个智能化的基础数据库。它将企业常见的故障类型（如“电机过载”、“传感器失灵”）进行标准化归档。维修人员在填单时可直接选择，极大地减少了重复的文字输入，保证了数据的一致性，为后续进行故障类型的统计分析（如帕累托分析）奠定了坚实基础。</w:t>
      </w:r>
    </w:p>
    <w:p w14:paraId="0C2AFE12">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5067935" cy="2809875"/>
            <wp:effectExtent l="9525" t="9525" r="12700" b="15240"/>
            <wp:docPr id="66" name="图片 1" descr="C:/Users/CP/Desktop/新建文件夹/screenshot_2025-11-11_14-07-01.pngscreenshot_2025-11-11_14-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descr="C:/Users/CP/Desktop/新建文件夹/screenshot_2025-11-11_14-07-01.pngscreenshot_2025-11-11_14-07-01"/>
                    <pic:cNvPicPr>
                      <a:picLocks noChangeAspect="1"/>
                    </pic:cNvPicPr>
                  </pic:nvPicPr>
                  <pic:blipFill>
                    <a:blip r:embed="rId95"/>
                    <a:srcRect t="299" b="299"/>
                    <a:stretch>
                      <a:fillRect/>
                    </a:stretch>
                  </pic:blipFill>
                  <pic:spPr>
                    <a:xfrm>
                      <a:off x="0" y="0"/>
                      <a:ext cx="5067935" cy="2809875"/>
                    </a:xfrm>
                    <a:prstGeom prst="rect">
                      <a:avLst/>
                    </a:prstGeom>
                    <a:ln>
                      <a:solidFill>
                        <a:schemeClr val="tx1"/>
                      </a:solidFill>
                    </a:ln>
                  </pic:spPr>
                </pic:pic>
              </a:graphicData>
            </a:graphic>
          </wp:inline>
        </w:drawing>
      </w:r>
    </w:p>
    <w:p w14:paraId="1695D2BB">
      <w:pPr>
        <w:pStyle w:val="42"/>
        <w:wordWrap/>
        <w:overflowPunct/>
        <w:topLinePunct w:val="0"/>
        <w:bidi w:val="0"/>
        <w:snapToGrid w:val="0"/>
        <w:spacing w:beforeAutospacing="0" w:afterAutospacing="0" w:line="360" w:lineRule="auto"/>
        <w:rPr>
          <w:rFonts w:hint="eastAsia" w:ascii="宋体" w:hAnsi="宋体" w:eastAsia="宋体"/>
          <w:b/>
          <w:bCs/>
          <w:color w:val="auto"/>
          <w:szCs w:val="21"/>
        </w:rPr>
      </w:pPr>
      <w:r>
        <w:rPr>
          <w:color w:val="auto"/>
        </w:rPr>
        <w:drawing>
          <wp:inline distT="0" distB="0" distL="0" distR="0">
            <wp:extent cx="5041900" cy="2795270"/>
            <wp:effectExtent l="9525" t="9525" r="23495" b="14605"/>
            <wp:docPr id="1899901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1102" name="图片 1"/>
                    <pic:cNvPicPr>
                      <a:picLocks noChangeAspect="1"/>
                    </pic:cNvPicPr>
                  </pic:nvPicPr>
                  <pic:blipFill>
                    <a:blip r:embed="rId96"/>
                    <a:stretch>
                      <a:fillRect/>
                    </a:stretch>
                  </pic:blipFill>
                  <pic:spPr>
                    <a:xfrm>
                      <a:off x="0" y="0"/>
                      <a:ext cx="5041900" cy="2795270"/>
                    </a:xfrm>
                    <a:prstGeom prst="rect">
                      <a:avLst/>
                    </a:prstGeom>
                    <a:ln>
                      <a:solidFill>
                        <a:schemeClr val="tx1"/>
                      </a:solidFill>
                    </a:ln>
                  </pic:spPr>
                </pic:pic>
              </a:graphicData>
            </a:graphic>
          </wp:inline>
        </w:drawing>
      </w:r>
    </w:p>
    <w:p w14:paraId="2900E2B5">
      <w:pPr>
        <w:pStyle w:val="35"/>
        <w:bidi w:val="0"/>
        <w:rPr>
          <w:rFonts w:hint="eastAsia"/>
        </w:rPr>
      </w:pPr>
      <w:r>
        <w:rPr>
          <w:rFonts w:hint="eastAsia"/>
        </w:rPr>
        <w:t>领取备件</w:t>
      </w:r>
    </w:p>
    <w:p w14:paraId="2E37E256">
      <w:pPr>
        <w:bidi w:val="0"/>
        <w:rPr>
          <w:rFonts w:hint="eastAsia"/>
          <w:color w:val="auto"/>
        </w:rPr>
      </w:pPr>
      <w:r>
        <w:rPr>
          <w:rFonts w:hint="eastAsia"/>
          <w:color w:val="auto"/>
        </w:rPr>
        <w:t>设备维修作业时可选择性进行领取备件操作。如果设备维修需要更换备件，通过PDA/平板/手机的领取备件功能来完成操作。系统自动记录领取备件信息，领取备件数量，备件用于哪台设备等信息</w:t>
      </w:r>
      <w:r>
        <w:rPr>
          <w:rFonts w:hint="eastAsia"/>
          <w:color w:val="auto"/>
          <w:lang w:eastAsia="zh-CN"/>
        </w:rPr>
        <w:t>，</w:t>
      </w:r>
      <w:r>
        <w:rPr>
          <w:rFonts w:hint="eastAsia"/>
          <w:color w:val="auto"/>
        </w:rPr>
        <w:t>可实现备件生命周期追溯。</w:t>
      </w:r>
    </w:p>
    <w:p w14:paraId="5FA42761">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464685" cy="2475230"/>
            <wp:effectExtent l="9525" t="9525" r="21590" b="14605"/>
            <wp:docPr id="67" name="图片 1" descr="C:/Users/CP/Desktop/新建文件夹/screenshot_2025-11-11_14-08-32.pngscreenshot_2025-11-11_14-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descr="C:/Users/CP/Desktop/新建文件夹/screenshot_2025-11-11_14-08-32.pngscreenshot_2025-11-11_14-08-32"/>
                    <pic:cNvPicPr>
                      <a:picLocks noChangeAspect="1"/>
                    </pic:cNvPicPr>
                  </pic:nvPicPr>
                  <pic:blipFill>
                    <a:blip r:embed="rId97"/>
                    <a:srcRect l="2078" r="2078"/>
                    <a:stretch>
                      <a:fillRect/>
                    </a:stretch>
                  </pic:blipFill>
                  <pic:spPr>
                    <a:xfrm>
                      <a:off x="0" y="0"/>
                      <a:ext cx="4466168" cy="2475230"/>
                    </a:xfrm>
                    <a:prstGeom prst="rect">
                      <a:avLst/>
                    </a:prstGeom>
                    <a:ln>
                      <a:solidFill>
                        <a:schemeClr val="tx1"/>
                      </a:solidFill>
                    </a:ln>
                  </pic:spPr>
                </pic:pic>
              </a:graphicData>
            </a:graphic>
          </wp:inline>
        </w:drawing>
      </w:r>
    </w:p>
    <w:p w14:paraId="34078FF8">
      <w:pPr>
        <w:pStyle w:val="35"/>
        <w:bidi w:val="0"/>
        <w:rPr>
          <w:rFonts w:hint="eastAsia"/>
        </w:rPr>
      </w:pPr>
      <w:r>
        <w:rPr>
          <w:rFonts w:hint="eastAsia"/>
        </w:rPr>
        <w:t>设备运行管理</w:t>
      </w:r>
    </w:p>
    <w:p w14:paraId="5F090771">
      <w:pPr>
        <w:bidi w:val="0"/>
        <w:rPr>
          <w:rFonts w:hint="eastAsia"/>
          <w:color w:val="auto"/>
          <w:lang w:eastAsia="zh-CN"/>
        </w:rPr>
      </w:pPr>
      <w:r>
        <w:rPr>
          <w:rFonts w:hint="eastAsia"/>
          <w:color w:val="auto"/>
          <w:lang w:eastAsia="zh-CN"/>
        </w:rPr>
        <w:t>关注设备的资产价值、资源优化和技术升级。</w:t>
      </w:r>
    </w:p>
    <w:p w14:paraId="3B124CAF">
      <w:pPr>
        <w:bidi w:val="0"/>
        <w:rPr>
          <w:rFonts w:hint="eastAsia"/>
          <w:color w:val="auto"/>
          <w:lang w:eastAsia="zh-CN"/>
        </w:rPr>
      </w:pPr>
      <w:r>
        <w:rPr>
          <w:rFonts w:hint="eastAsia"/>
          <w:color w:val="auto"/>
          <w:lang w:eastAsia="zh-CN"/>
        </w:rPr>
        <w:t>设备固资台账是设备的“电子身份证”，它将财务端的固定资产信息与生产端的设备档案关联，实现了资产价值管理与实物运维管理的统一。</w:t>
      </w:r>
    </w:p>
    <w:p w14:paraId="00F9B488">
      <w:pPr>
        <w:pStyle w:val="42"/>
        <w:wordWrap/>
        <w:overflowPunct/>
        <w:topLinePunct w:val="0"/>
        <w:bidi w:val="0"/>
        <w:snapToGrid w:val="0"/>
        <w:spacing w:beforeAutospacing="0" w:afterAutospacing="0" w:line="360" w:lineRule="auto"/>
        <w:rPr>
          <w:rFonts w:hint="eastAsia" w:ascii="宋体" w:hAnsi="宋体" w:eastAsia="宋体"/>
          <w:color w:val="auto"/>
          <w:szCs w:val="21"/>
          <w:lang w:eastAsia="zh-CN"/>
        </w:rPr>
      </w:pPr>
      <w:r>
        <w:rPr>
          <w:color w:val="auto"/>
        </w:rPr>
        <w:drawing>
          <wp:inline distT="0" distB="0" distL="0" distR="0">
            <wp:extent cx="4464685" cy="2475230"/>
            <wp:effectExtent l="9525" t="9525" r="21590" b="14605"/>
            <wp:docPr id="69" name="图片 1" descr="C:/Users/CP/Desktop/新建文件夹/screenshot_2025-11-11_14-21-06.pngscreenshot_2025-11-11_14-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descr="C:/Users/CP/Desktop/新建文件夹/screenshot_2025-11-11_14-21-06.pngscreenshot_2025-11-11_14-21-06"/>
                    <pic:cNvPicPr>
                      <a:picLocks noChangeAspect="1"/>
                    </pic:cNvPicPr>
                  </pic:nvPicPr>
                  <pic:blipFill>
                    <a:blip r:embed="rId98"/>
                    <a:srcRect l="2386" r="2386"/>
                    <a:stretch>
                      <a:fillRect/>
                    </a:stretch>
                  </pic:blipFill>
                  <pic:spPr>
                    <a:xfrm>
                      <a:off x="0" y="0"/>
                      <a:ext cx="4466168" cy="2475230"/>
                    </a:xfrm>
                    <a:prstGeom prst="rect">
                      <a:avLst/>
                    </a:prstGeom>
                    <a:ln>
                      <a:solidFill>
                        <a:schemeClr val="tx1"/>
                      </a:solidFill>
                    </a:ln>
                  </pic:spPr>
                </pic:pic>
              </a:graphicData>
            </a:graphic>
          </wp:inline>
        </w:drawing>
      </w:r>
    </w:p>
    <w:p w14:paraId="6BCA80C0">
      <w:pPr>
        <w:bidi w:val="0"/>
        <w:rPr>
          <w:rFonts w:hint="eastAsia"/>
          <w:color w:val="auto"/>
          <w:lang w:eastAsia="zh-CN"/>
        </w:rPr>
      </w:pPr>
      <w:r>
        <w:rPr>
          <w:rFonts w:hint="eastAsia"/>
          <w:color w:val="auto"/>
          <w:lang w:eastAsia="zh-CN"/>
        </w:rPr>
        <w:t>集团借调申请与审核功能体现了集团化资产协同管理的思路。它为各基地之间调剂使用昂贵的“战略备件”提供了规范的线上通道，能显著提高关键备件的利用率，减少各基地的资金占用。</w:t>
      </w:r>
    </w:p>
    <w:p w14:paraId="1CDDD34A">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4464685" cy="2475230"/>
            <wp:effectExtent l="9525" t="9525" r="21590" b="14605"/>
            <wp:docPr id="70" name="图片 1" descr="C:/Users/CP/Desktop/新建文件夹/screenshot_2025-11-11_14-21-41.pngscreenshot_2025-11-11_14-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descr="C:/Users/CP/Desktop/新建文件夹/screenshot_2025-11-11_14-21-41.pngscreenshot_2025-11-11_14-21-41"/>
                    <pic:cNvPicPr>
                      <a:picLocks noChangeAspect="1"/>
                    </pic:cNvPicPr>
                  </pic:nvPicPr>
                  <pic:blipFill>
                    <a:blip r:embed="rId99"/>
                    <a:srcRect l="3271" r="3271"/>
                    <a:stretch>
                      <a:fillRect/>
                    </a:stretch>
                  </pic:blipFill>
                  <pic:spPr>
                    <a:xfrm>
                      <a:off x="0" y="0"/>
                      <a:ext cx="4466168" cy="2475230"/>
                    </a:xfrm>
                    <a:prstGeom prst="rect">
                      <a:avLst/>
                    </a:prstGeom>
                    <a:ln>
                      <a:solidFill>
                        <a:schemeClr val="tx1"/>
                      </a:solidFill>
                    </a:ln>
                  </pic:spPr>
                </pic:pic>
              </a:graphicData>
            </a:graphic>
          </wp:inline>
        </w:drawing>
      </w:r>
    </w:p>
    <w:p w14:paraId="009A80FC">
      <w:pPr>
        <w:pStyle w:val="42"/>
        <w:wordWrap/>
        <w:overflowPunct/>
        <w:topLinePunct w:val="0"/>
        <w:bidi w:val="0"/>
        <w:snapToGrid w:val="0"/>
        <w:spacing w:beforeAutospacing="0" w:afterAutospacing="0" w:line="360" w:lineRule="auto"/>
        <w:rPr>
          <w:rFonts w:hint="eastAsia"/>
          <w:color w:val="auto"/>
          <w:lang w:eastAsia="zh-CN"/>
        </w:rPr>
      </w:pPr>
      <w:r>
        <w:rPr>
          <w:color w:val="auto"/>
        </w:rPr>
        <w:drawing>
          <wp:inline distT="0" distB="0" distL="0" distR="0">
            <wp:extent cx="4464685" cy="2475230"/>
            <wp:effectExtent l="9525" t="9525" r="21590" b="14605"/>
            <wp:docPr id="79" name="图片 1" descr="C:/Users/CP/Desktop/新建文件夹/screenshot_2025-11-11_14-22-11.pngscreenshot_2025-11-11_14-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descr="C:/Users/CP/Desktop/新建文件夹/screenshot_2025-11-11_14-22-11.pngscreenshot_2025-11-11_14-22-11"/>
                    <pic:cNvPicPr>
                      <a:picLocks noChangeAspect="1"/>
                    </pic:cNvPicPr>
                  </pic:nvPicPr>
                  <pic:blipFill>
                    <a:blip r:embed="rId100"/>
                    <a:srcRect l="3297" r="3297"/>
                    <a:stretch>
                      <a:fillRect/>
                    </a:stretch>
                  </pic:blipFill>
                  <pic:spPr>
                    <a:xfrm>
                      <a:off x="0" y="0"/>
                      <a:ext cx="4466168" cy="2475230"/>
                    </a:xfrm>
                    <a:prstGeom prst="rect">
                      <a:avLst/>
                    </a:prstGeom>
                    <a:ln>
                      <a:solidFill>
                        <a:schemeClr val="tx1"/>
                      </a:solidFill>
                    </a:ln>
                  </pic:spPr>
                </pic:pic>
              </a:graphicData>
            </a:graphic>
          </wp:inline>
        </w:drawing>
      </w:r>
    </w:p>
    <w:p w14:paraId="464A78EF">
      <w:pPr>
        <w:bidi w:val="0"/>
        <w:rPr>
          <w:rFonts w:hint="eastAsia"/>
          <w:color w:val="auto"/>
          <w:lang w:eastAsia="zh-CN"/>
        </w:rPr>
      </w:pPr>
      <w:r>
        <w:rPr>
          <w:rFonts w:hint="eastAsia"/>
          <w:color w:val="auto"/>
          <w:lang w:eastAsia="zh-CN"/>
        </w:rPr>
        <w:t>国产化替代项目与记录功能专门用于管理对“卡脖子”进口备件的替代过程。从项目立项、部件测试到验证结果记录，全程跟踪，旨在降低采购成本、缩短供货周期、保障供应链安全。</w:t>
      </w:r>
    </w:p>
    <w:p w14:paraId="341C9607">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4464685" cy="2475230"/>
            <wp:effectExtent l="9525" t="9525" r="21590" b="14605"/>
            <wp:docPr id="71" name="图片 1" descr="C:/Users/CP/Desktop/新建文件夹/screenshot_2025-11-11_14-23-10.pngscreenshot_2025-11-11_14-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descr="C:/Users/CP/Desktop/新建文件夹/screenshot_2025-11-11_14-23-10.pngscreenshot_2025-11-11_14-23-10"/>
                    <pic:cNvPicPr>
                      <a:picLocks noChangeAspect="1"/>
                    </pic:cNvPicPr>
                  </pic:nvPicPr>
                  <pic:blipFill>
                    <a:blip r:embed="rId101"/>
                    <a:srcRect l="64" r="64"/>
                    <a:stretch>
                      <a:fillRect/>
                    </a:stretch>
                  </pic:blipFill>
                  <pic:spPr>
                    <a:xfrm>
                      <a:off x="0" y="0"/>
                      <a:ext cx="4466168" cy="2475230"/>
                    </a:xfrm>
                    <a:prstGeom prst="rect">
                      <a:avLst/>
                    </a:prstGeom>
                    <a:ln>
                      <a:solidFill>
                        <a:schemeClr val="tx1"/>
                      </a:solidFill>
                    </a:ln>
                  </pic:spPr>
                </pic:pic>
              </a:graphicData>
            </a:graphic>
          </wp:inline>
        </w:drawing>
      </w:r>
    </w:p>
    <w:p w14:paraId="0AC4165C">
      <w:pPr>
        <w:pStyle w:val="42"/>
        <w:wordWrap/>
        <w:overflowPunct/>
        <w:topLinePunct w:val="0"/>
        <w:bidi w:val="0"/>
        <w:snapToGrid w:val="0"/>
        <w:spacing w:beforeAutospacing="0" w:afterAutospacing="0" w:line="360" w:lineRule="auto"/>
        <w:rPr>
          <w:rFonts w:hint="eastAsia"/>
          <w:color w:val="auto"/>
          <w:lang w:eastAsia="zh-CN"/>
        </w:rPr>
      </w:pPr>
      <w:r>
        <w:rPr>
          <w:color w:val="auto"/>
        </w:rPr>
        <w:drawing>
          <wp:inline distT="0" distB="0" distL="0" distR="0">
            <wp:extent cx="4464685" cy="2475230"/>
            <wp:effectExtent l="9525" t="9525" r="21590" b="14605"/>
            <wp:docPr id="80" name="图片 1" descr="C:/Users/CP/Desktop/新建文件夹/screenshot_2025-11-11_14-23-34.pngscreenshot_2025-11-11_14-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descr="C:/Users/CP/Desktop/新建文件夹/screenshot_2025-11-11_14-23-34.pngscreenshot_2025-11-11_14-23-34"/>
                    <pic:cNvPicPr>
                      <a:picLocks noChangeAspect="1"/>
                    </pic:cNvPicPr>
                  </pic:nvPicPr>
                  <pic:blipFill>
                    <a:blip r:embed="rId102"/>
                    <a:srcRect l="3322" r="3322"/>
                    <a:stretch>
                      <a:fillRect/>
                    </a:stretch>
                  </pic:blipFill>
                  <pic:spPr>
                    <a:xfrm>
                      <a:off x="0" y="0"/>
                      <a:ext cx="4466168" cy="2475230"/>
                    </a:xfrm>
                    <a:prstGeom prst="rect">
                      <a:avLst/>
                    </a:prstGeom>
                    <a:ln>
                      <a:solidFill>
                        <a:schemeClr val="tx1"/>
                      </a:solidFill>
                    </a:ln>
                  </pic:spPr>
                </pic:pic>
              </a:graphicData>
            </a:graphic>
          </wp:inline>
        </w:drawing>
      </w:r>
    </w:p>
    <w:p w14:paraId="59EB62B7">
      <w:pPr>
        <w:bidi w:val="0"/>
        <w:rPr>
          <w:rFonts w:hint="eastAsia"/>
          <w:color w:val="auto"/>
          <w:lang w:eastAsia="zh-CN"/>
        </w:rPr>
      </w:pPr>
      <w:r>
        <w:rPr>
          <w:rFonts w:hint="eastAsia"/>
          <w:color w:val="auto"/>
          <w:lang w:eastAsia="zh-CN"/>
        </w:rPr>
        <w:t>同样，技改项目与记录功能用于管理对现有设备进行的性能提升或适应性改造。它记录技改的方案、实施过程和最终效益，是推动设备技术升级、挖掘现有资产潜力的重要工具。</w:t>
      </w:r>
    </w:p>
    <w:p w14:paraId="71ED3C9C">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4464685" cy="2475230"/>
            <wp:effectExtent l="9525" t="9525" r="21590" b="14605"/>
            <wp:docPr id="72" name="图片 1" descr="C:/Users/CP/Desktop/新建文件夹/screenshot_2025-11-11_14-24-01.pngscreenshot_2025-11-11_14-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descr="C:/Users/CP/Desktop/新建文件夹/screenshot_2025-11-11_14-24-01.pngscreenshot_2025-11-11_14-24-01"/>
                    <pic:cNvPicPr>
                      <a:picLocks noChangeAspect="1"/>
                    </pic:cNvPicPr>
                  </pic:nvPicPr>
                  <pic:blipFill>
                    <a:blip r:embed="rId103"/>
                    <a:srcRect l="1565" r="1565"/>
                    <a:stretch>
                      <a:fillRect/>
                    </a:stretch>
                  </pic:blipFill>
                  <pic:spPr>
                    <a:xfrm>
                      <a:off x="0" y="0"/>
                      <a:ext cx="4466168" cy="2475230"/>
                    </a:xfrm>
                    <a:prstGeom prst="rect">
                      <a:avLst/>
                    </a:prstGeom>
                    <a:ln>
                      <a:solidFill>
                        <a:schemeClr val="tx1"/>
                      </a:solidFill>
                    </a:ln>
                  </pic:spPr>
                </pic:pic>
              </a:graphicData>
            </a:graphic>
          </wp:inline>
        </w:drawing>
      </w:r>
    </w:p>
    <w:p w14:paraId="36E787C1">
      <w:pPr>
        <w:pStyle w:val="42"/>
        <w:wordWrap/>
        <w:overflowPunct/>
        <w:topLinePunct w:val="0"/>
        <w:bidi w:val="0"/>
        <w:snapToGrid w:val="0"/>
        <w:spacing w:beforeAutospacing="0" w:afterAutospacing="0" w:line="360" w:lineRule="auto"/>
        <w:rPr>
          <w:rFonts w:hint="eastAsia"/>
          <w:color w:val="auto"/>
          <w:lang w:eastAsia="zh-CN"/>
        </w:rPr>
      </w:pPr>
      <w:r>
        <w:rPr>
          <w:color w:val="auto"/>
        </w:rPr>
        <w:drawing>
          <wp:inline distT="0" distB="0" distL="0" distR="0">
            <wp:extent cx="4464685" cy="2475230"/>
            <wp:effectExtent l="9525" t="9525" r="21590" b="14605"/>
            <wp:docPr id="81" name="图片 1" descr="C:/Users/CP/Desktop/新建文件夹/screenshot_2025-11-11_14-24-01.pngscreenshot_2025-11-11_14-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descr="C:/Users/CP/Desktop/新建文件夹/screenshot_2025-11-11_14-24-01.pngscreenshot_2025-11-11_14-24-01"/>
                    <pic:cNvPicPr>
                      <a:picLocks noChangeAspect="1"/>
                    </pic:cNvPicPr>
                  </pic:nvPicPr>
                  <pic:blipFill>
                    <a:blip r:embed="rId103"/>
                    <a:srcRect l="1565" r="1565"/>
                    <a:stretch>
                      <a:fillRect/>
                    </a:stretch>
                  </pic:blipFill>
                  <pic:spPr>
                    <a:xfrm>
                      <a:off x="0" y="0"/>
                      <a:ext cx="4466168" cy="2475230"/>
                    </a:xfrm>
                    <a:prstGeom prst="rect">
                      <a:avLst/>
                    </a:prstGeom>
                    <a:ln>
                      <a:solidFill>
                        <a:schemeClr val="tx1"/>
                      </a:solidFill>
                    </a:ln>
                  </pic:spPr>
                </pic:pic>
              </a:graphicData>
            </a:graphic>
          </wp:inline>
        </w:drawing>
      </w:r>
    </w:p>
    <w:p w14:paraId="4E959C7C">
      <w:pPr>
        <w:pStyle w:val="35"/>
        <w:bidi w:val="0"/>
        <w:rPr>
          <w:rFonts w:hint="eastAsia"/>
        </w:rPr>
      </w:pPr>
      <w:r>
        <w:rPr>
          <w:rFonts w:hint="eastAsia"/>
        </w:rPr>
        <w:t>设备运行状态监测</w:t>
      </w:r>
      <w:r>
        <w:rPr>
          <w:rFonts w:hint="eastAsia"/>
          <w:color w:val="auto"/>
          <w:lang w:eastAsia="zh-CN"/>
        </w:rPr>
        <w:t>（</w:t>
      </w:r>
      <w:r>
        <w:rPr>
          <w:rFonts w:hint="eastAsia"/>
          <w:color w:val="auto"/>
          <w:lang w:val="en-US" w:eastAsia="zh-CN"/>
        </w:rPr>
        <w:t>定制开发</w:t>
      </w:r>
      <w:r>
        <w:rPr>
          <w:rFonts w:hint="eastAsia"/>
          <w:color w:val="auto"/>
          <w:lang w:eastAsia="zh-CN"/>
        </w:rPr>
        <w:t>）</w:t>
      </w:r>
    </w:p>
    <w:p w14:paraId="2C156BFB">
      <w:pPr>
        <w:bidi w:val="0"/>
        <w:rPr>
          <w:rFonts w:hint="eastAsia"/>
          <w:color w:val="auto"/>
        </w:rPr>
      </w:pPr>
      <w:r>
        <w:rPr>
          <w:rFonts w:hint="eastAsia"/>
          <w:color w:val="auto"/>
        </w:rPr>
        <w:t>设备管理系统对于生产设备，可直观监控整个产线的设备，实时反应现场设备的运行/故障/待机状态。同时可进行每台设备的主要数据及状态进行详情查看，设备的异常时间和异常次将被记录。</w:t>
      </w:r>
    </w:p>
    <w:p w14:paraId="5BF8991E">
      <w:pPr>
        <w:pStyle w:val="42"/>
        <w:wordWrap/>
        <w:overflowPunct/>
        <w:topLinePunct w:val="0"/>
        <w:bidi w:val="0"/>
        <w:snapToGrid w:val="0"/>
        <w:spacing w:beforeAutospacing="0" w:afterAutospacing="0" w:line="360" w:lineRule="auto"/>
        <w:rPr>
          <w:rFonts w:hint="eastAsia" w:ascii="宋体" w:hAnsi="宋体" w:eastAsia="宋体"/>
          <w:b/>
          <w:bCs/>
          <w:color w:val="auto"/>
          <w:szCs w:val="21"/>
        </w:rPr>
      </w:pPr>
      <w:r>
        <w:rPr>
          <w:color w:val="auto"/>
        </w:rPr>
        <w:drawing>
          <wp:inline distT="0" distB="0" distL="0" distR="0">
            <wp:extent cx="4464685" cy="2475230"/>
            <wp:effectExtent l="9525" t="9525" r="21590" b="14605"/>
            <wp:docPr id="1538990980" name="图片 1" descr="C:/Users/CP/Desktop/新建文件夹/screenshot_2025-11-11_14-09-36.pngscreenshot_2025-11-11_14-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980" name="图片 1" descr="C:/Users/CP/Desktop/新建文件夹/screenshot_2025-11-11_14-09-36.pngscreenshot_2025-11-11_14-09-36"/>
                    <pic:cNvPicPr>
                      <a:picLocks noChangeAspect="1"/>
                    </pic:cNvPicPr>
                  </pic:nvPicPr>
                  <pic:blipFill>
                    <a:blip r:embed="rId104"/>
                    <a:srcRect l="6311" r="6311"/>
                    <a:stretch>
                      <a:fillRect/>
                    </a:stretch>
                  </pic:blipFill>
                  <pic:spPr>
                    <a:xfrm>
                      <a:off x="0" y="0"/>
                      <a:ext cx="4465722" cy="2475230"/>
                    </a:xfrm>
                    <a:prstGeom prst="rect">
                      <a:avLst/>
                    </a:prstGeom>
                    <a:ln>
                      <a:solidFill>
                        <a:schemeClr val="tx1"/>
                      </a:solidFill>
                    </a:ln>
                  </pic:spPr>
                </pic:pic>
              </a:graphicData>
            </a:graphic>
          </wp:inline>
        </w:drawing>
      </w:r>
    </w:p>
    <w:p w14:paraId="485D4095">
      <w:pPr>
        <w:pStyle w:val="35"/>
        <w:bidi w:val="0"/>
        <w:rPr>
          <w:rFonts w:hint="eastAsia"/>
        </w:rPr>
      </w:pPr>
      <w:r>
        <w:rPr>
          <w:rFonts w:hint="eastAsia"/>
        </w:rPr>
        <w:t>设备实时/历史数据</w:t>
      </w:r>
      <w:r>
        <w:rPr>
          <w:rFonts w:hint="eastAsia"/>
          <w:color w:val="auto"/>
          <w:lang w:eastAsia="zh-CN"/>
        </w:rPr>
        <w:t>（</w:t>
      </w:r>
      <w:r>
        <w:rPr>
          <w:rFonts w:hint="eastAsia"/>
          <w:color w:val="auto"/>
          <w:lang w:val="en-US" w:eastAsia="zh-CN"/>
        </w:rPr>
        <w:t>定制开发</w:t>
      </w:r>
      <w:r>
        <w:rPr>
          <w:rFonts w:hint="eastAsia"/>
          <w:color w:val="auto"/>
          <w:lang w:eastAsia="zh-CN"/>
        </w:rPr>
        <w:t>）</w:t>
      </w:r>
    </w:p>
    <w:p w14:paraId="26465989">
      <w:pPr>
        <w:bidi w:val="0"/>
        <w:rPr>
          <w:rFonts w:hint="eastAsia"/>
          <w:color w:val="auto"/>
        </w:rPr>
      </w:pPr>
      <w:r>
        <w:rPr>
          <w:rFonts w:hint="eastAsia"/>
          <w:color w:val="auto"/>
        </w:rPr>
        <w:t>设备管理人员、公司领导等可以通过设备管理系统进行设备运行趋势分析。用户可以根据业务需要自定义选择设备参数进行趋势分析，自由切换历史趋势与实时趋势，使得历史监视和实时监视能够同时进行，以便于及时调整设备参数运行指标，优化生产质量。系统可以提供如下功能：通过WEB浏览器可以查询、分析任一位号的实时/历史趋势。通过WEB浏览器可以查询、分析一组多个位号的实时/历史趋势。可以在流程图上直接点击位号查看运行趋势，支持多用户同时打开趋势图。支持用户根据自身业务需要个性化定义位号趋势分析组，支持趋势图放大、导出等功能。</w:t>
      </w:r>
    </w:p>
    <w:p w14:paraId="1ABBC76E">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483735" cy="2533015"/>
            <wp:effectExtent l="0" t="0" r="12065" b="12065"/>
            <wp:docPr id="82" name="图片 1" descr="C:/Users/CP/Desktop/新建文件夹/screenshot_2025-11-11_14-25-28.pngscreenshot_2025-11-11_14-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descr="C:/Users/CP/Desktop/新建文件夹/screenshot_2025-11-11_14-25-28.pngscreenshot_2025-11-11_14-25-28"/>
                    <pic:cNvPicPr>
                      <a:picLocks noChangeAspect="1"/>
                    </pic:cNvPicPr>
                  </pic:nvPicPr>
                  <pic:blipFill>
                    <a:blip r:embed="rId105"/>
                    <a:srcRect l="238" r="238"/>
                    <a:stretch>
                      <a:fillRect/>
                    </a:stretch>
                  </pic:blipFill>
                  <pic:spPr>
                    <a:xfrm>
                      <a:off x="0" y="0"/>
                      <a:ext cx="4485312" cy="2533015"/>
                    </a:xfrm>
                    <a:prstGeom prst="rect">
                      <a:avLst/>
                    </a:prstGeom>
                  </pic:spPr>
                </pic:pic>
              </a:graphicData>
            </a:graphic>
          </wp:inline>
        </w:drawing>
      </w:r>
    </w:p>
    <w:p w14:paraId="2AA06747">
      <w:pPr>
        <w:pStyle w:val="42"/>
        <w:wordWrap/>
        <w:overflowPunct/>
        <w:topLinePunct w:val="0"/>
        <w:bidi w:val="0"/>
        <w:snapToGrid w:val="0"/>
        <w:spacing w:beforeAutospacing="0" w:afterAutospacing="0" w:line="360" w:lineRule="auto"/>
        <w:rPr>
          <w:rFonts w:hint="eastAsia" w:ascii="宋体" w:hAnsi="宋体" w:eastAsia="宋体"/>
          <w:b/>
          <w:bCs/>
          <w:color w:val="auto"/>
          <w:szCs w:val="21"/>
        </w:rPr>
      </w:pPr>
      <w:r>
        <w:rPr>
          <w:color w:val="auto"/>
        </w:rPr>
        <w:drawing>
          <wp:inline distT="0" distB="0" distL="0" distR="0">
            <wp:extent cx="4483735" cy="2533015"/>
            <wp:effectExtent l="0" t="0" r="12065" b="12065"/>
            <wp:docPr id="907362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62115" name="图片 1"/>
                    <pic:cNvPicPr>
                      <a:picLocks noChangeAspect="1"/>
                    </pic:cNvPicPr>
                  </pic:nvPicPr>
                  <pic:blipFill>
                    <a:blip r:embed="rId106"/>
                    <a:stretch>
                      <a:fillRect/>
                    </a:stretch>
                  </pic:blipFill>
                  <pic:spPr>
                    <a:xfrm>
                      <a:off x="0" y="0"/>
                      <a:ext cx="4485312" cy="2534504"/>
                    </a:xfrm>
                    <a:prstGeom prst="rect">
                      <a:avLst/>
                    </a:prstGeom>
                  </pic:spPr>
                </pic:pic>
              </a:graphicData>
            </a:graphic>
          </wp:inline>
        </w:drawing>
      </w:r>
    </w:p>
    <w:p w14:paraId="101FDE58">
      <w:pPr>
        <w:pStyle w:val="35"/>
        <w:bidi w:val="0"/>
        <w:rPr>
          <w:rFonts w:hint="eastAsia"/>
        </w:rPr>
      </w:pPr>
      <w:r>
        <w:rPr>
          <w:rFonts w:hint="eastAsia"/>
        </w:rPr>
        <w:t>设备运行报警管理</w:t>
      </w:r>
      <w:r>
        <w:rPr>
          <w:rFonts w:hint="eastAsia"/>
          <w:color w:val="auto"/>
          <w:lang w:eastAsia="zh-CN"/>
        </w:rPr>
        <w:t>（</w:t>
      </w:r>
      <w:r>
        <w:rPr>
          <w:rFonts w:hint="eastAsia"/>
          <w:color w:val="auto"/>
          <w:lang w:val="en-US" w:eastAsia="zh-CN"/>
        </w:rPr>
        <w:t>定制开发</w:t>
      </w:r>
      <w:r>
        <w:rPr>
          <w:rFonts w:hint="eastAsia"/>
          <w:color w:val="auto"/>
          <w:lang w:eastAsia="zh-CN"/>
        </w:rPr>
        <w:t>）</w:t>
      </w:r>
    </w:p>
    <w:p w14:paraId="2872C1BB">
      <w:pPr>
        <w:bidi w:val="0"/>
        <w:rPr>
          <w:rFonts w:hint="eastAsia"/>
          <w:color w:val="auto"/>
        </w:rPr>
      </w:pPr>
      <w:r>
        <w:rPr>
          <w:rFonts w:hint="eastAsia"/>
          <w:color w:val="auto"/>
        </w:rPr>
        <w:t>用户可以通过对设备位号管理，对设备的关键指标进行报警机制设置，设置完成后，系统会自动侦测报警信息，一旦超标报警，设备管理系统会记录到系统数据库中，有利于设备管理人员及时准确调整指标控制，掌控设备运行状况。</w:t>
      </w:r>
    </w:p>
    <w:p w14:paraId="73135B01">
      <w:pPr>
        <w:pStyle w:val="42"/>
        <w:wordWrap/>
        <w:overflowPunct/>
        <w:topLinePunct w:val="0"/>
        <w:bidi w:val="0"/>
        <w:snapToGrid w:val="0"/>
        <w:spacing w:beforeAutospacing="0" w:afterAutospacing="0" w:line="360" w:lineRule="auto"/>
        <w:rPr>
          <w:rFonts w:hint="eastAsia" w:ascii="宋体" w:hAnsi="宋体" w:eastAsia="宋体"/>
          <w:b/>
          <w:bCs/>
          <w:color w:val="auto"/>
          <w:szCs w:val="21"/>
        </w:rPr>
      </w:pPr>
      <w:r>
        <w:rPr>
          <w:color w:val="auto"/>
        </w:rPr>
        <w:drawing>
          <wp:inline distT="0" distB="0" distL="0" distR="0">
            <wp:extent cx="4535170" cy="2548890"/>
            <wp:effectExtent l="0" t="0" r="6350" b="11430"/>
            <wp:docPr id="141736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61312" name="图片 1"/>
                    <pic:cNvPicPr>
                      <a:picLocks noChangeAspect="1"/>
                    </pic:cNvPicPr>
                  </pic:nvPicPr>
                  <pic:blipFill>
                    <a:blip r:embed="rId107"/>
                    <a:stretch>
                      <a:fillRect/>
                    </a:stretch>
                  </pic:blipFill>
                  <pic:spPr>
                    <a:xfrm>
                      <a:off x="0" y="0"/>
                      <a:ext cx="4536959" cy="2550377"/>
                    </a:xfrm>
                    <a:prstGeom prst="rect">
                      <a:avLst/>
                    </a:prstGeom>
                  </pic:spPr>
                </pic:pic>
              </a:graphicData>
            </a:graphic>
          </wp:inline>
        </w:drawing>
      </w:r>
    </w:p>
    <w:p w14:paraId="503D823D">
      <w:pPr>
        <w:bidi w:val="0"/>
        <w:rPr>
          <w:rFonts w:hint="eastAsia"/>
          <w:color w:val="auto"/>
        </w:rPr>
      </w:pPr>
      <w:r>
        <w:rPr>
          <w:rFonts w:hint="eastAsia"/>
          <w:color w:val="auto"/>
        </w:rPr>
        <w:t>设备日常运维提醒、预警：在设备运维设置中，根据需要设置多条规则，每条规则根据下次执行时间和提前期的不同，依照以下规则，可以根据实际的需要，可以给相关人员发送消息提醒。</w:t>
      </w:r>
    </w:p>
    <w:p w14:paraId="4FE8E2E6">
      <w:pPr>
        <w:pStyle w:val="35"/>
        <w:bidi w:val="0"/>
        <w:rPr>
          <w:rFonts w:hint="eastAsia"/>
        </w:rPr>
      </w:pPr>
      <w:r>
        <w:rPr>
          <w:rFonts w:hint="eastAsia"/>
        </w:rPr>
        <w:t>数据统计报表</w:t>
      </w:r>
    </w:p>
    <w:p w14:paraId="686D400A">
      <w:pPr>
        <w:bidi w:val="0"/>
        <w:rPr>
          <w:rFonts w:hint="default"/>
          <w:color w:val="auto"/>
          <w:lang w:val="en-US" w:eastAsia="zh-CN"/>
        </w:rPr>
      </w:pPr>
      <w:r>
        <w:rPr>
          <w:rFonts w:hint="eastAsia"/>
          <w:color w:val="auto"/>
          <w:lang w:eastAsia="zh-CN"/>
        </w:rPr>
        <w:t>将前四个模块产生的海量数据转化为可视化的洞察，支撑科学决策。</w:t>
      </w:r>
    </w:p>
    <w:p w14:paraId="27109E16">
      <w:pPr>
        <w:bidi w:val="0"/>
        <w:rPr>
          <w:rFonts w:hint="eastAsia"/>
          <w:color w:val="auto"/>
        </w:rPr>
      </w:pPr>
      <w:r>
        <w:rPr>
          <w:rFonts w:hint="eastAsia"/>
          <w:color w:val="auto"/>
        </w:rPr>
        <w:t>关键指标运行趋势、限值设置与超限记录</w:t>
      </w:r>
      <w:r>
        <w:rPr>
          <w:rFonts w:hint="eastAsia"/>
          <w:color w:val="auto"/>
          <w:lang w:eastAsia="zh-CN"/>
        </w:rPr>
        <w:t>：</w:t>
      </w:r>
      <w:r>
        <w:rPr>
          <w:rFonts w:hint="eastAsia"/>
          <w:color w:val="auto"/>
        </w:rPr>
        <w:t>共同构成了设备状态的实时预警系统。通过设备网关自动采集数据（如温度、压力、转速），并在看板上动态展示。一旦数据超越预设的上下限，系统自动记录超限事件，实现从“事后维修”到“事前预测”的跨越。</w:t>
      </w:r>
    </w:p>
    <w:p w14:paraId="512369EF">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464685" cy="2475230"/>
            <wp:effectExtent l="9525" t="9525" r="21590" b="14605"/>
            <wp:docPr id="73" name="图片 1" descr="C:/Users/CP/Desktop/新建文件夹/screenshot_2025-11-11_14-15-24.pngscreenshot_2025-11-11_14-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descr="C:/Users/CP/Desktop/新建文件夹/screenshot_2025-11-11_14-15-24.pngscreenshot_2025-11-11_14-15-24"/>
                    <pic:cNvPicPr>
                      <a:picLocks noChangeAspect="1"/>
                    </pic:cNvPicPr>
                  </pic:nvPicPr>
                  <pic:blipFill>
                    <a:blip r:embed="rId108"/>
                    <a:srcRect l="1013" r="1013"/>
                    <a:stretch>
                      <a:fillRect/>
                    </a:stretch>
                  </pic:blipFill>
                  <pic:spPr>
                    <a:xfrm>
                      <a:off x="0" y="0"/>
                      <a:ext cx="4465722" cy="2475230"/>
                    </a:xfrm>
                    <a:prstGeom prst="rect">
                      <a:avLst/>
                    </a:prstGeom>
                    <a:ln>
                      <a:solidFill>
                        <a:schemeClr val="tx1"/>
                      </a:solidFill>
                    </a:ln>
                  </pic:spPr>
                </pic:pic>
              </a:graphicData>
            </a:graphic>
          </wp:inline>
        </w:drawing>
      </w:r>
    </w:p>
    <w:p w14:paraId="46B6D091">
      <w:pPr>
        <w:bidi w:val="0"/>
        <w:rPr>
          <w:rFonts w:hint="eastAsia"/>
          <w:color w:val="auto"/>
        </w:rPr>
      </w:pPr>
      <w:r>
        <w:rPr>
          <w:rFonts w:hint="eastAsia"/>
          <w:color w:val="auto"/>
        </w:rPr>
        <w:t>一系列专项报表（如锅炉计量月报表、锅炉水质PH值记录表、空压机运行记录表）将传统线下纸质记录单数字化、自动化，减少了人工抄录误差，提高了数据录入效率。</w:t>
      </w:r>
    </w:p>
    <w:p w14:paraId="5958147C">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4464685" cy="2475230"/>
            <wp:effectExtent l="9525" t="9525" r="21590" b="14605"/>
            <wp:docPr id="76" name="图片 1" descr="C:/Users/CP/Desktop/新建文件夹/screenshot_2025-11-11_14-18-59.pngscreenshot_2025-11-11_14-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C:/Users/CP/Desktop/新建文件夹/screenshot_2025-11-11_14-18-59.pngscreenshot_2025-11-11_14-18-59"/>
                    <pic:cNvPicPr>
                      <a:picLocks noChangeAspect="1"/>
                    </pic:cNvPicPr>
                  </pic:nvPicPr>
                  <pic:blipFill>
                    <a:blip r:embed="rId109"/>
                    <a:srcRect l="1449" r="1449"/>
                    <a:stretch>
                      <a:fillRect/>
                    </a:stretch>
                  </pic:blipFill>
                  <pic:spPr>
                    <a:xfrm>
                      <a:off x="0" y="0"/>
                      <a:ext cx="4465722" cy="2475230"/>
                    </a:xfrm>
                    <a:prstGeom prst="rect">
                      <a:avLst/>
                    </a:prstGeom>
                    <a:ln>
                      <a:solidFill>
                        <a:schemeClr val="tx1"/>
                      </a:solidFill>
                    </a:ln>
                  </pic:spPr>
                </pic:pic>
              </a:graphicData>
            </a:graphic>
          </wp:inline>
        </w:drawing>
      </w:r>
    </w:p>
    <w:p w14:paraId="57711E54">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4464685" cy="2475230"/>
            <wp:effectExtent l="9525" t="9525" r="21590" b="14605"/>
            <wp:docPr id="77" name="图片 1" descr="C:/Users/CP/Desktop/新建文件夹/screenshot_2025-11-11_14-19-29.pngscreenshot_2025-11-11_14-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descr="C:/Users/CP/Desktop/新建文件夹/screenshot_2025-11-11_14-19-29.pngscreenshot_2025-11-11_14-19-29"/>
                    <pic:cNvPicPr>
                      <a:picLocks noChangeAspect="1"/>
                    </pic:cNvPicPr>
                  </pic:nvPicPr>
                  <pic:blipFill>
                    <a:blip r:embed="rId110"/>
                    <a:srcRect l="3322" r="3322"/>
                    <a:stretch>
                      <a:fillRect/>
                    </a:stretch>
                  </pic:blipFill>
                  <pic:spPr>
                    <a:xfrm>
                      <a:off x="0" y="0"/>
                      <a:ext cx="4465722" cy="2475230"/>
                    </a:xfrm>
                    <a:prstGeom prst="rect">
                      <a:avLst/>
                    </a:prstGeom>
                    <a:ln>
                      <a:solidFill>
                        <a:schemeClr val="tx1"/>
                      </a:solidFill>
                    </a:ln>
                  </pic:spPr>
                </pic:pic>
              </a:graphicData>
            </a:graphic>
          </wp:inline>
        </w:drawing>
      </w:r>
    </w:p>
    <w:p w14:paraId="73519C59">
      <w:pPr>
        <w:pStyle w:val="42"/>
        <w:wordWrap/>
        <w:overflowPunct/>
        <w:topLinePunct w:val="0"/>
        <w:bidi w:val="0"/>
        <w:snapToGrid w:val="0"/>
        <w:spacing w:beforeAutospacing="0" w:afterAutospacing="0" w:line="360" w:lineRule="auto"/>
        <w:rPr>
          <w:rFonts w:hint="eastAsia"/>
          <w:color w:val="auto"/>
        </w:rPr>
      </w:pPr>
      <w:r>
        <w:rPr>
          <w:color w:val="auto"/>
        </w:rPr>
        <w:drawing>
          <wp:inline distT="0" distB="0" distL="0" distR="0">
            <wp:extent cx="4464685" cy="2475230"/>
            <wp:effectExtent l="9525" t="9525" r="21590" b="14605"/>
            <wp:docPr id="78" name="图片 1" descr="C:/Users/CP/Desktop/新建文件夹/screenshot_2025-11-11_14-20-09.pngscreenshot_2025-11-11_14-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descr="C:/Users/CP/Desktop/新建文件夹/screenshot_2025-11-11_14-20-09.pngscreenshot_2025-11-11_14-20-09"/>
                    <pic:cNvPicPr>
                      <a:picLocks noChangeAspect="1"/>
                    </pic:cNvPicPr>
                  </pic:nvPicPr>
                  <pic:blipFill>
                    <a:blip r:embed="rId111"/>
                    <a:srcRect t="12680" b="12680"/>
                    <a:stretch>
                      <a:fillRect/>
                    </a:stretch>
                  </pic:blipFill>
                  <pic:spPr>
                    <a:xfrm>
                      <a:off x="0" y="0"/>
                      <a:ext cx="4464685" cy="2475230"/>
                    </a:xfrm>
                    <a:prstGeom prst="rect">
                      <a:avLst/>
                    </a:prstGeom>
                    <a:ln>
                      <a:solidFill>
                        <a:schemeClr val="tx1"/>
                      </a:solidFill>
                    </a:ln>
                  </pic:spPr>
                </pic:pic>
              </a:graphicData>
            </a:graphic>
          </wp:inline>
        </w:drawing>
      </w:r>
    </w:p>
    <w:p w14:paraId="043B0D3B">
      <w:pPr>
        <w:bidi w:val="0"/>
        <w:rPr>
          <w:rFonts w:hint="eastAsia"/>
          <w:color w:val="auto"/>
        </w:rPr>
      </w:pPr>
      <w:r>
        <w:rPr>
          <w:rFonts w:hint="eastAsia"/>
          <w:color w:val="auto"/>
        </w:rPr>
        <w:t>设备点巡检月度执行统计表和停机误时统计明细是至关重要的管理报表。前者量化了点巡检工作的执行率，保障了维护制度的落地；后者则从时间维度深度剖析设备停机规律，精准定位可靠性瓶颈，为提升设备OEE提供直接依据。</w:t>
      </w:r>
    </w:p>
    <w:p w14:paraId="73AE0EE6">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464685" cy="2475230"/>
            <wp:effectExtent l="9525" t="9525" r="21590" b="14605"/>
            <wp:docPr id="74" name="图片 1" descr="C:/Users/CP/Desktop/新建文件夹/screenshot_2025-11-11_14-17-06.pngscreenshot_2025-11-11_14-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descr="C:/Users/CP/Desktop/新建文件夹/screenshot_2025-11-11_14-17-06.pngscreenshot_2025-11-11_14-17-06"/>
                    <pic:cNvPicPr>
                      <a:picLocks noChangeAspect="1"/>
                    </pic:cNvPicPr>
                  </pic:nvPicPr>
                  <pic:blipFill>
                    <a:blip r:embed="rId112"/>
                    <a:srcRect t="6592" b="6592"/>
                    <a:stretch>
                      <a:fillRect/>
                    </a:stretch>
                  </pic:blipFill>
                  <pic:spPr>
                    <a:xfrm>
                      <a:off x="0" y="0"/>
                      <a:ext cx="4464685" cy="2475230"/>
                    </a:xfrm>
                    <a:prstGeom prst="rect">
                      <a:avLst/>
                    </a:prstGeom>
                    <a:ln>
                      <a:solidFill>
                        <a:schemeClr val="tx1"/>
                      </a:solidFill>
                    </a:ln>
                  </pic:spPr>
                </pic:pic>
              </a:graphicData>
            </a:graphic>
          </wp:inline>
        </w:drawing>
      </w:r>
    </w:p>
    <w:p w14:paraId="6DD44173">
      <w:pPr>
        <w:bidi w:val="0"/>
        <w:rPr>
          <w:rFonts w:hint="eastAsia"/>
          <w:color w:val="auto"/>
        </w:rPr>
      </w:pPr>
      <w:r>
        <w:rPr>
          <w:rFonts w:hint="eastAsia"/>
          <w:color w:val="auto"/>
        </w:rPr>
        <w:t>设备交接班记录和锅炉岗位交接班记录确保了跨班次运维信息的无缝传递，保障了工作的连续性与安全性。</w:t>
      </w:r>
    </w:p>
    <w:p w14:paraId="28AB61BE">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464685" cy="2475230"/>
            <wp:effectExtent l="9525" t="9525" r="21590" b="14605"/>
            <wp:docPr id="75" name="图片 1" descr="C:/Users/CP/Desktop/新建文件夹/screenshot_2025-11-11_14-18-21.pngscreenshot_2025-11-11_14-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descr="C:/Users/CP/Desktop/新建文件夹/screenshot_2025-11-11_14-18-21.pngscreenshot_2025-11-11_14-18-21"/>
                    <pic:cNvPicPr>
                      <a:picLocks noChangeAspect="1"/>
                    </pic:cNvPicPr>
                  </pic:nvPicPr>
                  <pic:blipFill>
                    <a:blip r:embed="rId113"/>
                    <a:srcRect l="3091" r="3091"/>
                    <a:stretch>
                      <a:fillRect/>
                    </a:stretch>
                  </pic:blipFill>
                  <pic:spPr>
                    <a:xfrm>
                      <a:off x="0" y="0"/>
                      <a:ext cx="4464685" cy="2475230"/>
                    </a:xfrm>
                    <a:prstGeom prst="rect">
                      <a:avLst/>
                    </a:prstGeom>
                    <a:ln>
                      <a:solidFill>
                        <a:schemeClr val="tx1"/>
                      </a:solidFill>
                    </a:ln>
                  </pic:spPr>
                </pic:pic>
              </a:graphicData>
            </a:graphic>
          </wp:inline>
        </w:drawing>
      </w:r>
    </w:p>
    <w:p w14:paraId="0D9EBF91">
      <w:pPr>
        <w:pStyle w:val="36"/>
        <w:bidi w:val="0"/>
        <w:rPr>
          <w:rFonts w:hint="eastAsia"/>
        </w:rPr>
      </w:pPr>
      <w:r>
        <w:rPr>
          <w:rFonts w:hint="eastAsia"/>
          <w:lang w:val="en-US" w:eastAsia="zh-CN"/>
        </w:rPr>
        <w:t>能耗</w:t>
      </w:r>
      <w:r>
        <w:rPr>
          <w:rFonts w:hint="eastAsia"/>
        </w:rPr>
        <w:t>管理</w:t>
      </w:r>
      <w:bookmarkEnd w:id="22"/>
      <w:bookmarkEnd w:id="23"/>
    </w:p>
    <w:p w14:paraId="778789BC">
      <w:pPr>
        <w:bidi w:val="0"/>
        <w:rPr>
          <w:rFonts w:hint="eastAsia"/>
          <w:color w:val="auto"/>
        </w:rPr>
      </w:pPr>
      <w:r>
        <w:rPr>
          <w:rFonts w:hint="eastAsia"/>
          <w:color w:val="auto"/>
          <w:lang w:val="en-US" w:eastAsia="zh-CN"/>
        </w:rPr>
        <w:t>能耗</w:t>
      </w:r>
      <w:r>
        <w:rPr>
          <w:rFonts w:hint="eastAsia"/>
          <w:color w:val="auto"/>
        </w:rPr>
        <w:t>管理系统旨在通过信息化、智能化手段，对企业生产运营中的各类能源（水、电、蒸汽、燃气等）进行全面的数据采集、监控、统计和分析。系统功能模块</w:t>
      </w:r>
      <w:r>
        <w:rPr>
          <w:rFonts w:hint="eastAsia"/>
          <w:color w:val="auto"/>
          <w:lang w:val="en-US" w:eastAsia="zh-CN"/>
        </w:rPr>
        <w:t>以</w:t>
      </w:r>
      <w:r>
        <w:rPr>
          <w:rFonts w:hint="eastAsia"/>
          <w:color w:val="auto"/>
        </w:rPr>
        <w:t xml:space="preserve"> “数据采集为基础，监控预警为手段，统计分析为核心，决策支持为目的”</w:t>
      </w:r>
      <w:r>
        <w:rPr>
          <w:rFonts w:hint="eastAsia"/>
          <w:color w:val="auto"/>
          <w:lang w:val="en-US" w:eastAsia="zh-CN"/>
        </w:rPr>
        <w:t>的</w:t>
      </w:r>
      <w:r>
        <w:rPr>
          <w:rFonts w:hint="eastAsia"/>
          <w:color w:val="auto"/>
        </w:rPr>
        <w:t>设计</w:t>
      </w:r>
      <w:r>
        <w:rPr>
          <w:rFonts w:hint="eastAsia"/>
          <w:color w:val="auto"/>
          <w:lang w:val="en-US" w:eastAsia="zh-CN"/>
        </w:rPr>
        <w:t>逻辑</w:t>
      </w:r>
      <w:r>
        <w:rPr>
          <w:rFonts w:hint="eastAsia"/>
          <w:color w:val="auto"/>
        </w:rPr>
        <w:t>，主要分为两大核心模块：能源管理和能源统计报表，以实现能源使用的精细化管理和数据驱动的决策支持。</w:t>
      </w:r>
    </w:p>
    <w:p w14:paraId="7504DB24">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632960" cy="2568575"/>
            <wp:effectExtent l="9525" t="9525" r="20955" b="12700"/>
            <wp:docPr id="5" name="图片 5" descr="C:/Users/CP/Desktop/新建文件夹/screenshot_2025-11-11_10-09-11.pngscreenshot_2025-11-11_10-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CP/Desktop/新建文件夹/screenshot_2025-11-11_10-09-11.pngscreenshot_2025-11-11_10-09-11"/>
                    <pic:cNvPicPr>
                      <a:picLocks noChangeAspect="1"/>
                    </pic:cNvPicPr>
                  </pic:nvPicPr>
                  <pic:blipFill>
                    <a:blip r:embed="rId114"/>
                    <a:srcRect l="3473" r="3473"/>
                    <a:stretch>
                      <a:fillRect/>
                    </a:stretch>
                  </pic:blipFill>
                  <pic:spPr>
                    <a:xfrm>
                      <a:off x="0" y="0"/>
                      <a:ext cx="4632960" cy="2568575"/>
                    </a:xfrm>
                    <a:prstGeom prst="rect">
                      <a:avLst/>
                    </a:prstGeom>
                    <a:ln>
                      <a:solidFill>
                        <a:schemeClr val="tx1"/>
                      </a:solidFill>
                    </a:ln>
                  </pic:spPr>
                </pic:pic>
              </a:graphicData>
            </a:graphic>
          </wp:inline>
        </w:drawing>
      </w:r>
    </w:p>
    <w:p w14:paraId="4BC35A5C">
      <w:pPr>
        <w:bidi w:val="0"/>
        <w:rPr>
          <w:rFonts w:hint="eastAsia"/>
          <w:color w:val="auto"/>
          <w:lang w:eastAsia="zh-CN"/>
        </w:rPr>
      </w:pPr>
      <w:r>
        <w:rPr>
          <w:rFonts w:hint="eastAsia"/>
          <w:color w:val="auto"/>
        </w:rPr>
        <w:t>仪表采集配置</w:t>
      </w:r>
      <w:r>
        <w:rPr>
          <w:rFonts w:hint="eastAsia"/>
          <w:color w:val="auto"/>
          <w:lang w:eastAsia="zh-CN"/>
        </w:rPr>
        <w:t>：系统与物理世界连接的“桥梁”功能。它允许管理员对现场安装的每一种能源计量仪表（包括水表、电表、蒸汽表、燃气表）进行详细的参数配置。配置内容通常包括仪表的通信地址、通信协议、波特率、采集点表（如哪些寄存器地址对应用量数据）以及数据采集的频率（如每5分钟一次）。此功能的成功配置是系统能够自动、正确读取仪表数据的前提，是实现能源自动抄表、替代人工巡检的关键一步。</w:t>
      </w:r>
    </w:p>
    <w:p w14:paraId="64631947">
      <w:pPr>
        <w:pStyle w:val="42"/>
        <w:wordWrap/>
        <w:overflowPunct/>
        <w:topLinePunct w:val="0"/>
        <w:bidi w:val="0"/>
        <w:snapToGrid w:val="0"/>
        <w:spacing w:beforeAutospacing="0" w:afterAutospacing="0" w:line="360" w:lineRule="auto"/>
        <w:rPr>
          <w:rFonts w:hint="eastAsia" w:ascii="宋体" w:hAnsi="宋体" w:eastAsia="宋体"/>
          <w:b w:val="0"/>
          <w:bCs w:val="0"/>
          <w:color w:val="auto"/>
          <w:szCs w:val="21"/>
          <w:lang w:eastAsia="zh-CN"/>
        </w:rPr>
      </w:pPr>
      <w:r>
        <w:rPr>
          <w:color w:val="auto"/>
        </w:rPr>
        <w:drawing>
          <wp:inline distT="0" distB="0" distL="0" distR="0">
            <wp:extent cx="4632960" cy="2568575"/>
            <wp:effectExtent l="9525" t="9525" r="20955" b="12700"/>
            <wp:docPr id="6" name="图片 6" descr="C:/Users/CP/Desktop/新建文件夹/screenshot_2025-11-11_10-16-02.pngscreenshot_2025-11-11_10-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CP/Desktop/新建文件夹/screenshot_2025-11-11_10-16-02.pngscreenshot_2025-11-11_10-16-02"/>
                    <pic:cNvPicPr>
                      <a:picLocks noChangeAspect="1"/>
                    </pic:cNvPicPr>
                  </pic:nvPicPr>
                  <pic:blipFill>
                    <a:blip r:embed="rId115"/>
                    <a:srcRect l="7169" r="7169"/>
                    <a:stretch>
                      <a:fillRect/>
                    </a:stretch>
                  </pic:blipFill>
                  <pic:spPr>
                    <a:xfrm>
                      <a:off x="0" y="0"/>
                      <a:ext cx="4632960" cy="2568575"/>
                    </a:xfrm>
                    <a:prstGeom prst="rect">
                      <a:avLst/>
                    </a:prstGeom>
                    <a:ln>
                      <a:solidFill>
                        <a:schemeClr val="tx1"/>
                      </a:solidFill>
                    </a:ln>
                  </pic:spPr>
                </pic:pic>
              </a:graphicData>
            </a:graphic>
          </wp:inline>
        </w:drawing>
      </w:r>
    </w:p>
    <w:p w14:paraId="5493EFA2">
      <w:pPr>
        <w:bidi w:val="0"/>
        <w:rPr>
          <w:rFonts w:hint="eastAsia"/>
          <w:color w:val="auto"/>
          <w:lang w:eastAsia="zh-CN"/>
        </w:rPr>
      </w:pPr>
      <w:r>
        <w:rPr>
          <w:rFonts w:hint="eastAsia"/>
          <w:color w:val="auto"/>
        </w:rPr>
        <w:t>能源仪表抄表记录</w:t>
      </w:r>
      <w:r>
        <w:rPr>
          <w:rFonts w:hint="eastAsia"/>
          <w:color w:val="auto"/>
          <w:lang w:eastAsia="zh-CN"/>
        </w:rPr>
        <w:t>：在完成采集配置后，此功能负责执行持续的数据采集任务。系统会按照预设的频率，自动从每块仪表读取当前的表码读数（即累计用量），并形成一条条历史记录。这些记录构成了最原始、最基础的能源消耗数据库。其重点在于按时间序列完整记录每一块仪表的读数变化，为后续所有的统计、分析和结算提供不可篡改的数据溯源依据。</w:t>
      </w:r>
    </w:p>
    <w:p w14:paraId="1386E61F">
      <w:pPr>
        <w:pStyle w:val="42"/>
        <w:wordWrap/>
        <w:overflowPunct/>
        <w:topLinePunct w:val="0"/>
        <w:bidi w:val="0"/>
        <w:snapToGrid w:val="0"/>
        <w:spacing w:beforeAutospacing="0" w:afterAutospacing="0" w:line="360" w:lineRule="auto"/>
        <w:rPr>
          <w:rFonts w:hint="eastAsia" w:ascii="宋体" w:hAnsi="宋体" w:eastAsia="宋体"/>
          <w:b w:val="0"/>
          <w:bCs w:val="0"/>
          <w:color w:val="auto"/>
          <w:szCs w:val="21"/>
          <w:lang w:eastAsia="zh-CN"/>
        </w:rPr>
      </w:pPr>
      <w:r>
        <w:rPr>
          <w:color w:val="auto"/>
        </w:rPr>
        <w:drawing>
          <wp:inline distT="0" distB="0" distL="0" distR="0">
            <wp:extent cx="4632960" cy="2568575"/>
            <wp:effectExtent l="9525" t="9525" r="20955" b="12700"/>
            <wp:docPr id="7" name="图片 7" descr="C:/Users/CP/Desktop/新建文件夹/screenshot_2025-11-11_10-38-30.pngscreenshot_2025-11-11_10-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CP/Desktop/新建文件夹/screenshot_2025-11-11_10-38-30.pngscreenshot_2025-11-11_10-38-30"/>
                    <pic:cNvPicPr>
                      <a:picLocks noChangeAspect="1"/>
                    </pic:cNvPicPr>
                  </pic:nvPicPr>
                  <pic:blipFill>
                    <a:blip r:embed="rId116"/>
                    <a:srcRect t="5750" b="5750"/>
                    <a:stretch>
                      <a:fillRect/>
                    </a:stretch>
                  </pic:blipFill>
                  <pic:spPr>
                    <a:xfrm>
                      <a:off x="0" y="0"/>
                      <a:ext cx="4632960" cy="2568575"/>
                    </a:xfrm>
                    <a:prstGeom prst="rect">
                      <a:avLst/>
                    </a:prstGeom>
                    <a:ln>
                      <a:solidFill>
                        <a:schemeClr val="tx1"/>
                      </a:solidFill>
                    </a:ln>
                  </pic:spPr>
                </pic:pic>
              </a:graphicData>
            </a:graphic>
          </wp:inline>
        </w:drawing>
      </w:r>
    </w:p>
    <w:p w14:paraId="705AEB62">
      <w:pPr>
        <w:bidi w:val="0"/>
        <w:rPr>
          <w:rFonts w:hint="eastAsia"/>
          <w:color w:val="auto"/>
          <w:lang w:eastAsia="zh-CN"/>
        </w:rPr>
      </w:pPr>
      <w:r>
        <w:rPr>
          <w:rFonts w:hint="eastAsia"/>
          <w:color w:val="auto"/>
        </w:rPr>
        <w:t>能源异常通知配置</w:t>
      </w:r>
      <w:r>
        <w:rPr>
          <w:rFonts w:hint="eastAsia"/>
          <w:color w:val="auto"/>
          <w:lang w:eastAsia="zh-CN"/>
        </w:rPr>
        <w:t>：管理系统不仅在于正常情况下的运行，更在于对异常情况的快速反应能力。此功能允许用户预先设定能源数据异常的告警条件（如通讯失败、用量瞬间飙高或长时间无变化）并指定消息接收人。当系统检测到异常时，会自动通过</w:t>
      </w:r>
      <w:r>
        <w:rPr>
          <w:rFonts w:hint="eastAsia"/>
          <w:color w:val="auto"/>
          <w:lang w:val="en-US" w:eastAsia="zh-CN"/>
        </w:rPr>
        <w:t>系统消息</w:t>
      </w:r>
      <w:r>
        <w:rPr>
          <w:rFonts w:hint="eastAsia"/>
          <w:color w:val="auto"/>
          <w:lang w:eastAsia="zh-CN"/>
        </w:rPr>
        <w:t>推送、短信或邮件等方式通知相关人员，从而将传统的“被动发现问题”转变为“主动预警通知”，极大提升了运维效率，减少了因仪表故障或管线泄漏导致的能源浪费。</w:t>
      </w:r>
    </w:p>
    <w:p w14:paraId="5C3C2001">
      <w:pPr>
        <w:bidi w:val="0"/>
        <w:rPr>
          <w:rFonts w:hint="eastAsia"/>
          <w:color w:val="auto"/>
          <w:lang w:eastAsia="zh-CN"/>
        </w:rPr>
      </w:pPr>
      <w:r>
        <w:rPr>
          <w:rFonts w:hint="eastAsia"/>
          <w:color w:val="auto"/>
          <w:lang w:eastAsia="zh-CN"/>
        </w:rPr>
        <w:t>能源仪表层级配置：此功能是实现能源数据“空间维度”精细化管理的核心。企业内的仪表通常安装在不同的物理位置和组织层级下，例如：某块电表可能属于“A生产基地-&gt;一号车间-&gt;生产线B-&gt;某台核心设备”。通过此功能，用户可以将分散的仪表按照企业的实际组织架构或物理位置进行逻辑上的归组。这一配置的直接价值在于，后续的统计报表可以轻松地实现逐级汇总，管理者不仅可以查看全厂的总能耗，还可以下钻到某个具体车间、某条生产线的能耗，为能耗考核和节能诊断提供了精准的数据支撑。</w:t>
      </w:r>
    </w:p>
    <w:p w14:paraId="0AD49A2D">
      <w:pPr>
        <w:pStyle w:val="42"/>
        <w:wordWrap/>
        <w:overflowPunct/>
        <w:topLinePunct w:val="0"/>
        <w:bidi w:val="0"/>
        <w:snapToGrid w:val="0"/>
        <w:spacing w:beforeAutospacing="0" w:afterAutospacing="0" w:line="360" w:lineRule="auto"/>
        <w:rPr>
          <w:rFonts w:hint="eastAsia" w:ascii="宋体" w:hAnsi="宋体" w:eastAsia="宋体"/>
          <w:b w:val="0"/>
          <w:bCs w:val="0"/>
          <w:color w:val="auto"/>
          <w:szCs w:val="21"/>
          <w:lang w:eastAsia="zh-CN"/>
        </w:rPr>
      </w:pPr>
      <w:r>
        <w:rPr>
          <w:color w:val="auto"/>
        </w:rPr>
        <w:drawing>
          <wp:inline distT="0" distB="0" distL="0" distR="0">
            <wp:extent cx="4632960" cy="2568575"/>
            <wp:effectExtent l="9525" t="9525" r="20955" b="12700"/>
            <wp:docPr id="3" name="图片 3" descr="C:/Users/CP/Desktop/新建文件夹/screenshot_2025-11-11_10-29-13.pngscreenshot_2025-11-11_10-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P/Desktop/新建文件夹/screenshot_2025-11-11_10-29-13.pngscreenshot_2025-11-11_10-29-13"/>
                    <pic:cNvPicPr>
                      <a:picLocks noChangeAspect="1"/>
                    </pic:cNvPicPr>
                  </pic:nvPicPr>
                  <pic:blipFill>
                    <a:blip r:embed="rId117"/>
                    <a:srcRect l="10803" r="10803"/>
                    <a:stretch>
                      <a:fillRect/>
                    </a:stretch>
                  </pic:blipFill>
                  <pic:spPr>
                    <a:xfrm>
                      <a:off x="0" y="0"/>
                      <a:ext cx="4632960" cy="2568575"/>
                    </a:xfrm>
                    <a:prstGeom prst="rect">
                      <a:avLst/>
                    </a:prstGeom>
                    <a:ln>
                      <a:solidFill>
                        <a:schemeClr val="tx1"/>
                      </a:solidFill>
                    </a:ln>
                  </pic:spPr>
                </pic:pic>
              </a:graphicData>
            </a:graphic>
          </wp:inline>
        </w:drawing>
      </w:r>
    </w:p>
    <w:p w14:paraId="2EBB2996">
      <w:pPr>
        <w:pStyle w:val="35"/>
        <w:bidi w:val="0"/>
        <w:rPr>
          <w:rFonts w:hint="eastAsia"/>
        </w:rPr>
      </w:pPr>
      <w:r>
        <w:rPr>
          <w:rFonts w:hint="eastAsia"/>
        </w:rPr>
        <w:t>基础周期统计报表</w:t>
      </w:r>
    </w:p>
    <w:p w14:paraId="7B3D7DF0">
      <w:pPr>
        <w:bidi w:val="0"/>
        <w:rPr>
          <w:rFonts w:hint="eastAsia"/>
          <w:color w:val="auto"/>
        </w:rPr>
      </w:pPr>
      <w:r>
        <w:rPr>
          <w:rFonts w:hint="eastAsia"/>
          <w:color w:val="auto"/>
        </w:rPr>
        <w:t>能耗日报表：提供每日的能耗快照。系统会计算每块仪表在一天内的起始表码、结束表码以及二者的差值（即日用量）。这份报表是日常能耗监控的基础，有助于发现突发的用量变化。</w:t>
      </w:r>
    </w:p>
    <w:p w14:paraId="47204E80">
      <w:pPr>
        <w:bidi w:val="0"/>
        <w:rPr>
          <w:rFonts w:hint="eastAsia"/>
          <w:color w:val="auto"/>
        </w:rPr>
      </w:pPr>
      <w:r>
        <w:rPr>
          <w:rFonts w:hint="eastAsia"/>
          <w:color w:val="auto"/>
        </w:rPr>
        <w:t>能耗周期统计：提供极高的时间灵活性。用户可以根据管理需要，自定义任意时间段（如一次生产任务周期、一个财务周或一个特定活动期间），系统会统计出该时间段内各仪表的用量。此功能尤其适用于非标准周期的能耗分析和成本核算。</w:t>
      </w:r>
    </w:p>
    <w:p w14:paraId="47EB9530">
      <w:pPr>
        <w:bidi w:val="0"/>
        <w:rPr>
          <w:rFonts w:hint="eastAsia"/>
          <w:color w:val="auto"/>
        </w:rPr>
      </w:pPr>
      <w:r>
        <w:rPr>
          <w:rFonts w:hint="eastAsia"/>
          <w:color w:val="auto"/>
        </w:rPr>
        <w:t>能耗班次统计：针对实行多班制生产的企业设计。通过将能耗数据与生产班次时间表关联，自动统计出每个班次的能耗量。这对于推行班组能耗考核、开展班组节能竞赛至关重要，能将节能责任落实到具体的生产单元。</w:t>
      </w:r>
    </w:p>
    <w:p w14:paraId="61206762">
      <w:pPr>
        <w:bidi w:val="0"/>
        <w:rPr>
          <w:rFonts w:hint="eastAsia"/>
          <w:color w:val="auto"/>
        </w:rPr>
      </w:pPr>
      <w:r>
        <w:rPr>
          <w:rFonts w:hint="eastAsia"/>
          <w:color w:val="auto"/>
        </w:rPr>
        <w:t>仪表月报表：用于月度能源核算与分析的标准化报表。它汇总了每个仪表在一个自然月内的总用量，是进行月度能耗趋势分析、制定下月能源预算的基础。</w:t>
      </w:r>
    </w:p>
    <w:p w14:paraId="4E39318B">
      <w:pPr>
        <w:pStyle w:val="35"/>
        <w:bidi w:val="0"/>
        <w:rPr>
          <w:rFonts w:hint="eastAsia"/>
        </w:rPr>
      </w:pPr>
      <w:r>
        <w:rPr>
          <w:rFonts w:hint="eastAsia"/>
          <w:lang w:val="en-US" w:eastAsia="zh-CN"/>
        </w:rPr>
        <w:t>表层级配置</w:t>
      </w:r>
    </w:p>
    <w:p w14:paraId="64EC46DE">
      <w:pPr>
        <w:bidi w:val="0"/>
        <w:rPr>
          <w:rFonts w:hint="eastAsia"/>
          <w:color w:val="auto"/>
        </w:rPr>
      </w:pPr>
      <w:r>
        <w:rPr>
          <w:rFonts w:hint="eastAsia"/>
          <w:color w:val="auto"/>
          <w:lang w:val="en-US" w:eastAsia="zh-CN"/>
        </w:rPr>
        <w:t>能源计量仪表的 “结构化管理中枢” 功能。它允许管理员对水表、电表、蒸汽表、燃气表等各类能源计量仪表，按物理场景（如厂房、车间、办公室等）进行层级化分组管理。</w:t>
      </w:r>
    </w:p>
    <w:p w14:paraId="63CBC20C">
      <w:pPr>
        <w:bidi w:val="0"/>
        <w:rPr>
          <w:rFonts w:hint="eastAsia"/>
          <w:color w:val="auto"/>
        </w:rPr>
      </w:pPr>
      <w:r>
        <w:rPr>
          <w:rFonts w:hint="eastAsia"/>
          <w:color w:val="auto"/>
          <w:lang w:val="en-US" w:eastAsia="zh-CN"/>
        </w:rPr>
        <w:t>配置内容通常包括创建 “区域表”“位置仪表” 等层级类型的分组，维护分组名称、关联生产车间与产线信息，并支持对分组进行新增、编辑、删除及子分组扩展等操作。</w:t>
      </w:r>
    </w:p>
    <w:p w14:paraId="22769A18">
      <w:pPr>
        <w:bidi w:val="0"/>
        <w:rPr>
          <w:rFonts w:hint="eastAsia"/>
          <w:color w:val="auto"/>
          <w:lang w:val="en-US" w:eastAsia="zh-CN"/>
        </w:rPr>
      </w:pPr>
      <w:r>
        <w:rPr>
          <w:rFonts w:hint="eastAsia"/>
          <w:color w:val="auto"/>
          <w:lang w:val="en-US" w:eastAsia="zh-CN"/>
        </w:rPr>
        <w:t>此功能的成功配置是建立清晰仪表资产台账的基础，为后续数据采集、能源统计分析与精准核算提供了结构化支撑，是提升能源管理精细化水平的重要一步。</w:t>
      </w:r>
    </w:p>
    <w:p w14:paraId="5E28B6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auto"/>
          <w:lang w:val="en-US" w:eastAsia="zh-CN"/>
        </w:rPr>
      </w:pPr>
      <w:r>
        <w:drawing>
          <wp:inline distT="0" distB="0" distL="114300" distR="114300">
            <wp:extent cx="5259070" cy="2377440"/>
            <wp:effectExtent l="9525" t="9525" r="27305" b="1333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118"/>
                    <a:stretch>
                      <a:fillRect/>
                    </a:stretch>
                  </pic:blipFill>
                  <pic:spPr>
                    <a:xfrm>
                      <a:off x="0" y="0"/>
                      <a:ext cx="5259070" cy="2377440"/>
                    </a:xfrm>
                    <a:prstGeom prst="rect">
                      <a:avLst/>
                    </a:prstGeom>
                    <a:ln>
                      <a:solidFill>
                        <a:schemeClr val="tx1"/>
                      </a:solidFill>
                    </a:ln>
                  </pic:spPr>
                </pic:pic>
              </a:graphicData>
            </a:graphic>
          </wp:inline>
        </w:drawing>
      </w:r>
    </w:p>
    <w:p w14:paraId="75AF1A6C">
      <w:pPr>
        <w:pStyle w:val="35"/>
        <w:bidi w:val="0"/>
        <w:rPr>
          <w:rFonts w:hint="eastAsia"/>
        </w:rPr>
      </w:pPr>
      <w:r>
        <w:rPr>
          <w:rFonts w:hint="eastAsia"/>
          <w:lang w:val="en-US" w:eastAsia="zh-CN"/>
        </w:rPr>
        <w:t>水表抄表明细</w:t>
      </w:r>
    </w:p>
    <w:p w14:paraId="4F597C87">
      <w:pPr>
        <w:bidi w:val="0"/>
        <w:rPr>
          <w:rFonts w:hint="eastAsia"/>
          <w:color w:val="auto"/>
          <w:lang w:val="en-US" w:eastAsia="zh-CN"/>
        </w:rPr>
      </w:pPr>
      <w:r>
        <w:rPr>
          <w:rFonts w:hint="eastAsia"/>
          <w:color w:val="auto"/>
          <w:lang w:val="en-US" w:eastAsia="zh-CN"/>
        </w:rPr>
        <w:t>水表抄表明细：能源数据采集与追溯的 “可视化窗口” 功能。它支持管理员按层级分组、采集时间、采集表名等维度，精准查询水表的自动抄表数据。</w:t>
      </w:r>
    </w:p>
    <w:p w14:paraId="4BA817F8">
      <w:pPr>
        <w:bidi w:val="0"/>
        <w:rPr>
          <w:rFonts w:hint="eastAsia"/>
          <w:color w:val="auto"/>
          <w:lang w:val="en-US" w:eastAsia="zh-CN"/>
        </w:rPr>
      </w:pPr>
      <w:r>
        <w:rPr>
          <w:rFonts w:hint="eastAsia"/>
          <w:color w:val="auto"/>
          <w:lang w:val="en-US" w:eastAsia="zh-CN"/>
        </w:rPr>
        <w:t>呈现内容包括采集时间、表码数、正向累积量等核心计量数据，部分条目还附带仪表读数照片，同时支持对表码数进行编辑修正。</w:t>
      </w:r>
    </w:p>
    <w:p w14:paraId="6CBD5E02">
      <w:pPr>
        <w:bidi w:val="0"/>
        <w:rPr>
          <w:rFonts w:hint="eastAsia"/>
          <w:color w:val="auto"/>
        </w:rPr>
      </w:pPr>
      <w:r>
        <w:rPr>
          <w:rFonts w:hint="eastAsia"/>
          <w:color w:val="auto"/>
          <w:lang w:val="en-US" w:eastAsia="zh-CN"/>
        </w:rPr>
        <w:t>此功能是验证仪表采集准确性、排查数据异常、生成用水台账的核心支撑，为后续的能源成本核算与用水效率分析提供了真实可靠的数据依据。</w:t>
      </w:r>
    </w:p>
    <w:p w14:paraId="7FB734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auto"/>
          <w:lang w:val="en-US" w:eastAsia="zh-CN"/>
        </w:rPr>
      </w:pPr>
      <w:r>
        <w:drawing>
          <wp:inline distT="0" distB="0" distL="114300" distR="114300">
            <wp:extent cx="5271135" cy="2387600"/>
            <wp:effectExtent l="9525" t="9525" r="15240" b="2222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119"/>
                    <a:stretch>
                      <a:fillRect/>
                    </a:stretch>
                  </pic:blipFill>
                  <pic:spPr>
                    <a:xfrm>
                      <a:off x="0" y="0"/>
                      <a:ext cx="5271135" cy="2387600"/>
                    </a:xfrm>
                    <a:prstGeom prst="rect">
                      <a:avLst/>
                    </a:prstGeom>
                    <a:ln>
                      <a:solidFill>
                        <a:schemeClr val="tx1"/>
                      </a:solidFill>
                    </a:ln>
                  </pic:spPr>
                </pic:pic>
              </a:graphicData>
            </a:graphic>
          </wp:inline>
        </w:drawing>
      </w:r>
    </w:p>
    <w:p w14:paraId="6EA8B35A">
      <w:pPr>
        <w:bidi w:val="0"/>
        <w:rPr>
          <w:rFonts w:hint="eastAsia"/>
          <w:color w:val="auto"/>
        </w:rPr>
      </w:pPr>
    </w:p>
    <w:p w14:paraId="131BCE13">
      <w:pPr>
        <w:pStyle w:val="35"/>
        <w:bidi w:val="0"/>
        <w:rPr>
          <w:rFonts w:hint="eastAsia"/>
        </w:rPr>
      </w:pPr>
      <w:r>
        <w:rPr>
          <w:rFonts w:hint="eastAsia"/>
          <w:lang w:val="en-US" w:eastAsia="zh-CN"/>
        </w:rPr>
        <w:t>能源用量补录</w:t>
      </w:r>
    </w:p>
    <w:p w14:paraId="56A73515">
      <w:pPr>
        <w:bidi w:val="0"/>
        <w:rPr>
          <w:rFonts w:hint="eastAsia"/>
          <w:color w:val="auto"/>
          <w:lang w:val="en-US" w:eastAsia="zh-CN"/>
        </w:rPr>
      </w:pPr>
      <w:r>
        <w:rPr>
          <w:rFonts w:hint="eastAsia"/>
          <w:color w:val="auto"/>
          <w:lang w:val="en-US" w:eastAsia="zh-CN"/>
        </w:rPr>
        <w:t>保障能源计量数据完整性的 “补录审批中枢” 功能。它允许管理员对因系统采集故障等原因导致缺失的仪表数据补录单据进行全流程管理，支持按单据编号、仪表类型、采集日期等维度精准筛选，可执行新增补录单、批量审批通过 / 驳回等操作。</w:t>
      </w:r>
    </w:p>
    <w:p w14:paraId="24696D88">
      <w:pPr>
        <w:bidi w:val="0"/>
        <w:rPr>
          <w:rFonts w:hint="eastAsia"/>
          <w:color w:val="auto"/>
          <w:lang w:val="en-US" w:eastAsia="zh-CN"/>
        </w:rPr>
      </w:pPr>
      <w:r>
        <w:rPr>
          <w:rFonts w:hint="eastAsia"/>
          <w:color w:val="auto"/>
          <w:lang w:val="en-US" w:eastAsia="zh-CN"/>
        </w:rPr>
        <w:t>呈现内容包括补录单据的状态、仪表信息、采集时间、表码数、补录原因等核心信息，确保每一条补录数据都可追溯、可验证。</w:t>
      </w:r>
    </w:p>
    <w:p w14:paraId="57830040">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266055" cy="2328545"/>
            <wp:effectExtent l="9525" t="9525" r="20320" b="24130"/>
            <wp:docPr id="55" name="图片 55" descr="Snipaste_2026-02-03_18-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nipaste_2026-02-03_18-31-40"/>
                    <pic:cNvPicPr>
                      <a:picLocks noChangeAspect="1"/>
                    </pic:cNvPicPr>
                  </pic:nvPicPr>
                  <pic:blipFill>
                    <a:blip r:embed="rId120"/>
                    <a:stretch>
                      <a:fillRect/>
                    </a:stretch>
                  </pic:blipFill>
                  <pic:spPr>
                    <a:xfrm>
                      <a:off x="0" y="0"/>
                      <a:ext cx="5266055" cy="2328545"/>
                    </a:xfrm>
                    <a:prstGeom prst="rect">
                      <a:avLst/>
                    </a:prstGeom>
                    <a:ln>
                      <a:solidFill>
                        <a:schemeClr val="tx1"/>
                      </a:solidFill>
                    </a:ln>
                  </pic:spPr>
                </pic:pic>
              </a:graphicData>
            </a:graphic>
          </wp:inline>
        </w:drawing>
      </w:r>
    </w:p>
    <w:p w14:paraId="36E97BB0">
      <w:pPr>
        <w:pStyle w:val="35"/>
        <w:bidi w:val="0"/>
        <w:rPr>
          <w:rFonts w:hint="eastAsia"/>
        </w:rPr>
      </w:pPr>
      <w:r>
        <w:rPr>
          <w:rFonts w:hint="eastAsia"/>
          <w:lang w:val="en-US" w:eastAsia="zh-CN"/>
        </w:rPr>
        <w:t>基地能源用量数据</w:t>
      </w:r>
    </w:p>
    <w:p w14:paraId="1EAD63A5">
      <w:pPr>
        <w:bidi w:val="0"/>
        <w:rPr>
          <w:rFonts w:hint="eastAsia"/>
          <w:color w:val="auto"/>
          <w:lang w:val="en-US" w:eastAsia="zh-CN"/>
        </w:rPr>
      </w:pPr>
      <w:r>
        <w:rPr>
          <w:rFonts w:hint="eastAsia"/>
          <w:color w:val="auto"/>
          <w:lang w:val="en-US" w:eastAsia="zh-CN"/>
        </w:rPr>
        <w:t>能源计量数据的 “自动化统计与校验中枢” 功能。它支持管理员对电、水、蒸汽、燃气等各类能源仪表数据，按统计日期、统计状态、统计周期、采集表名等维度进行精准筛选与多周期（班次 / 每日等）自动统计。</w:t>
      </w:r>
    </w:p>
    <w:p w14:paraId="5A358818">
      <w:pPr>
        <w:bidi w:val="0"/>
        <w:rPr>
          <w:rFonts w:hint="eastAsia"/>
          <w:color w:val="auto"/>
          <w:lang w:val="en-US" w:eastAsia="zh-CN"/>
        </w:rPr>
      </w:pPr>
      <w:r>
        <w:rPr>
          <w:rFonts w:hint="eastAsia"/>
          <w:color w:val="auto"/>
          <w:lang w:val="en-US" w:eastAsia="zh-CN"/>
        </w:rPr>
        <w:t>功能操作包括手动触发统计任务、设定总用量仪表基准、导出统计数据，并支持对已完成的统计结果进行反审校验。呈现内容涵盖倍率、起止读数、正向 / 反向用量等核心统计指标，确保数据可追溯、可验证。</w:t>
      </w:r>
    </w:p>
    <w:p w14:paraId="69E64DB3">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260340" cy="2269490"/>
            <wp:effectExtent l="9525" t="9525" r="26035" b="26035"/>
            <wp:docPr id="53" name="图片 53" descr="Snipaste_2026-02-03_18-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nipaste_2026-02-03_18-30-18"/>
                    <pic:cNvPicPr>
                      <a:picLocks noChangeAspect="1"/>
                    </pic:cNvPicPr>
                  </pic:nvPicPr>
                  <pic:blipFill>
                    <a:blip r:embed="rId121"/>
                    <a:stretch>
                      <a:fillRect/>
                    </a:stretch>
                  </pic:blipFill>
                  <pic:spPr>
                    <a:xfrm>
                      <a:off x="0" y="0"/>
                      <a:ext cx="5260340" cy="2269490"/>
                    </a:xfrm>
                    <a:prstGeom prst="rect">
                      <a:avLst/>
                    </a:prstGeom>
                    <a:ln>
                      <a:solidFill>
                        <a:schemeClr val="tx1"/>
                      </a:solidFill>
                    </a:ln>
                  </pic:spPr>
                </pic:pic>
              </a:graphicData>
            </a:graphic>
          </wp:inline>
        </w:drawing>
      </w:r>
    </w:p>
    <w:p w14:paraId="297D8874">
      <w:pPr>
        <w:pStyle w:val="35"/>
        <w:bidi w:val="0"/>
        <w:rPr>
          <w:rFonts w:hint="eastAsia"/>
        </w:rPr>
      </w:pPr>
      <w:r>
        <w:rPr>
          <w:rFonts w:hint="eastAsia"/>
          <w:lang w:val="en-US" w:eastAsia="zh-CN"/>
        </w:rPr>
        <w:t>碳排放银子库</w:t>
      </w:r>
    </w:p>
    <w:p w14:paraId="36C19F07">
      <w:pPr>
        <w:bidi w:val="0"/>
        <w:rPr>
          <w:rFonts w:hint="eastAsia"/>
          <w:color w:val="auto"/>
          <w:lang w:val="en-US" w:eastAsia="zh-CN"/>
        </w:rPr>
      </w:pPr>
      <w:r>
        <w:rPr>
          <w:rFonts w:hint="eastAsia"/>
          <w:color w:val="auto"/>
          <w:lang w:val="en-US" w:eastAsia="zh-CN"/>
        </w:rPr>
        <w:t>能源碳排放核算的 “基础参数配置中枢” 功能。它允许管理员对不同能源类型（如电力）对应的碳排放因子进行标准化管理，支持按因子名称、规格、所属仪表等维度精准查询。</w:t>
      </w:r>
    </w:p>
    <w:p w14:paraId="13C475ED">
      <w:pPr>
        <w:bidi w:val="0"/>
        <w:rPr>
          <w:rFonts w:hint="eastAsia"/>
          <w:color w:val="auto"/>
          <w:lang w:val="en-US" w:eastAsia="zh-CN"/>
        </w:rPr>
      </w:pPr>
      <w:r>
        <w:rPr>
          <w:rFonts w:hint="eastAsia"/>
          <w:color w:val="auto"/>
          <w:lang w:val="en-US" w:eastAsia="zh-CN"/>
        </w:rPr>
        <w:t>配置内容包括维护因子名称、因子规格、二氧化碳当量、因子单位及所属仪表等核心参数，并支持新增、编辑、删除等全生命周期操作。</w:t>
      </w:r>
    </w:p>
    <w:p w14:paraId="1821DFC5">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261610" cy="1654810"/>
            <wp:effectExtent l="9525" t="9525" r="24765" b="12065"/>
            <wp:docPr id="57" name="图片 57" descr="Snipaste_2026-02-03_18-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nipaste_2026-02-03_18-34-15"/>
                    <pic:cNvPicPr>
                      <a:picLocks noChangeAspect="1"/>
                    </pic:cNvPicPr>
                  </pic:nvPicPr>
                  <pic:blipFill>
                    <a:blip r:embed="rId122"/>
                    <a:stretch>
                      <a:fillRect/>
                    </a:stretch>
                  </pic:blipFill>
                  <pic:spPr>
                    <a:xfrm>
                      <a:off x="0" y="0"/>
                      <a:ext cx="5261610" cy="1654810"/>
                    </a:xfrm>
                    <a:prstGeom prst="rect">
                      <a:avLst/>
                    </a:prstGeom>
                    <a:ln>
                      <a:solidFill>
                        <a:schemeClr val="tx1"/>
                      </a:solidFill>
                    </a:ln>
                  </pic:spPr>
                </pic:pic>
              </a:graphicData>
            </a:graphic>
          </wp:inline>
        </w:drawing>
      </w:r>
    </w:p>
    <w:p w14:paraId="74096B09">
      <w:pPr>
        <w:pStyle w:val="35"/>
        <w:bidi w:val="0"/>
        <w:rPr>
          <w:rFonts w:hint="eastAsia"/>
        </w:rPr>
      </w:pPr>
      <w:r>
        <w:rPr>
          <w:rFonts w:hint="eastAsia"/>
          <w:lang w:val="en-US" w:eastAsia="zh-CN"/>
        </w:rPr>
        <w:t>能源异常消息通知中心</w:t>
      </w:r>
    </w:p>
    <w:p w14:paraId="48C59D2A">
      <w:pPr>
        <w:bidi w:val="0"/>
        <w:rPr>
          <w:rFonts w:hint="eastAsia"/>
          <w:color w:val="auto"/>
          <w:lang w:val="en-US" w:eastAsia="zh-CN"/>
        </w:rPr>
      </w:pPr>
      <w:r>
        <w:rPr>
          <w:rFonts w:hint="eastAsia"/>
          <w:color w:val="auto"/>
          <w:lang w:val="en-US" w:eastAsia="zh-CN"/>
        </w:rPr>
        <w:t>能源计量系统的 “故障预警与处置窗口” 功能。它支持对电、水、蒸汽、燃气等各类仪表的运行状态进行实时监测，当出现仪表连接异常等故障时，自动触发告警通知。</w:t>
      </w:r>
    </w:p>
    <w:p w14:paraId="6F31775D">
      <w:pPr>
        <w:bidi w:val="0"/>
        <w:rPr>
          <w:rFonts w:hint="eastAsia"/>
          <w:color w:val="auto"/>
          <w:lang w:val="en-US" w:eastAsia="zh-CN"/>
        </w:rPr>
      </w:pPr>
      <w:r>
        <w:rPr>
          <w:rFonts w:hint="eastAsia"/>
          <w:color w:val="auto"/>
          <w:lang w:val="en-US" w:eastAsia="zh-CN"/>
        </w:rPr>
        <w:t>通知内容包含异常发生时间、异常类型、仪表名称、所属分组及最近采集时间等关键信息，并提供 “前往查看” 的快速处置入口，便于运维人员及时定位并处理问题。</w:t>
      </w:r>
    </w:p>
    <w:p w14:paraId="3ADC95F0">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260340" cy="2269490"/>
            <wp:effectExtent l="9525" t="9525" r="26035" b="26035"/>
            <wp:docPr id="60" name="图片 60" descr="Snipaste_2026-02-03_18-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nipaste_2026-02-03_18-30-18"/>
                    <pic:cNvPicPr>
                      <a:picLocks noChangeAspect="1"/>
                    </pic:cNvPicPr>
                  </pic:nvPicPr>
                  <pic:blipFill>
                    <a:blip r:embed="rId121"/>
                    <a:stretch>
                      <a:fillRect/>
                    </a:stretch>
                  </pic:blipFill>
                  <pic:spPr>
                    <a:xfrm>
                      <a:off x="0" y="0"/>
                      <a:ext cx="5260340" cy="2269490"/>
                    </a:xfrm>
                    <a:prstGeom prst="rect">
                      <a:avLst/>
                    </a:prstGeom>
                    <a:ln>
                      <a:solidFill>
                        <a:schemeClr val="tx1"/>
                      </a:solidFill>
                    </a:ln>
                  </pic:spPr>
                </pic:pic>
              </a:graphicData>
            </a:graphic>
          </wp:inline>
        </w:drawing>
      </w:r>
    </w:p>
    <w:p w14:paraId="1A7F29BE">
      <w:pPr>
        <w:pStyle w:val="35"/>
        <w:bidi w:val="0"/>
        <w:rPr>
          <w:rFonts w:hint="default"/>
          <w:lang w:val="en-US"/>
        </w:rPr>
      </w:pPr>
      <w:r>
        <w:rPr>
          <w:rFonts w:hint="eastAsia"/>
          <w:lang w:val="en-US" w:eastAsia="zh-CN"/>
        </w:rPr>
        <w:t>能源异常通知配置</w:t>
      </w:r>
    </w:p>
    <w:p w14:paraId="4567125D">
      <w:pPr>
        <w:bidi w:val="0"/>
        <w:rPr>
          <w:rFonts w:hint="eastAsia"/>
          <w:color w:val="auto"/>
          <w:lang w:val="en-US" w:eastAsia="zh-CN"/>
        </w:rPr>
      </w:pPr>
      <w:r>
        <w:rPr>
          <w:rFonts w:hint="eastAsia"/>
          <w:color w:val="auto"/>
          <w:lang w:val="en-US" w:eastAsia="zh-CN"/>
        </w:rPr>
        <w:t>能源运维权责的 “精准分配与管理中枢” 功能。它允许管理员为水表、燃气表、电表等各类能源仪表，精准分配对应的抄表负责人，并支持对已配置的负责人信息进行修改调整。</w:t>
      </w:r>
    </w:p>
    <w:p w14:paraId="266E7536">
      <w:pPr>
        <w:bidi w:val="0"/>
        <w:rPr>
          <w:rFonts w:hint="eastAsia"/>
          <w:color w:val="auto"/>
          <w:lang w:val="en-US" w:eastAsia="zh-CN"/>
        </w:rPr>
      </w:pPr>
      <w:r>
        <w:rPr>
          <w:rFonts w:hint="eastAsia"/>
          <w:color w:val="auto"/>
          <w:lang w:val="en-US" w:eastAsia="zh-CN"/>
        </w:rPr>
        <w:t>此功能通过明确不同类型仪表的运维权责，保障了抄表工作的可追溯性与责任到人，是提升能源运维管理规范性、保障数据采集工作有序开展的重要支撑。</w:t>
      </w:r>
    </w:p>
    <w:p w14:paraId="76907E95">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261610" cy="1558925"/>
            <wp:effectExtent l="9525" t="9525" r="24765" b="12700"/>
            <wp:docPr id="61" name="图片 61" descr="Snipaste_2026-02-03_18-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Snipaste_2026-02-03_18-39-20"/>
                    <pic:cNvPicPr>
                      <a:picLocks noChangeAspect="1"/>
                    </pic:cNvPicPr>
                  </pic:nvPicPr>
                  <pic:blipFill>
                    <a:blip r:embed="rId123"/>
                    <a:stretch>
                      <a:fillRect/>
                    </a:stretch>
                  </pic:blipFill>
                  <pic:spPr>
                    <a:xfrm>
                      <a:off x="0" y="0"/>
                      <a:ext cx="5261610" cy="1558925"/>
                    </a:xfrm>
                    <a:prstGeom prst="rect">
                      <a:avLst/>
                    </a:prstGeom>
                    <a:ln>
                      <a:solidFill>
                        <a:schemeClr val="tx1"/>
                      </a:solidFill>
                    </a:ln>
                  </pic:spPr>
                </pic:pic>
              </a:graphicData>
            </a:graphic>
          </wp:inline>
        </w:drawing>
      </w:r>
    </w:p>
    <w:p w14:paraId="66A711FD">
      <w:pPr>
        <w:pStyle w:val="35"/>
        <w:bidi w:val="0"/>
        <w:rPr>
          <w:rFonts w:hint="default"/>
          <w:lang w:val="en-US"/>
        </w:rPr>
      </w:pPr>
      <w:r>
        <w:rPr>
          <w:rFonts w:hint="eastAsia"/>
          <w:lang w:val="en-US" w:eastAsia="zh-CN"/>
        </w:rPr>
        <w:t>能源统计报表-配置方案</w:t>
      </w:r>
    </w:p>
    <w:p w14:paraId="0D7D7E25">
      <w:pPr>
        <w:bidi w:val="0"/>
        <w:rPr>
          <w:rFonts w:hint="eastAsia"/>
          <w:color w:val="auto"/>
          <w:lang w:val="en-US" w:eastAsia="zh-CN"/>
        </w:rPr>
      </w:pPr>
      <w:r>
        <w:rPr>
          <w:rFonts w:hint="eastAsia"/>
          <w:color w:val="auto"/>
          <w:lang w:val="en-US" w:eastAsia="zh-CN"/>
        </w:rPr>
        <w:t>能源数据可视化分析的 “个性化报表配置中枢” 功能。它允许管理员针对电、水、蒸汽、燃气等各类能源仪表，创建与管理多维度的报表统计方案，支持按方案名称、统计维度、统计仪表类型精准筛选。</w:t>
      </w:r>
    </w:p>
    <w:p w14:paraId="23B727E3">
      <w:pPr>
        <w:bidi w:val="0"/>
        <w:rPr>
          <w:rFonts w:hint="eastAsia"/>
          <w:color w:val="auto"/>
          <w:lang w:val="en-US" w:eastAsia="zh-CN"/>
        </w:rPr>
      </w:pPr>
      <w:r>
        <w:rPr>
          <w:rFonts w:hint="eastAsia"/>
          <w:color w:val="auto"/>
          <w:lang w:val="en-US" w:eastAsia="zh-CN"/>
        </w:rPr>
        <w:t>配置内容包括定义报表方案名称、选择统计维度（如按月统计）、关联统计仪表类型，并支持对方案进行新增、编辑、删除等全生命周期操作。</w:t>
      </w:r>
    </w:p>
    <w:p w14:paraId="19348863">
      <w:pPr>
        <w:bidi w:val="0"/>
        <w:spacing w:line="240" w:lineRule="auto"/>
        <w:rPr>
          <w:rFonts w:hint="eastAsia"/>
          <w:color w:val="auto"/>
          <w:lang w:val="en-US" w:eastAsia="zh-CN"/>
        </w:rPr>
      </w:pPr>
    </w:p>
    <w:p w14:paraId="2A793958">
      <w:pPr>
        <w:bidi w:val="0"/>
        <w:spacing w:line="240" w:lineRule="auto"/>
        <w:rPr>
          <w:rFonts w:hint="eastAsia"/>
          <w:color w:val="auto"/>
          <w:lang w:val="en-US" w:eastAsia="zh-CN"/>
        </w:rPr>
      </w:pPr>
      <w:r>
        <w:drawing>
          <wp:inline distT="0" distB="0" distL="114300" distR="114300">
            <wp:extent cx="5271135" cy="1426845"/>
            <wp:effectExtent l="0" t="0" r="5715" b="1905"/>
            <wp:docPr id="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6"/>
                    <pic:cNvPicPr>
                      <a:picLocks noChangeAspect="1"/>
                    </pic:cNvPicPr>
                  </pic:nvPicPr>
                  <pic:blipFill>
                    <a:blip r:embed="rId124"/>
                    <a:stretch>
                      <a:fillRect/>
                    </a:stretch>
                  </pic:blipFill>
                  <pic:spPr>
                    <a:xfrm>
                      <a:off x="0" y="0"/>
                      <a:ext cx="5271135" cy="1426845"/>
                    </a:xfrm>
                    <a:prstGeom prst="rect">
                      <a:avLst/>
                    </a:prstGeom>
                    <a:noFill/>
                    <a:ln>
                      <a:noFill/>
                    </a:ln>
                  </pic:spPr>
                </pic:pic>
              </a:graphicData>
            </a:graphic>
          </wp:inline>
        </w:drawing>
      </w:r>
    </w:p>
    <w:p w14:paraId="79E469F7">
      <w:pPr>
        <w:pStyle w:val="35"/>
        <w:bidi w:val="0"/>
        <w:rPr>
          <w:rFonts w:hint="default"/>
          <w:lang w:val="en-US"/>
        </w:rPr>
      </w:pPr>
      <w:r>
        <w:rPr>
          <w:rFonts w:hint="eastAsia"/>
          <w:lang w:val="en-US" w:eastAsia="zh-CN"/>
        </w:rPr>
        <w:t>能源层级统计报表</w:t>
      </w:r>
    </w:p>
    <w:p w14:paraId="0D006F21">
      <w:pPr>
        <w:bidi w:val="0"/>
        <w:rPr>
          <w:rFonts w:hint="eastAsia"/>
          <w:color w:val="auto"/>
          <w:lang w:val="en-US" w:eastAsia="zh-CN"/>
        </w:rPr>
      </w:pPr>
      <w:r>
        <w:rPr>
          <w:rFonts w:hint="eastAsia"/>
          <w:color w:val="auto"/>
          <w:lang w:val="en-US" w:eastAsia="zh-CN"/>
        </w:rPr>
        <w:t>能源消耗精细化管理的 “层级化数据统计中枢” 功能。它支持管理员对电、水、蒸汽、燃气等各类能源仪表，按能源层级类型、分组名称、抄表日期等维度进行精准筛选，以结构化方式呈现各层级（基地总表、区域表等）的能耗数据，包括采集表名、起止时间、读数、倍率、用电量等核心指标，并支持一键导出数据。</w:t>
      </w:r>
    </w:p>
    <w:p w14:paraId="3984D2C1">
      <w:pPr>
        <w:bidi w:val="0"/>
        <w:rPr>
          <w:rFonts w:hint="default"/>
          <w:color w:val="auto"/>
          <w:lang w:val="en-US" w:eastAsia="zh-CN"/>
        </w:rPr>
      </w:pPr>
      <w:r>
        <w:rPr>
          <w:rFonts w:hint="eastAsia"/>
          <w:color w:val="auto"/>
          <w:lang w:val="en-US" w:eastAsia="zh-CN"/>
        </w:rPr>
        <w:t>此功能是实现能源消耗层级化核算、精准定位高耗环节的核心支撑，为企业能源管理决策提供了清晰、可追溯的多维度数据依据。</w:t>
      </w:r>
    </w:p>
    <w:p w14:paraId="002888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drawing>
          <wp:inline distT="0" distB="0" distL="114300" distR="114300">
            <wp:extent cx="5262245" cy="2039620"/>
            <wp:effectExtent l="0" t="0" r="14605" b="17780"/>
            <wp:docPr id="1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7"/>
                    <pic:cNvPicPr>
                      <a:picLocks noChangeAspect="1"/>
                    </pic:cNvPicPr>
                  </pic:nvPicPr>
                  <pic:blipFill>
                    <a:blip r:embed="rId125"/>
                    <a:stretch>
                      <a:fillRect/>
                    </a:stretch>
                  </pic:blipFill>
                  <pic:spPr>
                    <a:xfrm>
                      <a:off x="0" y="0"/>
                      <a:ext cx="5262245" cy="2039620"/>
                    </a:xfrm>
                    <a:prstGeom prst="rect">
                      <a:avLst/>
                    </a:prstGeom>
                    <a:noFill/>
                    <a:ln>
                      <a:noFill/>
                    </a:ln>
                  </pic:spPr>
                </pic:pic>
              </a:graphicData>
            </a:graphic>
          </wp:inline>
        </w:drawing>
      </w:r>
    </w:p>
    <w:p w14:paraId="7435D7B5">
      <w:pPr>
        <w:pStyle w:val="35"/>
        <w:bidi w:val="0"/>
        <w:rPr>
          <w:rFonts w:hint="default"/>
          <w:lang w:val="en-US"/>
        </w:rPr>
      </w:pPr>
      <w:r>
        <w:rPr>
          <w:rFonts w:hint="eastAsia"/>
          <w:lang w:val="en-US" w:eastAsia="zh-CN"/>
        </w:rPr>
        <w:t>能源日报表</w:t>
      </w:r>
    </w:p>
    <w:p w14:paraId="29515CCA">
      <w:pPr>
        <w:bidi w:val="0"/>
        <w:rPr>
          <w:rFonts w:hint="eastAsia"/>
          <w:color w:val="auto"/>
          <w:lang w:val="en-US" w:eastAsia="zh-CN"/>
        </w:rPr>
      </w:pPr>
      <w:r>
        <w:rPr>
          <w:rFonts w:hint="eastAsia"/>
          <w:color w:val="auto"/>
          <w:lang w:val="en-US" w:eastAsia="zh-CN"/>
        </w:rPr>
        <w:t>能源日耗精准核算与追溯的 “日报表中枢” 功能。它允许管理员对电、水、蒸汽、燃气等各类能源仪表的日度消耗数据进行多维度查询与统计，支持按能源层级类型、抄表日期、采集表名、所属分组等条件精准筛选。</w:t>
      </w:r>
    </w:p>
    <w:p w14:paraId="4265DF2A">
      <w:pPr>
        <w:bidi w:val="0"/>
      </w:pPr>
      <w:r>
        <w:rPr>
          <w:rFonts w:hint="eastAsia"/>
          <w:color w:val="auto"/>
          <w:lang w:val="en-US" w:eastAsia="zh-CN"/>
        </w:rPr>
        <w:t>报表内容以结构化形式呈现，涵盖能源层级类型、所属分组、采集表名、倍率、起止时间、起止读数、正向 / 反向用量等核心指标，并支持一键导出数据</w:t>
      </w:r>
      <w:r>
        <w:rPr>
          <w:rFonts w:hint="eastAsia" w:ascii="宋体" w:hAnsi="宋体" w:eastAsia="宋体" w:cs="宋体"/>
          <w:color w:val="1F2329"/>
          <w:kern w:val="0"/>
          <w:sz w:val="24"/>
          <w:szCs w:val="24"/>
          <w:lang w:val="en-US" w:eastAsia="zh-CN" w:bidi="ar"/>
        </w:rPr>
        <w:t>。</w:t>
      </w:r>
    </w:p>
    <w:p w14:paraId="3A332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drawing>
          <wp:inline distT="0" distB="0" distL="114300" distR="114300">
            <wp:extent cx="5262245" cy="2350770"/>
            <wp:effectExtent l="0" t="0" r="14605" b="11430"/>
            <wp:docPr id="1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8"/>
                    <pic:cNvPicPr>
                      <a:picLocks noChangeAspect="1"/>
                    </pic:cNvPicPr>
                  </pic:nvPicPr>
                  <pic:blipFill>
                    <a:blip r:embed="rId126"/>
                    <a:stretch>
                      <a:fillRect/>
                    </a:stretch>
                  </pic:blipFill>
                  <pic:spPr>
                    <a:xfrm>
                      <a:off x="0" y="0"/>
                      <a:ext cx="5262245" cy="2350770"/>
                    </a:xfrm>
                    <a:prstGeom prst="rect">
                      <a:avLst/>
                    </a:prstGeom>
                    <a:noFill/>
                    <a:ln>
                      <a:noFill/>
                    </a:ln>
                  </pic:spPr>
                </pic:pic>
              </a:graphicData>
            </a:graphic>
          </wp:inline>
        </w:drawing>
      </w:r>
    </w:p>
    <w:p w14:paraId="793FA011">
      <w:pPr>
        <w:pStyle w:val="35"/>
        <w:bidi w:val="0"/>
        <w:rPr>
          <w:rFonts w:hint="default"/>
          <w:lang w:val="en-US"/>
        </w:rPr>
      </w:pPr>
      <w:r>
        <w:rPr>
          <w:rFonts w:hint="eastAsia"/>
          <w:lang w:val="en-US" w:eastAsia="zh-CN"/>
        </w:rPr>
        <w:t>能耗周期统计</w:t>
      </w:r>
    </w:p>
    <w:p w14:paraId="7A9E7489">
      <w:pPr>
        <w:bidi w:val="0"/>
        <w:rPr>
          <w:rFonts w:hint="eastAsia"/>
          <w:color w:val="auto"/>
          <w:lang w:val="en-US" w:eastAsia="zh-CN"/>
        </w:rPr>
      </w:pPr>
      <w:r>
        <w:rPr>
          <w:rFonts w:hint="eastAsia"/>
          <w:color w:val="auto"/>
          <w:lang w:val="en-US" w:eastAsia="zh-CN"/>
        </w:rPr>
        <w:t>能源消耗趋势分析的 “多时段统计中枢” 功能。它允许管理员对电、水、蒸汽、燃气等各类能源仪表，按采集表名、自定义抄表周期、所属分组等维度进行精准筛选与多时段统计。</w:t>
      </w:r>
    </w:p>
    <w:p w14:paraId="09A22C9E">
      <w:pPr>
        <w:bidi w:val="0"/>
        <w:rPr>
          <w:rFonts w:hint="eastAsia"/>
          <w:color w:val="auto"/>
          <w:lang w:val="en-US" w:eastAsia="zh-CN"/>
        </w:rPr>
      </w:pPr>
      <w:r>
        <w:rPr>
          <w:rFonts w:hint="eastAsia"/>
          <w:color w:val="auto"/>
          <w:lang w:val="en-US" w:eastAsia="zh-CN"/>
        </w:rPr>
        <w:t>呈现内容包括所属分组、采集表名、倍率、起止时间、起止读数、正向 / 反向用量等核心指标，并支持一键导出数据。</w:t>
      </w:r>
    </w:p>
    <w:p w14:paraId="13B9CAB8">
      <w:pPr>
        <w:bidi w:val="0"/>
      </w:pPr>
      <w:r>
        <w:rPr>
          <w:rFonts w:hint="eastAsia"/>
          <w:color w:val="auto"/>
          <w:lang w:val="en-US" w:eastAsia="zh-CN"/>
        </w:rPr>
        <w:t>此功能是实现能耗周期化趋势分析、跨时段成本核算及异常用量追溯的关键支撑，为企业能源管理决策提供了多维度、可对比的周期数据依据</w:t>
      </w:r>
      <w:r>
        <w:rPr>
          <w:rFonts w:hint="eastAsia" w:ascii="宋体" w:hAnsi="宋体" w:eastAsia="宋体" w:cs="宋体"/>
          <w:color w:val="1F2329"/>
          <w:kern w:val="0"/>
          <w:sz w:val="24"/>
          <w:szCs w:val="24"/>
          <w:lang w:val="en-US" w:eastAsia="zh-CN" w:bidi="ar"/>
        </w:rPr>
        <w:t>。</w:t>
      </w:r>
    </w:p>
    <w:p w14:paraId="1AAE56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drawing>
          <wp:inline distT="0" distB="0" distL="114300" distR="114300">
            <wp:extent cx="5265420" cy="2324100"/>
            <wp:effectExtent l="0" t="0" r="11430" b="0"/>
            <wp:docPr id="10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9"/>
                    <pic:cNvPicPr>
                      <a:picLocks noChangeAspect="1"/>
                    </pic:cNvPicPr>
                  </pic:nvPicPr>
                  <pic:blipFill>
                    <a:blip r:embed="rId127"/>
                    <a:stretch>
                      <a:fillRect/>
                    </a:stretch>
                  </pic:blipFill>
                  <pic:spPr>
                    <a:xfrm>
                      <a:off x="0" y="0"/>
                      <a:ext cx="5265420" cy="2324100"/>
                    </a:xfrm>
                    <a:prstGeom prst="rect">
                      <a:avLst/>
                    </a:prstGeom>
                    <a:noFill/>
                    <a:ln>
                      <a:noFill/>
                    </a:ln>
                  </pic:spPr>
                </pic:pic>
              </a:graphicData>
            </a:graphic>
          </wp:inline>
        </w:drawing>
      </w:r>
    </w:p>
    <w:p w14:paraId="1DC466C5">
      <w:pPr>
        <w:pStyle w:val="35"/>
        <w:bidi w:val="0"/>
        <w:rPr>
          <w:rFonts w:hint="default"/>
          <w:lang w:val="en-US"/>
        </w:rPr>
      </w:pPr>
      <w:r>
        <w:rPr>
          <w:rFonts w:hint="eastAsia"/>
          <w:lang w:val="en-US" w:eastAsia="zh-CN"/>
        </w:rPr>
        <w:t>能耗班次统计</w:t>
      </w:r>
    </w:p>
    <w:p w14:paraId="3F0ED0CD">
      <w:pPr>
        <w:bidi w:val="0"/>
        <w:rPr>
          <w:rFonts w:hint="eastAsia"/>
          <w:color w:val="auto"/>
          <w:lang w:val="en-US" w:eastAsia="zh-CN"/>
        </w:rPr>
      </w:pPr>
      <w:r>
        <w:rPr>
          <w:rFonts w:hint="eastAsia"/>
          <w:color w:val="auto"/>
          <w:lang w:val="en-US" w:eastAsia="zh-CN"/>
        </w:rPr>
        <w:t>能源消耗精细化管理的 “班次级数据统计中枢” 功能。它允许管理员对电、水、蒸汽、燃气等各类能源仪表，按能源层级类型、采集表名、抄表日期、所属分组等维度进行精准筛选，以结构化方式呈现各层级（基地总表、位置仪表等）在不同班次（夜班、白班等）下的能耗数据，包括倍率、起止读数、正向 / 反向用量等核心指标，并支持一键导出数据。</w:t>
      </w:r>
    </w:p>
    <w:p w14:paraId="1060A9BF">
      <w:pPr>
        <w:bidi w:val="0"/>
        <w:rPr>
          <w:rFonts w:hint="default"/>
          <w:color w:val="auto"/>
          <w:lang w:val="en-US" w:eastAsia="zh-CN"/>
        </w:rPr>
      </w:pPr>
      <w:r>
        <w:rPr>
          <w:rFonts w:hint="eastAsia"/>
          <w:color w:val="auto"/>
          <w:lang w:val="en-US" w:eastAsia="zh-CN"/>
        </w:rPr>
        <w:t>此功能是实现班次级能耗核算、精准定位不同班次高耗环节的关键支撑，为企业排班优化、能耗管控及成本分摊提供了精细化的数据依据。</w:t>
      </w:r>
    </w:p>
    <w:p w14:paraId="2235F8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lang w:val="en-US" w:eastAsia="zh-CN"/>
        </w:rPr>
      </w:pPr>
      <w:r>
        <w:rPr>
          <w:rFonts w:ascii="宋体" w:hAnsi="宋体" w:eastAsia="宋体" w:cs="宋体"/>
          <w:color w:val="1F2329"/>
          <w:kern w:val="0"/>
          <w:sz w:val="24"/>
          <w:szCs w:val="24"/>
          <w:lang w:val="en-US" w:eastAsia="zh-CN" w:bidi="ar"/>
        </w:rPr>
        <w:t>。</w:t>
      </w:r>
    </w:p>
    <w:p w14:paraId="5DF38B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lang w:val="en-US" w:eastAsia="zh-CN"/>
        </w:rPr>
      </w:pPr>
      <w:r>
        <w:drawing>
          <wp:inline distT="0" distB="0" distL="114300" distR="114300">
            <wp:extent cx="5271770" cy="2395855"/>
            <wp:effectExtent l="0" t="0" r="5080" b="4445"/>
            <wp:docPr id="1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0"/>
                    <pic:cNvPicPr>
                      <a:picLocks noChangeAspect="1"/>
                    </pic:cNvPicPr>
                  </pic:nvPicPr>
                  <pic:blipFill>
                    <a:blip r:embed="rId128"/>
                    <a:stretch>
                      <a:fillRect/>
                    </a:stretch>
                  </pic:blipFill>
                  <pic:spPr>
                    <a:xfrm>
                      <a:off x="0" y="0"/>
                      <a:ext cx="5271770" cy="2395855"/>
                    </a:xfrm>
                    <a:prstGeom prst="rect">
                      <a:avLst/>
                    </a:prstGeom>
                    <a:noFill/>
                    <a:ln>
                      <a:noFill/>
                    </a:ln>
                  </pic:spPr>
                </pic:pic>
              </a:graphicData>
            </a:graphic>
          </wp:inline>
        </w:drawing>
      </w:r>
    </w:p>
    <w:p w14:paraId="0EEA4B6C">
      <w:pPr>
        <w:pStyle w:val="35"/>
        <w:bidi w:val="0"/>
        <w:rPr>
          <w:rFonts w:hint="default"/>
          <w:lang w:val="en-US"/>
        </w:rPr>
      </w:pPr>
      <w:r>
        <w:rPr>
          <w:rFonts w:hint="eastAsia"/>
          <w:lang w:val="en-US" w:eastAsia="zh-CN"/>
        </w:rPr>
        <w:t>仪表月报表</w:t>
      </w:r>
    </w:p>
    <w:p w14:paraId="5625EEE9">
      <w:pPr>
        <w:bidi w:val="0"/>
        <w:rPr>
          <w:rFonts w:hint="eastAsia"/>
          <w:color w:val="auto"/>
          <w:lang w:val="en-US" w:eastAsia="zh-CN"/>
        </w:rPr>
      </w:pPr>
      <w:r>
        <w:rPr>
          <w:rFonts w:ascii="宋体" w:hAnsi="宋体" w:eastAsia="宋体" w:cs="宋体"/>
          <w:color w:val="1F2329"/>
          <w:kern w:val="0"/>
          <w:sz w:val="24"/>
          <w:szCs w:val="24"/>
          <w:lang w:val="en-US" w:eastAsia="zh-CN" w:bidi="ar"/>
        </w:rPr>
        <w:t>能</w:t>
      </w:r>
      <w:r>
        <w:rPr>
          <w:rFonts w:hint="eastAsia"/>
          <w:color w:val="auto"/>
          <w:lang w:val="en-US" w:eastAsia="zh-CN"/>
        </w:rPr>
        <w:t>源月度消耗核算与追溯的 “月度统计中枢” 功能。它允许管理员对电、水、蒸汽、燃气等各类能源仪表的月度消耗数据进行精准查询与统计，支持按采集表名、月份等条件筛选。</w:t>
      </w:r>
    </w:p>
    <w:p w14:paraId="03FCC123">
      <w:pPr>
        <w:bidi w:val="0"/>
        <w:rPr>
          <w:rFonts w:hint="eastAsia"/>
          <w:color w:val="auto"/>
          <w:lang w:val="en-US" w:eastAsia="zh-CN"/>
        </w:rPr>
      </w:pPr>
      <w:r>
        <w:rPr>
          <w:rFonts w:hint="eastAsia"/>
          <w:color w:val="auto"/>
          <w:lang w:val="en-US" w:eastAsia="zh-CN"/>
        </w:rPr>
        <w:t>报表以结构化形式呈现，涵盖月份、采集表名、倍率、采集表类型、起止读数、正向 / 反向用量等核心指标，并支持一键导出数据。</w:t>
      </w:r>
    </w:p>
    <w:p w14:paraId="33B115AD">
      <w:pPr>
        <w:bidi w:val="0"/>
        <w:rPr>
          <w:rFonts w:hint="eastAsia"/>
          <w:lang w:val="en-US" w:eastAsia="zh-CN"/>
        </w:rPr>
      </w:pPr>
      <w:r>
        <w:rPr>
          <w:rFonts w:hint="eastAsia"/>
          <w:color w:val="auto"/>
          <w:lang w:val="en-US" w:eastAsia="zh-CN"/>
        </w:rPr>
        <w:t>此功能是实现月度能耗核算、成本分摊、能耗趋势分析的关键支撑，为企业能源管理决策提供了准确、可追溯的月度数据依据</w:t>
      </w:r>
      <w:r>
        <w:rPr>
          <w:rFonts w:ascii="宋体" w:hAnsi="宋体" w:eastAsia="宋体" w:cs="宋体"/>
          <w:color w:val="1F2329"/>
          <w:kern w:val="0"/>
          <w:sz w:val="24"/>
          <w:szCs w:val="24"/>
          <w:lang w:val="en-US" w:eastAsia="zh-CN" w:bidi="ar"/>
        </w:rPr>
        <w:t>。</w:t>
      </w:r>
    </w:p>
    <w:p w14:paraId="3AAD06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drawing>
          <wp:inline distT="0" distB="0" distL="114300" distR="114300">
            <wp:extent cx="5265420" cy="2251710"/>
            <wp:effectExtent l="0" t="0" r="11430" b="15240"/>
            <wp:docPr id="1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pic:cNvPicPr>
                      <a:picLocks noChangeAspect="1"/>
                    </pic:cNvPicPr>
                  </pic:nvPicPr>
                  <pic:blipFill>
                    <a:blip r:embed="rId129"/>
                    <a:stretch>
                      <a:fillRect/>
                    </a:stretch>
                  </pic:blipFill>
                  <pic:spPr>
                    <a:xfrm>
                      <a:off x="0" y="0"/>
                      <a:ext cx="5265420" cy="2251710"/>
                    </a:xfrm>
                    <a:prstGeom prst="rect">
                      <a:avLst/>
                    </a:prstGeom>
                    <a:noFill/>
                    <a:ln>
                      <a:noFill/>
                    </a:ln>
                  </pic:spPr>
                </pic:pic>
              </a:graphicData>
            </a:graphic>
          </wp:inline>
        </w:drawing>
      </w:r>
    </w:p>
    <w:p w14:paraId="7950C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lang w:val="en-US" w:eastAsia="zh-CN"/>
        </w:rPr>
      </w:pPr>
    </w:p>
    <w:p w14:paraId="7F28EC0B">
      <w:pPr>
        <w:pStyle w:val="35"/>
        <w:bidi w:val="0"/>
        <w:rPr>
          <w:rFonts w:hint="eastAsia"/>
          <w:lang w:eastAsia="zh-CN"/>
        </w:rPr>
      </w:pPr>
      <w:r>
        <w:t>高级分析与专项统计报表</w:t>
      </w:r>
      <w:r>
        <w:rPr>
          <w:rFonts w:hint="eastAsia"/>
          <w:color w:val="auto"/>
          <w:lang w:eastAsia="zh-CN"/>
        </w:rPr>
        <w:t>（</w:t>
      </w:r>
      <w:r>
        <w:rPr>
          <w:rFonts w:hint="eastAsia"/>
          <w:color w:val="auto"/>
          <w:lang w:val="en-US" w:eastAsia="zh-CN"/>
        </w:rPr>
        <w:t>定制开发</w:t>
      </w:r>
      <w:r>
        <w:rPr>
          <w:rFonts w:hint="eastAsia"/>
          <w:color w:val="auto"/>
          <w:lang w:eastAsia="zh-CN"/>
        </w:rPr>
        <w:t>）</w:t>
      </w:r>
    </w:p>
    <w:p w14:paraId="4794A4C3">
      <w:pPr>
        <w:bidi w:val="0"/>
        <w:rPr>
          <w:rFonts w:hint="eastAsia"/>
          <w:color w:val="auto"/>
          <w:lang w:val="en-US" w:eastAsia="zh-CN"/>
        </w:rPr>
      </w:pPr>
      <w:r>
        <w:rPr>
          <w:rFonts w:hint="eastAsia"/>
          <w:color w:val="auto"/>
          <w:lang w:val="en-US" w:eastAsia="zh-CN"/>
        </w:rPr>
        <w:t>能源层级统计报表：这是“能源仪表层级配置”功能的直接输出体现。报表能够根据预设的层级结构，自动从设备-&gt;产线-&gt;车间-&gt;基地逐级向上汇总能耗数据。管理者可以清晰地看到能源在组织内的消耗路径和重点耗能环节，是实现精细化能耗管控的核心分析工具。</w:t>
      </w:r>
    </w:p>
    <w:p w14:paraId="70D872F2">
      <w:pPr>
        <w:bidi w:val="0"/>
        <w:rPr>
          <w:rFonts w:hint="eastAsia"/>
          <w:color w:val="auto"/>
          <w:lang w:val="en-US" w:eastAsia="zh-CN"/>
        </w:rPr>
      </w:pPr>
      <w:r>
        <w:rPr>
          <w:rFonts w:hint="eastAsia"/>
          <w:color w:val="auto"/>
          <w:lang w:val="en-US" w:eastAsia="zh-CN"/>
        </w:rPr>
        <w:t>能源计量月度评价报表：此功能通常用于生成面向管理层的、格式规范的月度能源管理总结报告。它自动汇总基地所有计量仪表的当月数据，并进行必要的计算和对比，形成一份可用于内部汇报或合规性审查的综合性评价文档。</w:t>
      </w:r>
    </w:p>
    <w:p w14:paraId="150EA872">
      <w:pPr>
        <w:bidi w:val="0"/>
        <w:rPr>
          <w:rFonts w:hint="eastAsia"/>
          <w:color w:val="auto"/>
          <w:lang w:val="en-US" w:eastAsia="zh-CN"/>
        </w:rPr>
      </w:pPr>
      <w:r>
        <w:rPr>
          <w:rFonts w:hint="eastAsia"/>
          <w:color w:val="auto"/>
          <w:lang w:val="en-US" w:eastAsia="zh-CN"/>
        </w:rPr>
        <w:t>电力专项统计分析：电力作为最重要的能源形式，系统提供了更深度的分析功能。</w:t>
      </w:r>
    </w:p>
    <w:p w14:paraId="71BB7C42">
      <w:pPr>
        <w:bidi w:val="0"/>
        <w:rPr>
          <w:rFonts w:hint="eastAsia"/>
          <w:color w:val="auto"/>
          <w:lang w:eastAsia="zh-CN"/>
        </w:rPr>
      </w:pPr>
      <w:r>
        <w:rPr>
          <w:rFonts w:hint="eastAsia"/>
          <w:color w:val="auto"/>
          <w:lang w:eastAsia="zh-CN"/>
        </w:rPr>
        <w:t>电表尖峰平谷数据统计：此功能按电价最高的“尖峰”、“高峰”时段和电价较低的“平段”、“谷段”分别统计用电量。其重点在于为需求侧响应和节约电费提供数据依据，帮助企业优化用电行为，实施“削峰填谷”，降低能源成本。</w:t>
      </w:r>
    </w:p>
    <w:p w14:paraId="032774BE">
      <w:pPr>
        <w:bidi w:val="0"/>
        <w:rPr>
          <w:rFonts w:hint="eastAsia"/>
          <w:color w:val="auto"/>
          <w:lang w:eastAsia="zh-CN"/>
        </w:rPr>
      </w:pPr>
      <w:r>
        <w:rPr>
          <w:rFonts w:hint="eastAsia"/>
          <w:color w:val="auto"/>
          <w:lang w:eastAsia="zh-CN"/>
        </w:rPr>
        <w:t>月度用电占比统计表：当企业拥有多种电力来源时（如来自电网的高压供电、自建的光伏发电等），此功能可以按类型分别统计其用电量和占比，清晰展示企业能源结构的组成，评估清洁能源的使用情况。</w:t>
      </w:r>
    </w:p>
    <w:p w14:paraId="629FF2CE">
      <w:pPr>
        <w:bidi w:val="0"/>
        <w:rPr>
          <w:rFonts w:hint="eastAsia"/>
          <w:color w:val="auto"/>
          <w:lang w:eastAsia="zh-CN"/>
        </w:rPr>
      </w:pPr>
      <w:r>
        <w:rPr>
          <w:rFonts w:hint="eastAsia"/>
          <w:color w:val="auto"/>
          <w:lang w:eastAsia="zh-CN"/>
        </w:rPr>
        <w:t>电表正向反向有功统计：对于装有光伏等分布式发电设施的企业，电表会有电能“正向”（从电网取电）和“反向”（向电网送电）的计量。此功能能精确统计这两个数值，用于计算净能耗，并与电力公司进行准确结算。</w:t>
      </w:r>
    </w:p>
    <w:p w14:paraId="28008649">
      <w:pPr>
        <w:bidi w:val="0"/>
        <w:rPr>
          <w:rFonts w:hint="eastAsia"/>
          <w:color w:val="auto"/>
        </w:rPr>
      </w:pPr>
      <w:r>
        <w:rPr>
          <w:rFonts w:hint="eastAsia"/>
          <w:color w:val="auto"/>
        </w:rPr>
        <w:t>能耗流向图：通过对能源仪表的关系图梳理，把各个环节的能耗数据关联，结合日常平均数据或设定的标准值进行分析，排查能耗损失环节，避免用能过程中的“跑冒滴漏现象，有效减少能源损耗，降低能耗成本；</w:t>
      </w:r>
    </w:p>
    <w:p w14:paraId="147D9A36">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4632960" cy="2568575"/>
            <wp:effectExtent l="9525" t="9525" r="20955" b="12700"/>
            <wp:docPr id="8" name="图片 8" descr="C:/Users/CP/Desktop/新建文件夹/组 61584.png组 6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P/Desktop/新建文件夹/组 61584.png组 61584"/>
                    <pic:cNvPicPr>
                      <a:picLocks noChangeAspect="1"/>
                    </pic:cNvPicPr>
                  </pic:nvPicPr>
                  <pic:blipFill>
                    <a:blip r:embed="rId130"/>
                    <a:srcRect t="9841" b="9841"/>
                    <a:stretch>
                      <a:fillRect/>
                    </a:stretch>
                  </pic:blipFill>
                  <pic:spPr>
                    <a:xfrm>
                      <a:off x="0" y="0"/>
                      <a:ext cx="4632960" cy="2568575"/>
                    </a:xfrm>
                    <a:prstGeom prst="rect">
                      <a:avLst/>
                    </a:prstGeom>
                    <a:ln>
                      <a:solidFill>
                        <a:schemeClr val="tx1"/>
                      </a:solidFill>
                    </a:ln>
                  </pic:spPr>
                </pic:pic>
              </a:graphicData>
            </a:graphic>
          </wp:inline>
        </w:drawing>
      </w:r>
    </w:p>
    <w:p w14:paraId="07B4898E">
      <w:pPr>
        <w:bidi w:val="0"/>
        <w:rPr>
          <w:rFonts w:hint="eastAsia"/>
          <w:color w:val="auto"/>
        </w:rPr>
      </w:pPr>
      <w:r>
        <w:rPr>
          <w:rFonts w:hint="eastAsia"/>
          <w:color w:val="auto"/>
        </w:rPr>
        <w:t>水平衡监测：通过对水表关系的整理，依据水量平衡的计算公式（输入水量之和等于输出水量之和），直观的展示出各工序的用水量和变化规律，或者通过确定各区域用水参数的水量值，根据其平衡关系分析用水合理程度。通过水平衡监测，可以直观快速的反应出公司的用水现状和用水基本参数之间的定量准确率，及时找出泄漏水量，定位泄漏点，提升发现漏水问题能力。</w:t>
      </w:r>
    </w:p>
    <w:p w14:paraId="613B07FA">
      <w:pPr>
        <w:bidi w:val="0"/>
        <w:rPr>
          <w:rFonts w:hint="eastAsia"/>
          <w:color w:val="auto"/>
          <w:lang w:eastAsia="zh-CN"/>
        </w:rPr>
      </w:pPr>
      <w:r>
        <w:rPr>
          <w:color w:val="auto"/>
        </w:rPr>
        <w:t>数据可视化呈现</w:t>
      </w:r>
      <w:r>
        <w:rPr>
          <w:rFonts w:hint="eastAsia"/>
          <w:color w:val="auto"/>
          <w:lang w:eastAsia="zh-CN"/>
        </w:rPr>
        <w:t>：系统数据价值的集中展示窗口。它结合企业的数智化架构图，将关键能耗指标（如实时功率、单位产品能耗、同比环比数据、能耗排名等）以图表、仪表盘、KPI指标卡等直观的形式呈现出来。其重点在于“一目了然”，让管理者在最短时间内掌握全局能源运行态势，支持快速决策。</w:t>
      </w:r>
    </w:p>
    <w:p w14:paraId="6071826D">
      <w:pPr>
        <w:pStyle w:val="42"/>
        <w:wordWrap/>
        <w:overflowPunct/>
        <w:topLinePunct w:val="0"/>
        <w:bidi w:val="0"/>
        <w:snapToGrid w:val="0"/>
        <w:spacing w:beforeAutospacing="0" w:afterAutospacing="0" w:line="360" w:lineRule="auto"/>
        <w:rPr>
          <w:rFonts w:hint="eastAsia" w:ascii="Segoe UI" w:hAnsi="Segoe UI" w:eastAsia="宋体" w:cs="Segoe UI"/>
          <w:b w:val="0"/>
          <w:bCs w:val="0"/>
          <w:i w:val="0"/>
          <w:iCs w:val="0"/>
          <w:caps w:val="0"/>
          <w:color w:val="auto"/>
          <w:spacing w:val="-2"/>
          <w:szCs w:val="19"/>
          <w:shd w:val="clear" w:fill="FFFFFF"/>
          <w:vertAlign w:val="baseline"/>
          <w:lang w:eastAsia="zh-CN"/>
        </w:rPr>
      </w:pPr>
      <w:r>
        <w:rPr>
          <w:color w:val="auto"/>
        </w:rPr>
        <w:drawing>
          <wp:inline distT="0" distB="0" distL="0" distR="0">
            <wp:extent cx="4632960" cy="2568575"/>
            <wp:effectExtent l="9525" t="9525" r="20955" b="12700"/>
            <wp:docPr id="9" name="图片 9" descr="C:/Users/CP/Desktop/新建文件夹/综合能耗.jpg综合能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CP/Desktop/新建文件夹/综合能耗.jpg综合能耗"/>
                    <pic:cNvPicPr>
                      <a:picLocks noChangeAspect="1"/>
                    </pic:cNvPicPr>
                  </pic:nvPicPr>
                  <pic:blipFill>
                    <a:blip r:embed="rId131"/>
                    <a:srcRect t="15995" b="15995"/>
                    <a:stretch>
                      <a:fillRect/>
                    </a:stretch>
                  </pic:blipFill>
                  <pic:spPr>
                    <a:xfrm>
                      <a:off x="0" y="0"/>
                      <a:ext cx="4632960" cy="2568575"/>
                    </a:xfrm>
                    <a:prstGeom prst="rect">
                      <a:avLst/>
                    </a:prstGeom>
                    <a:ln>
                      <a:solidFill>
                        <a:schemeClr val="tx1"/>
                      </a:solidFill>
                    </a:ln>
                  </pic:spPr>
                </pic:pic>
              </a:graphicData>
            </a:graphic>
          </wp:inline>
        </w:drawing>
      </w:r>
    </w:p>
    <w:p w14:paraId="1C6347B5">
      <w:pPr>
        <w:pStyle w:val="36"/>
        <w:bidi w:val="0"/>
        <w:rPr>
          <w:rFonts w:hint="eastAsia"/>
          <w:color w:val="auto"/>
        </w:rPr>
      </w:pPr>
      <w:bookmarkStart w:id="24" w:name="_Toc195102186"/>
      <w:bookmarkStart w:id="25" w:name="_Toc19259"/>
      <w:bookmarkStart w:id="26" w:name="_Toc16998"/>
      <w:r>
        <w:rPr>
          <w:rFonts w:hint="eastAsia"/>
          <w:color w:val="auto"/>
        </w:rPr>
        <w:t>仓储管理</w:t>
      </w:r>
      <w:bookmarkEnd w:id="24"/>
      <w:bookmarkEnd w:id="25"/>
      <w:bookmarkEnd w:id="26"/>
    </w:p>
    <w:p w14:paraId="5E514122">
      <w:pPr>
        <w:bidi w:val="0"/>
        <w:rPr>
          <w:rFonts w:hint="eastAsia"/>
          <w:color w:val="auto"/>
        </w:rPr>
      </w:pPr>
      <w:r>
        <w:rPr>
          <w:rFonts w:hint="eastAsia"/>
          <w:color w:val="auto"/>
        </w:rPr>
        <w:t>库房管理：虽图中未展开具体功能，但通常涉及库房的日常运营，如库存盘点、物料出入库管理、库位管理等，确保库房物料的有序存放和流转。</w:t>
      </w:r>
    </w:p>
    <w:p w14:paraId="6C93AB81">
      <w:pPr>
        <w:bidi w:val="0"/>
        <w:rPr>
          <w:rFonts w:hint="eastAsia"/>
          <w:color w:val="auto"/>
        </w:rPr>
      </w:pPr>
      <w:r>
        <w:rPr>
          <w:rFonts w:hint="eastAsia"/>
          <w:color w:val="auto"/>
        </w:rPr>
        <w:t>叉车管理：推测用于叉车的日常调度、维护记录、使用管理等，保障仓储物流中叉车设备的有效运作。</w:t>
      </w:r>
    </w:p>
    <w:p w14:paraId="59CE7130">
      <w:pPr>
        <w:bidi w:val="0"/>
        <w:rPr>
          <w:rFonts w:hint="eastAsia"/>
          <w:color w:val="auto"/>
        </w:rPr>
      </w:pPr>
      <w:r>
        <w:rPr>
          <w:rFonts w:hint="eastAsia"/>
          <w:color w:val="auto"/>
        </w:rPr>
        <w:t>报表：用于生成各类仓储相关报表，如库存报表、采购报表、出入库报表等，为仓储管理决策提供数据支持。</w:t>
      </w:r>
    </w:p>
    <w:p w14:paraId="7F48FF70">
      <w:pPr>
        <w:bidi w:val="0"/>
        <w:rPr>
          <w:rFonts w:hint="eastAsia"/>
          <w:color w:val="auto"/>
        </w:rPr>
      </w:pPr>
      <w:r>
        <w:rPr>
          <w:rFonts w:hint="eastAsia"/>
          <w:color w:val="auto"/>
        </w:rPr>
        <w:t>基础信息：用于维护仓储模块的基础数据，如物料信息、供应商基础信息、库房基础信息等，是模块运行的基础数据支撑。</w:t>
      </w:r>
    </w:p>
    <w:p w14:paraId="31E9CC7B">
      <w:pPr>
        <w:pStyle w:val="42"/>
        <w:wordWrap/>
        <w:overflowPunct/>
        <w:topLinePunct w:val="0"/>
        <w:bidi w:val="0"/>
        <w:snapToGrid w:val="0"/>
        <w:spacing w:beforeAutospacing="0" w:afterAutospacing="0" w:line="360" w:lineRule="auto"/>
        <w:rPr>
          <w:rFonts w:hint="default"/>
          <w:color w:val="auto"/>
        </w:rPr>
      </w:pPr>
      <w:r>
        <w:rPr>
          <w:rFonts w:hint="default"/>
          <w:color w:val="auto"/>
        </w:rPr>
        <w:drawing>
          <wp:inline distT="0" distB="0" distL="114300" distR="114300">
            <wp:extent cx="5270500" cy="2538095"/>
            <wp:effectExtent l="0" t="0" r="2540" b="698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132"/>
                    <a:stretch>
                      <a:fillRect/>
                    </a:stretch>
                  </pic:blipFill>
                  <pic:spPr>
                    <a:xfrm>
                      <a:off x="0" y="0"/>
                      <a:ext cx="5270500" cy="2538095"/>
                    </a:xfrm>
                    <a:prstGeom prst="rect">
                      <a:avLst/>
                    </a:prstGeom>
                  </pic:spPr>
                </pic:pic>
              </a:graphicData>
            </a:graphic>
          </wp:inline>
        </w:drawing>
      </w:r>
    </w:p>
    <w:p w14:paraId="6E87FFA5">
      <w:pPr>
        <w:pStyle w:val="35"/>
        <w:bidi w:val="0"/>
        <w:rPr>
          <w:rFonts w:hint="eastAsia"/>
          <w:color w:val="auto"/>
        </w:rPr>
      </w:pPr>
      <w:r>
        <w:rPr>
          <w:rFonts w:hint="eastAsia"/>
          <w:color w:val="auto"/>
        </w:rPr>
        <w:t>库房管理</w:t>
      </w:r>
    </w:p>
    <w:p w14:paraId="346CD2DB">
      <w:pPr>
        <w:bidi w:val="0"/>
        <w:rPr>
          <w:rFonts w:hint="eastAsia"/>
          <w:color w:val="auto"/>
        </w:rPr>
      </w:pPr>
      <w:r>
        <w:rPr>
          <w:rFonts w:hint="eastAsia"/>
          <w:color w:val="auto"/>
        </w:rPr>
        <w:t>库房管理是仓储模块的核心业务板块，主要负责库房日常运营的各项管理工作。它涵盖库存盘点，通过定期或不定期的盘点，确保库存物料数量的准确性；物料出入库管理，对物料的入库、出库流程进行规范，包括入库检验、出库审核等环节，保障物料流转的有序性；库位管理则是对库房内物料的存放位置进行规划与管理，提高库房空间利用率和物料存取效率，从而实现库房物料的高效管理与优化存储。</w:t>
      </w:r>
    </w:p>
    <w:p w14:paraId="65D816D2">
      <w:pPr>
        <w:pStyle w:val="42"/>
        <w:bidi w:val="0"/>
        <w:rPr>
          <w:rFonts w:hint="default"/>
          <w:color w:val="auto"/>
        </w:rPr>
      </w:pPr>
      <w:r>
        <w:rPr>
          <w:rFonts w:hint="default"/>
          <w:color w:val="auto"/>
        </w:rPr>
        <w:drawing>
          <wp:inline distT="0" distB="0" distL="114300" distR="114300">
            <wp:extent cx="5268595" cy="3322955"/>
            <wp:effectExtent l="0" t="0" r="4445" b="1460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133"/>
                    <a:stretch>
                      <a:fillRect/>
                    </a:stretch>
                  </pic:blipFill>
                  <pic:spPr>
                    <a:xfrm>
                      <a:off x="0" y="0"/>
                      <a:ext cx="5268595" cy="3322955"/>
                    </a:xfrm>
                    <a:prstGeom prst="rect">
                      <a:avLst/>
                    </a:prstGeom>
                  </pic:spPr>
                </pic:pic>
              </a:graphicData>
            </a:graphic>
          </wp:inline>
        </w:drawing>
      </w:r>
    </w:p>
    <w:p w14:paraId="48E36AD1">
      <w:pPr>
        <w:pStyle w:val="37"/>
        <w:bidi w:val="0"/>
        <w:rPr>
          <w:rFonts w:hint="default"/>
          <w:color w:val="auto"/>
        </w:rPr>
      </w:pPr>
      <w:bookmarkStart w:id="27" w:name="_Toc6258"/>
      <w:r>
        <w:rPr>
          <w:color w:val="auto"/>
        </w:rPr>
        <w:t>备件与综合物资管理</w:t>
      </w:r>
      <w:bookmarkEnd w:id="27"/>
    </w:p>
    <w:p w14:paraId="3FE412B2">
      <w:pPr>
        <w:bidi w:val="0"/>
        <w:rPr>
          <w:rFonts w:hint="default"/>
          <w:color w:val="auto"/>
        </w:rPr>
      </w:pPr>
      <w:r>
        <w:rPr>
          <w:rFonts w:hint="default"/>
          <w:color w:val="auto"/>
        </w:rPr>
        <w:t>采购入库单：用于记录备件及综合物资采购入库的信息，包括物资名称、规格、数量、供应商等，是物资入库的凭证，确保采购物资准确入库。</w:t>
      </w:r>
    </w:p>
    <w:p w14:paraId="6F7EB543">
      <w:pPr>
        <w:bidi w:val="0"/>
        <w:rPr>
          <w:rFonts w:hint="default"/>
          <w:color w:val="auto"/>
        </w:rPr>
      </w:pPr>
      <w:r>
        <w:rPr>
          <w:rFonts w:hint="default"/>
          <w:color w:val="auto"/>
        </w:rPr>
        <w:t>其他入库单：处理非采购渠道的物资入库，如调拨入库、盘盈入库等，规范各类入库场景的操作流程。</w:t>
      </w:r>
    </w:p>
    <w:p w14:paraId="19C354C1">
      <w:pPr>
        <w:bidi w:val="0"/>
        <w:rPr>
          <w:rFonts w:hint="default"/>
          <w:color w:val="auto"/>
        </w:rPr>
      </w:pPr>
      <w:r>
        <w:rPr>
          <w:rFonts w:hint="default"/>
          <w:color w:val="auto"/>
        </w:rPr>
        <w:t>其他出库单：针对非销售、非生产领用的物资出库，如调拨出库、盘亏出库等，明确出库原因和物资流向。</w:t>
      </w:r>
    </w:p>
    <w:p w14:paraId="1F92BEB3">
      <w:pPr>
        <w:bidi w:val="0"/>
        <w:rPr>
          <w:rFonts w:hint="default"/>
          <w:color w:val="auto"/>
        </w:rPr>
      </w:pPr>
      <w:r>
        <w:rPr>
          <w:rFonts w:hint="default"/>
          <w:color w:val="auto"/>
        </w:rPr>
        <w:t>领料出库单：管理生产或办公环节的物资领用，记录领料部门、人员、物资信息及用途，实现物资领用的精细化管理。</w:t>
      </w:r>
    </w:p>
    <w:p w14:paraId="5A4F665A">
      <w:pPr>
        <w:bidi w:val="0"/>
        <w:rPr>
          <w:rFonts w:hint="default"/>
          <w:color w:val="auto"/>
        </w:rPr>
      </w:pPr>
      <w:r>
        <w:rPr>
          <w:rFonts w:hint="default"/>
          <w:color w:val="auto"/>
        </w:rPr>
        <w:t>退料入库单：处理生产或办公环节的退料业务，将多余或不合格的物资退回库房，更新库存信息，保障库存准确性。</w:t>
      </w:r>
    </w:p>
    <w:p w14:paraId="5791ABB5">
      <w:pPr>
        <w:bidi w:val="0"/>
        <w:rPr>
          <w:rFonts w:hint="default"/>
          <w:color w:val="auto"/>
        </w:rPr>
      </w:pPr>
      <w:r>
        <w:rPr>
          <w:rFonts w:hint="default"/>
          <w:color w:val="auto"/>
        </w:rPr>
        <w:t>无价值备件退库：对无使用价值的备件进行退库处理，记录退库原因和数量，便于后续报废或处置管理。</w:t>
      </w:r>
    </w:p>
    <w:p w14:paraId="55E01C4E">
      <w:pPr>
        <w:bidi w:val="0"/>
        <w:rPr>
          <w:rFonts w:hint="default"/>
          <w:color w:val="auto"/>
        </w:rPr>
      </w:pPr>
      <w:r>
        <w:rPr>
          <w:rFonts w:hint="default"/>
          <w:color w:val="auto"/>
        </w:rPr>
        <w:t>拆装单：用于备件或物资的拆装操作记录，明确拆装前后的物资形态、数量变化，保障物资管理的连贯性。</w:t>
      </w:r>
    </w:p>
    <w:p w14:paraId="1872E52E">
      <w:pPr>
        <w:bidi w:val="0"/>
        <w:rPr>
          <w:rFonts w:hint="default"/>
          <w:color w:val="auto"/>
        </w:rPr>
      </w:pPr>
      <w:r>
        <w:rPr>
          <w:rFonts w:hint="default"/>
          <w:color w:val="auto"/>
        </w:rPr>
        <w:t>调拨单：管理库房之间的物资调拨，记录调拨的库房、物资信息、数量，实现跨库房物资的合理调配。</w:t>
      </w:r>
    </w:p>
    <w:p w14:paraId="371ED248">
      <w:pPr>
        <w:bidi w:val="0"/>
        <w:rPr>
          <w:rFonts w:hint="default"/>
          <w:color w:val="auto"/>
        </w:rPr>
      </w:pPr>
      <w:r>
        <w:rPr>
          <w:rFonts w:hint="default"/>
          <w:color w:val="auto"/>
        </w:rPr>
        <w:t>盘点单：发起库房物资盘点工作，记录盘点的物资实际数量与系统库存的差异，为库存调整提供依据。</w:t>
      </w:r>
    </w:p>
    <w:p w14:paraId="0A18ACB2">
      <w:pPr>
        <w:bidi w:val="0"/>
        <w:rPr>
          <w:rFonts w:hint="default"/>
          <w:color w:val="auto"/>
        </w:rPr>
      </w:pPr>
      <w:r>
        <w:rPr>
          <w:rFonts w:hint="default"/>
          <w:color w:val="auto"/>
        </w:rPr>
        <w:t>报废单：对报废的备件或物资进行记录，明确报废原因、数量，完成报废物资的账务和实物处理。</w:t>
      </w:r>
    </w:p>
    <w:p w14:paraId="2DD0D9D4">
      <w:pPr>
        <w:bidi w:val="0"/>
        <w:rPr>
          <w:rFonts w:hint="default"/>
          <w:color w:val="auto"/>
        </w:rPr>
      </w:pPr>
      <w:r>
        <w:rPr>
          <w:rFonts w:hint="default"/>
          <w:color w:val="auto"/>
        </w:rPr>
        <w:t>备件领用单：专门针对备件的领用业务，规范备件领用流程，确保备件用于设备维修等合理用途。</w:t>
      </w:r>
    </w:p>
    <w:p w14:paraId="11B0B8B4">
      <w:pPr>
        <w:bidi w:val="0"/>
        <w:rPr>
          <w:rFonts w:hint="default"/>
          <w:color w:val="auto"/>
        </w:rPr>
      </w:pPr>
      <w:r>
        <w:rPr>
          <w:rFonts w:hint="default"/>
          <w:color w:val="auto"/>
        </w:rPr>
        <w:t>战略备件入库单：管理企业战略储备类备件的入库，保障企业在设备应急维修等场景下的备件供应。</w:t>
      </w:r>
    </w:p>
    <w:p w14:paraId="7A4EF9A0">
      <w:pPr>
        <w:bidi w:val="0"/>
        <w:rPr>
          <w:rFonts w:hint="default"/>
          <w:color w:val="auto"/>
        </w:rPr>
      </w:pPr>
      <w:r>
        <w:rPr>
          <w:rFonts w:hint="default"/>
          <w:color w:val="auto"/>
        </w:rPr>
        <w:t>战略备件出库单：处理战略备件的出库，严格把控战略备件的使用，确保其用于关键设备的紧急需求。</w:t>
      </w:r>
    </w:p>
    <w:p w14:paraId="6489E291">
      <w:pPr>
        <w:bidi w:val="0"/>
        <w:rPr>
          <w:rFonts w:hint="default"/>
          <w:color w:val="auto"/>
        </w:rPr>
      </w:pPr>
      <w:r>
        <w:rPr>
          <w:rFonts w:hint="default"/>
          <w:color w:val="auto"/>
        </w:rPr>
        <w:t>食堂食材入库单：针对食堂食材的采购入库，记录食材的品类、数量、采购来源等，保障食堂食材供应的可追溯性。</w:t>
      </w:r>
    </w:p>
    <w:p w14:paraId="71257E54">
      <w:pPr>
        <w:bidi w:val="0"/>
        <w:rPr>
          <w:rFonts w:hint="default"/>
          <w:color w:val="auto"/>
        </w:rPr>
      </w:pPr>
      <w:r>
        <w:rPr>
          <w:rFonts w:hint="default"/>
          <w:color w:val="auto"/>
        </w:rPr>
        <w:t>资产入库申请：用于企业固定资产等资产的入库申请及审批，规范资产入库流程，确保资产台账准确。</w:t>
      </w:r>
    </w:p>
    <w:p w14:paraId="6363A123">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52085" cy="1910715"/>
            <wp:effectExtent l="0" t="0" r="5715" b="952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pic:cNvPicPr>
                  </pic:nvPicPr>
                  <pic:blipFill>
                    <a:blip r:embed="rId134"/>
                    <a:stretch>
                      <a:fillRect/>
                    </a:stretch>
                  </pic:blipFill>
                  <pic:spPr>
                    <a:xfrm>
                      <a:off x="0" y="0"/>
                      <a:ext cx="5252085" cy="1910715"/>
                    </a:xfrm>
                    <a:prstGeom prst="rect">
                      <a:avLst/>
                    </a:prstGeom>
                  </pic:spPr>
                </pic:pic>
              </a:graphicData>
            </a:graphic>
          </wp:inline>
        </w:drawing>
      </w:r>
    </w:p>
    <w:p w14:paraId="251B356E">
      <w:pPr>
        <w:bidi w:val="0"/>
        <w:rPr>
          <w:rFonts w:hint="default"/>
          <w:color w:val="auto"/>
        </w:rPr>
      </w:pPr>
    </w:p>
    <w:p w14:paraId="52E62D3C">
      <w:pPr>
        <w:pStyle w:val="37"/>
        <w:bidi w:val="0"/>
        <w:rPr>
          <w:rFonts w:hint="default"/>
          <w:color w:val="auto"/>
        </w:rPr>
      </w:pPr>
      <w:r>
        <w:rPr>
          <w:rFonts w:hint="default"/>
          <w:color w:val="auto"/>
        </w:rPr>
        <w:t>原材料管理</w:t>
      </w:r>
    </w:p>
    <w:p w14:paraId="66446201">
      <w:pPr>
        <w:bidi w:val="0"/>
        <w:rPr>
          <w:rFonts w:hint="default"/>
          <w:color w:val="auto"/>
        </w:rPr>
      </w:pPr>
      <w:r>
        <w:rPr>
          <w:rFonts w:hint="default"/>
          <w:color w:val="auto"/>
        </w:rPr>
        <w:t>原料入库单：记录生产原料的采购或其他渠道入库信息，是原料入库的重要凭证，保障原料库存的准确性。</w:t>
      </w:r>
    </w:p>
    <w:p w14:paraId="0CED86AC">
      <w:pPr>
        <w:bidi w:val="0"/>
        <w:rPr>
          <w:rFonts w:hint="default"/>
          <w:color w:val="auto"/>
        </w:rPr>
      </w:pPr>
      <w:r>
        <w:rPr>
          <w:rFonts w:hint="default"/>
          <w:color w:val="auto"/>
        </w:rPr>
        <w:t>原料移用移库：管理原料在不同生产环节或不同库房之间的移用、移库，记录移用移库的原因、数量和去向，优化原料的使用和存储布局。</w:t>
      </w:r>
    </w:p>
    <w:p w14:paraId="74846ABE">
      <w:pPr>
        <w:bidi w:val="0"/>
        <w:rPr>
          <w:rFonts w:hint="default"/>
          <w:color w:val="auto"/>
        </w:rPr>
      </w:pPr>
      <w:r>
        <w:rPr>
          <w:rFonts w:hint="default"/>
          <w:color w:val="auto"/>
        </w:rPr>
        <w:t>原料库存总览：对原料库存进行整体统计和查看，直观呈现各类原料的库存数量、库存状态等信息。</w:t>
      </w:r>
    </w:p>
    <w:p w14:paraId="7AE11CE4">
      <w:pPr>
        <w:bidi w:val="0"/>
        <w:rPr>
          <w:rFonts w:hint="default"/>
          <w:color w:val="auto"/>
        </w:rPr>
      </w:pPr>
      <w:r>
        <w:rPr>
          <w:rFonts w:hint="default"/>
          <w:color w:val="auto"/>
        </w:rPr>
        <w:t>原料库存明细：详细展示每种原料的库存信息，包括批次、入库时间、库存数量等，便于原料的精细化管理。</w:t>
      </w:r>
    </w:p>
    <w:p w14:paraId="22F534B6">
      <w:pPr>
        <w:bidi w:val="0"/>
        <w:rPr>
          <w:rFonts w:hint="default"/>
          <w:color w:val="auto"/>
        </w:rPr>
      </w:pPr>
      <w:r>
        <w:rPr>
          <w:rFonts w:hint="default"/>
          <w:color w:val="auto"/>
        </w:rPr>
        <w:t>原料退料出库单：处理生产环节的原料退料，将多余或不合格的原料退回库房，更新原料库存。</w:t>
      </w:r>
    </w:p>
    <w:p w14:paraId="227A149B">
      <w:pPr>
        <w:bidi w:val="0"/>
        <w:rPr>
          <w:rFonts w:hint="default"/>
          <w:color w:val="auto"/>
        </w:rPr>
      </w:pPr>
      <w:r>
        <w:rPr>
          <w:rFonts w:hint="default"/>
          <w:color w:val="auto"/>
        </w:rPr>
        <w:t>原料状态变更：记录原料状态的变化，如从待检验到合格、不合格等状态的转换，保障原料状态信息的准确性。</w:t>
      </w:r>
    </w:p>
    <w:p w14:paraId="6E3E8981">
      <w:pPr>
        <w:bidi w:val="0"/>
        <w:rPr>
          <w:rFonts w:hint="default"/>
          <w:color w:val="auto"/>
        </w:rPr>
      </w:pPr>
      <w:r>
        <w:rPr>
          <w:rFonts w:hint="default"/>
          <w:color w:val="auto"/>
        </w:rPr>
        <w:t>库房温度记录表：用于记录库房（尤其是对温度有要求的原料库房）的温度变化，确保原料存储环境符合要求。</w:t>
      </w:r>
    </w:p>
    <w:p w14:paraId="29665488">
      <w:pPr>
        <w:bidi w:val="0"/>
        <w:rPr>
          <w:rFonts w:hint="default"/>
          <w:color w:val="auto"/>
        </w:rPr>
      </w:pPr>
      <w:r>
        <w:rPr>
          <w:rFonts w:hint="default"/>
          <w:color w:val="auto"/>
        </w:rPr>
        <w:t>送货单出库退料：根据送货单进行原料出库或退料操作，明确出库或退料的依据和物资信息。</w:t>
      </w:r>
    </w:p>
    <w:p w14:paraId="5A6BCB48">
      <w:pPr>
        <w:bidi w:val="0"/>
        <w:rPr>
          <w:rFonts w:hint="default"/>
          <w:color w:val="auto"/>
        </w:rPr>
      </w:pPr>
      <w:r>
        <w:rPr>
          <w:rFonts w:hint="default"/>
          <w:color w:val="auto"/>
        </w:rPr>
        <w:t>入库送检通知：发起原料入库后的送检流程，通知质检部门对原料进行质量检验，保障原料质量。</w:t>
      </w:r>
    </w:p>
    <w:p w14:paraId="5282B6FA">
      <w:pPr>
        <w:bidi w:val="0"/>
        <w:rPr>
          <w:rFonts w:hint="default"/>
          <w:color w:val="auto"/>
        </w:rPr>
      </w:pPr>
      <w:r>
        <w:rPr>
          <w:rFonts w:hint="default"/>
          <w:color w:val="auto"/>
        </w:rPr>
        <w:t>原料入库退回记录：记录原料入库后因质量等问题退回供应商的信息，完善原料采购的逆向流程。</w:t>
      </w:r>
    </w:p>
    <w:p w14:paraId="77593801">
      <w:pPr>
        <w:bidi w:val="0"/>
        <w:rPr>
          <w:rFonts w:hint="default"/>
          <w:color w:val="auto"/>
        </w:rPr>
      </w:pPr>
      <w:r>
        <w:rPr>
          <w:rFonts w:hint="default"/>
          <w:color w:val="auto"/>
        </w:rPr>
        <w:t>原料需求单 (内 / 包)：管理企业内部或包装环节的原料需求，明确需求的原料品类、数量，为原料领用或采购提供依据。</w:t>
      </w:r>
    </w:p>
    <w:p w14:paraId="03E9BD8E">
      <w:pPr>
        <w:bidi w:val="0"/>
        <w:rPr>
          <w:rFonts w:hint="default"/>
          <w:color w:val="auto"/>
        </w:rPr>
      </w:pPr>
      <w:r>
        <w:rPr>
          <w:rFonts w:hint="default"/>
          <w:color w:val="auto"/>
        </w:rPr>
        <w:t>原料发料记录：记录原料的发料时间、数量、领用部门等信息，实现原料发料的可追溯性。</w:t>
      </w:r>
    </w:p>
    <w:p w14:paraId="2E34B9DA">
      <w:pPr>
        <w:bidi w:val="0"/>
        <w:rPr>
          <w:rFonts w:hint="default"/>
          <w:color w:val="auto"/>
        </w:rPr>
      </w:pPr>
      <w:r>
        <w:rPr>
          <w:rFonts w:hint="default"/>
          <w:color w:val="auto"/>
        </w:rPr>
        <w:t>包材移库记录：管理包装材料的移库操作，记录移库的包材信息、数量和库房，保障包材库存的准确性。</w:t>
      </w:r>
    </w:p>
    <w:p w14:paraId="4272109D">
      <w:pPr>
        <w:bidi w:val="0"/>
        <w:rPr>
          <w:rFonts w:hint="default"/>
          <w:color w:val="auto"/>
        </w:rPr>
      </w:pPr>
      <w:r>
        <w:rPr>
          <w:rFonts w:hint="default"/>
          <w:color w:val="auto"/>
        </w:rPr>
        <w:t>原料入库查询：提供原料入库信息的查询功能，可按时间、供应商、原料品类等维度查询，便于追溯原料入库情况。</w:t>
      </w:r>
    </w:p>
    <w:p w14:paraId="6E44EA17">
      <w:pPr>
        <w:bidi w:val="0"/>
        <w:rPr>
          <w:rFonts w:hint="default"/>
          <w:color w:val="auto"/>
        </w:rPr>
      </w:pPr>
      <w:r>
        <w:rPr>
          <w:rFonts w:hint="default"/>
          <w:color w:val="auto"/>
        </w:rPr>
        <w:t>原料日配配置：管理原料的日常配送配置，明确配送的原料品类、数量、配送时间和对象，保障生产原料的及时供应。</w:t>
      </w:r>
    </w:p>
    <w:p w14:paraId="0FD8A367">
      <w:pPr>
        <w:bidi w:val="0"/>
        <w:rPr>
          <w:rFonts w:hint="default"/>
          <w:color w:val="auto"/>
        </w:rPr>
      </w:pPr>
      <w:r>
        <w:rPr>
          <w:rFonts w:hint="default"/>
          <w:color w:val="auto"/>
        </w:rPr>
        <w:t>原料库存日报汇总：每日对原料库存进行汇总统计，生成库存日报，为原料库存管理和采购决策提供数据支持。</w:t>
      </w:r>
    </w:p>
    <w:p w14:paraId="617C5213">
      <w:pPr>
        <w:bidi w:val="0"/>
        <w:rPr>
          <w:rFonts w:hint="default"/>
          <w:color w:val="auto"/>
        </w:rPr>
      </w:pPr>
      <w:r>
        <w:rPr>
          <w:rFonts w:hint="default"/>
          <w:color w:val="auto"/>
        </w:rPr>
        <w:t>仓库原料移库单：记录仓库之间原料的移库信息，实现原料在不同仓库之间的合理调配，优化库存布局。</w:t>
      </w:r>
    </w:p>
    <w:p w14:paraId="53C6F248">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73675" cy="1887855"/>
            <wp:effectExtent l="0" t="0" r="14605" b="190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pic:cNvPicPr>
                  </pic:nvPicPr>
                  <pic:blipFill>
                    <a:blip r:embed="rId135"/>
                    <a:stretch>
                      <a:fillRect/>
                    </a:stretch>
                  </pic:blipFill>
                  <pic:spPr>
                    <a:xfrm>
                      <a:off x="0" y="0"/>
                      <a:ext cx="5273675" cy="1887855"/>
                    </a:xfrm>
                    <a:prstGeom prst="rect">
                      <a:avLst/>
                    </a:prstGeom>
                  </pic:spPr>
                </pic:pic>
              </a:graphicData>
            </a:graphic>
          </wp:inline>
        </w:drawing>
      </w:r>
    </w:p>
    <w:p w14:paraId="53A99563">
      <w:pPr>
        <w:pStyle w:val="37"/>
        <w:bidi w:val="0"/>
        <w:rPr>
          <w:rFonts w:hint="default"/>
          <w:color w:val="auto"/>
        </w:rPr>
      </w:pPr>
      <w:r>
        <w:rPr>
          <w:rFonts w:hint="default"/>
          <w:color w:val="auto"/>
        </w:rPr>
        <w:t>原料到货验收</w:t>
      </w:r>
      <w:r>
        <w:rPr>
          <w:rFonts w:hint="eastAsia"/>
          <w:color w:val="auto"/>
          <w:lang w:eastAsia="zh-CN"/>
        </w:rPr>
        <w:t>（</w:t>
      </w:r>
      <w:r>
        <w:rPr>
          <w:rFonts w:hint="eastAsia"/>
          <w:color w:val="auto"/>
          <w:lang w:val="en-US" w:eastAsia="zh-CN"/>
        </w:rPr>
        <w:t>定制开发</w:t>
      </w:r>
      <w:r>
        <w:rPr>
          <w:rFonts w:hint="eastAsia"/>
          <w:color w:val="auto"/>
          <w:lang w:eastAsia="zh-CN"/>
        </w:rPr>
        <w:t>）</w:t>
      </w:r>
    </w:p>
    <w:p w14:paraId="7E8C8AFE">
      <w:pPr>
        <w:bidi w:val="0"/>
        <w:rPr>
          <w:rFonts w:hint="default"/>
          <w:color w:val="auto"/>
        </w:rPr>
      </w:pPr>
      <w:r>
        <w:rPr>
          <w:rFonts w:hint="default"/>
          <w:color w:val="auto"/>
        </w:rPr>
        <w:t>原料入验检验报告：记录原料入库检验的结果，包括检验项目、检验数据、合格情况等，是原料质量验收的重要依据。</w:t>
      </w:r>
    </w:p>
    <w:p w14:paraId="15FA444E">
      <w:pPr>
        <w:bidi w:val="0"/>
        <w:rPr>
          <w:rFonts w:hint="default"/>
          <w:color w:val="auto"/>
        </w:rPr>
      </w:pPr>
      <w:r>
        <w:rPr>
          <w:rFonts w:hint="default"/>
          <w:color w:val="auto"/>
        </w:rPr>
        <w:t>辅助区入库称重：对辅助区域入库的原料进行称重记录，确保原料入库数量的准确性。</w:t>
      </w:r>
    </w:p>
    <w:p w14:paraId="28D05ED4">
      <w:pPr>
        <w:bidi w:val="0"/>
        <w:rPr>
          <w:rFonts w:hint="default"/>
          <w:color w:val="auto"/>
        </w:rPr>
      </w:pPr>
      <w:r>
        <w:rPr>
          <w:rFonts w:hint="default"/>
          <w:color w:val="auto"/>
        </w:rPr>
        <w:t>浓烟验收取对表：（推测为 “农残验收对照表”）用于原料农残检测的验收对照，保障原料农残指标符合要求。</w:t>
      </w:r>
    </w:p>
    <w:p w14:paraId="63B5F741">
      <w:pPr>
        <w:bidi w:val="0"/>
        <w:rPr>
          <w:rFonts w:hint="default"/>
          <w:color w:val="auto"/>
        </w:rPr>
      </w:pPr>
      <w:r>
        <w:rPr>
          <w:rFonts w:hint="default"/>
          <w:color w:val="auto"/>
        </w:rPr>
        <w:t>原料入验量抽检月报：每月对原料入库检验的抽样数量、检验结果进行汇总统计，形成月报，分析原料质量趋势。</w:t>
      </w:r>
    </w:p>
    <w:p w14:paraId="2734639F">
      <w:pPr>
        <w:bidi w:val="0"/>
        <w:rPr>
          <w:rFonts w:hint="default"/>
          <w:color w:val="auto"/>
        </w:rPr>
      </w:pPr>
      <w:r>
        <w:rPr>
          <w:rFonts w:hint="default"/>
          <w:color w:val="auto"/>
        </w:rPr>
        <w:t>原料入验检查表：明确原料入库检验的项目和标准，检验人员按照检查表进行检验，保障检验的全面性和规范性。</w:t>
      </w:r>
    </w:p>
    <w:p w14:paraId="2ACE30EE">
      <w:pPr>
        <w:bidi w:val="0"/>
        <w:rPr>
          <w:rFonts w:hint="default"/>
          <w:color w:val="auto"/>
        </w:rPr>
      </w:pPr>
      <w:r>
        <w:rPr>
          <w:rFonts w:hint="default"/>
          <w:color w:val="auto"/>
        </w:rPr>
        <w:t>到货计划跟进：跟踪原料到货计划的执行情况，包括到货时间、数量、供应商的履约情况等，确保原料按时到货。</w:t>
      </w:r>
    </w:p>
    <w:p w14:paraId="1EED058A">
      <w:pPr>
        <w:pStyle w:val="37"/>
        <w:bidi w:val="0"/>
        <w:rPr>
          <w:rFonts w:hint="default"/>
          <w:color w:val="auto"/>
        </w:rPr>
      </w:pPr>
      <w:r>
        <w:rPr>
          <w:rFonts w:hint="default"/>
          <w:color w:val="auto"/>
        </w:rPr>
        <w:t>库存盘点</w:t>
      </w:r>
    </w:p>
    <w:p w14:paraId="5EFB417C">
      <w:pPr>
        <w:bidi w:val="0"/>
        <w:rPr>
          <w:rFonts w:hint="default"/>
          <w:color w:val="auto"/>
        </w:rPr>
      </w:pPr>
      <w:r>
        <w:rPr>
          <w:rFonts w:hint="default"/>
          <w:color w:val="auto"/>
        </w:rPr>
        <w:t>备件盘点：对库房中的备件进行盘点，记录实际数量与系统库存的差异，保障备件库存的准确性。</w:t>
      </w:r>
    </w:p>
    <w:p w14:paraId="7CCEB8EF">
      <w:pPr>
        <w:bidi w:val="0"/>
        <w:rPr>
          <w:rFonts w:hint="default"/>
          <w:color w:val="auto"/>
        </w:rPr>
      </w:pPr>
      <w:r>
        <w:rPr>
          <w:rFonts w:hint="default"/>
          <w:color w:val="auto"/>
        </w:rPr>
        <w:t>日物资盘点：按日对物资进行盘点，及时发现库存差异，保障日常库存的准确性。</w:t>
      </w:r>
    </w:p>
    <w:p w14:paraId="03848DDD">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9230" cy="1917065"/>
            <wp:effectExtent l="0" t="0" r="3810" b="317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pic:cNvPicPr>
                  </pic:nvPicPr>
                  <pic:blipFill>
                    <a:blip r:embed="rId136"/>
                    <a:stretch>
                      <a:fillRect/>
                    </a:stretch>
                  </pic:blipFill>
                  <pic:spPr>
                    <a:xfrm>
                      <a:off x="0" y="0"/>
                      <a:ext cx="5269230" cy="1917065"/>
                    </a:xfrm>
                    <a:prstGeom prst="rect">
                      <a:avLst/>
                    </a:prstGeom>
                  </pic:spPr>
                </pic:pic>
              </a:graphicData>
            </a:graphic>
          </wp:inline>
        </w:drawing>
      </w:r>
    </w:p>
    <w:p w14:paraId="5D7F1A62">
      <w:pPr>
        <w:pStyle w:val="37"/>
        <w:bidi w:val="0"/>
        <w:rPr>
          <w:rFonts w:hint="default"/>
          <w:color w:val="auto"/>
        </w:rPr>
      </w:pPr>
      <w:r>
        <w:rPr>
          <w:rFonts w:hint="default"/>
          <w:color w:val="auto"/>
        </w:rPr>
        <w:t>成品库存管理</w:t>
      </w:r>
    </w:p>
    <w:p w14:paraId="3687EF6D">
      <w:pPr>
        <w:bidi w:val="0"/>
        <w:rPr>
          <w:rFonts w:hint="default"/>
          <w:color w:val="auto"/>
        </w:rPr>
      </w:pPr>
      <w:r>
        <w:rPr>
          <w:rFonts w:hint="default"/>
          <w:color w:val="auto"/>
        </w:rPr>
        <w:t>成品库存查询：查询成品的库存信息，包括成品名称、规格、库存数量、入库时间等，便于掌握成品库存状况。</w:t>
      </w:r>
    </w:p>
    <w:p w14:paraId="19A9F77A">
      <w:pPr>
        <w:bidi w:val="0"/>
        <w:rPr>
          <w:rFonts w:hint="default"/>
          <w:color w:val="auto"/>
        </w:rPr>
      </w:pPr>
      <w:r>
        <w:rPr>
          <w:rFonts w:hint="default"/>
          <w:color w:val="auto"/>
        </w:rPr>
        <w:t>成品入库管理：处理成品的入库操作，记录成品的生产批次、数量、入库时间等，确保成品准确入库。</w:t>
      </w:r>
    </w:p>
    <w:p w14:paraId="6B0998C2">
      <w:pPr>
        <w:bidi w:val="0"/>
        <w:rPr>
          <w:rFonts w:hint="default"/>
          <w:color w:val="auto"/>
        </w:rPr>
      </w:pPr>
      <w:r>
        <w:rPr>
          <w:rFonts w:hint="default"/>
          <w:color w:val="auto"/>
        </w:rPr>
        <w:t>成品质量检查：对入库或待出库的成品进行质量检查，记录检查结果，保障成品质量符合要求。</w:t>
      </w:r>
    </w:p>
    <w:p w14:paraId="296D4BCF">
      <w:pPr>
        <w:bidi w:val="0"/>
        <w:rPr>
          <w:rFonts w:hint="default"/>
          <w:color w:val="auto"/>
        </w:rPr>
      </w:pPr>
      <w:r>
        <w:rPr>
          <w:rFonts w:hint="default"/>
          <w:color w:val="auto"/>
        </w:rPr>
        <w:t>移库管理：管理成品在不同库房之间的移库，记录移库的成品信息、数量和库房，优化成品库存布局。</w:t>
      </w:r>
    </w:p>
    <w:p w14:paraId="1C2A504A">
      <w:pPr>
        <w:bidi w:val="0"/>
        <w:rPr>
          <w:rFonts w:hint="default"/>
          <w:color w:val="auto"/>
        </w:rPr>
      </w:pPr>
      <w:r>
        <w:rPr>
          <w:rFonts w:hint="default"/>
          <w:color w:val="auto"/>
        </w:rPr>
        <w:t>出入库明细：详细记录成品的入库和出库信息，包括时间、数量、经办人、用途等，实现成品出入库的可追溯性。</w:t>
      </w:r>
    </w:p>
    <w:p w14:paraId="7A6D6A26">
      <w:pPr>
        <w:bidi w:val="0"/>
        <w:rPr>
          <w:rFonts w:hint="default"/>
          <w:color w:val="auto"/>
        </w:rPr>
      </w:pPr>
      <w:r>
        <w:rPr>
          <w:rFonts w:hint="default"/>
          <w:color w:val="auto"/>
        </w:rPr>
        <w:t>出库管理：处理成品的出库业务，包括销售出库、调拨出库等，明确出库原因和成品流向。</w:t>
      </w:r>
    </w:p>
    <w:p w14:paraId="059B6DF3">
      <w:pPr>
        <w:bidi w:val="0"/>
        <w:rPr>
          <w:rFonts w:hint="default"/>
          <w:color w:val="auto"/>
        </w:rPr>
      </w:pPr>
      <w:r>
        <w:rPr>
          <w:rFonts w:hint="default"/>
          <w:color w:val="auto"/>
        </w:rPr>
        <w:t>发货计划管理：制定成品发货计划，包括发货时间、数量、收货方等，保障成品按时发货。</w:t>
      </w:r>
    </w:p>
    <w:p w14:paraId="241B599B">
      <w:pPr>
        <w:bidi w:val="0"/>
        <w:rPr>
          <w:rFonts w:hint="default"/>
          <w:color w:val="auto"/>
        </w:rPr>
      </w:pPr>
      <w:r>
        <w:rPr>
          <w:rFonts w:hint="default"/>
          <w:color w:val="auto"/>
        </w:rPr>
        <w:t>发货车辆卫生检查：对运输成品的车辆进行卫生检查，确保车辆卫生符合成品运输要求，保障成品质量。</w:t>
      </w:r>
    </w:p>
    <w:p w14:paraId="7025F3D2">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70500" cy="1907540"/>
            <wp:effectExtent l="0" t="0" r="2540" b="1270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pic:cNvPicPr>
                  </pic:nvPicPr>
                  <pic:blipFill>
                    <a:blip r:embed="rId137"/>
                    <a:stretch>
                      <a:fillRect/>
                    </a:stretch>
                  </pic:blipFill>
                  <pic:spPr>
                    <a:xfrm>
                      <a:off x="0" y="0"/>
                      <a:ext cx="5270500" cy="1907540"/>
                    </a:xfrm>
                    <a:prstGeom prst="rect">
                      <a:avLst/>
                    </a:prstGeom>
                  </pic:spPr>
                </pic:pic>
              </a:graphicData>
            </a:graphic>
          </wp:inline>
        </w:drawing>
      </w:r>
    </w:p>
    <w:p w14:paraId="0A61C321">
      <w:pPr>
        <w:pStyle w:val="37"/>
        <w:bidi w:val="0"/>
        <w:rPr>
          <w:rFonts w:hint="default"/>
          <w:color w:val="auto"/>
        </w:rPr>
      </w:pPr>
      <w:r>
        <w:rPr>
          <w:rFonts w:hint="default"/>
          <w:color w:val="auto"/>
        </w:rPr>
        <w:t>危废管理</w:t>
      </w:r>
      <w:r>
        <w:rPr>
          <w:rFonts w:hint="eastAsia"/>
          <w:color w:val="auto"/>
          <w:lang w:eastAsia="zh-CN"/>
        </w:rPr>
        <w:t>（</w:t>
      </w:r>
      <w:r>
        <w:rPr>
          <w:rFonts w:hint="eastAsia"/>
          <w:color w:val="auto"/>
          <w:lang w:val="en-US" w:eastAsia="zh-CN"/>
        </w:rPr>
        <w:t>定制开发</w:t>
      </w:r>
      <w:r>
        <w:rPr>
          <w:rFonts w:hint="eastAsia"/>
          <w:color w:val="auto"/>
          <w:lang w:eastAsia="zh-CN"/>
        </w:rPr>
        <w:t>）</w:t>
      </w:r>
    </w:p>
    <w:p w14:paraId="5FDB68F3">
      <w:pPr>
        <w:bidi w:val="0"/>
        <w:rPr>
          <w:rFonts w:hint="default"/>
          <w:color w:val="auto"/>
        </w:rPr>
      </w:pPr>
      <w:r>
        <w:rPr>
          <w:rFonts w:hint="default"/>
          <w:color w:val="auto"/>
        </w:rPr>
        <w:t>危废入库单：记录危险废物的入库信息，包括危废名称、类别、数量、来源等，规范危废入库流程。</w:t>
      </w:r>
    </w:p>
    <w:p w14:paraId="2E8E8BAC">
      <w:pPr>
        <w:bidi w:val="0"/>
        <w:rPr>
          <w:rFonts w:hint="default"/>
          <w:color w:val="auto"/>
        </w:rPr>
      </w:pPr>
      <w:r>
        <w:rPr>
          <w:rFonts w:hint="default"/>
          <w:color w:val="auto"/>
        </w:rPr>
        <w:t>危废基础资料：管理危险废物的基础信息，如危废的特性、处理要求等，为危废管理提供数据支持。</w:t>
      </w:r>
    </w:p>
    <w:p w14:paraId="151C3867">
      <w:pPr>
        <w:bidi w:val="0"/>
        <w:rPr>
          <w:rFonts w:hint="default"/>
          <w:color w:val="auto"/>
        </w:rPr>
      </w:pPr>
      <w:r>
        <w:rPr>
          <w:rFonts w:hint="default"/>
          <w:color w:val="auto"/>
        </w:rPr>
        <w:t>危废库存管理：对危废库存进行管理，记录危废的库存数量、存储位置、存储时间等，确保危废存储安全。</w:t>
      </w:r>
    </w:p>
    <w:p w14:paraId="4CCE54A8">
      <w:pPr>
        <w:bidi w:val="0"/>
        <w:rPr>
          <w:rFonts w:hint="default"/>
          <w:color w:val="auto"/>
        </w:rPr>
      </w:pPr>
      <w:r>
        <w:rPr>
          <w:rFonts w:hint="default"/>
          <w:color w:val="auto"/>
        </w:rPr>
        <w:t>危废出库单：处理危废的出库（如转移处置），记录出库的危废信息、处置单位等，保障危废处置的合规性。</w:t>
      </w:r>
    </w:p>
    <w:p w14:paraId="3A529805">
      <w:pPr>
        <w:bidi w:val="0"/>
        <w:rPr>
          <w:rFonts w:hint="default"/>
          <w:color w:val="auto"/>
        </w:rPr>
      </w:pPr>
      <w:r>
        <w:rPr>
          <w:rFonts w:hint="default"/>
          <w:color w:val="auto"/>
        </w:rPr>
        <w:t>危废库存明细：详细展示每种危废的库存信息，包括批次、入库时间、库存数量等，便于危废的精细化管理。</w:t>
      </w:r>
    </w:p>
    <w:p w14:paraId="0B0E189D">
      <w:pPr>
        <w:bidi w:val="0"/>
        <w:rPr>
          <w:rFonts w:hint="default"/>
          <w:color w:val="auto"/>
        </w:rPr>
      </w:pPr>
      <w:r>
        <w:rPr>
          <w:rFonts w:hint="default"/>
          <w:color w:val="auto"/>
        </w:rPr>
        <w:t>贮存点信息：记录危废贮存点的位置、设施、容量等信息，确保危废贮存点符合安全规范。</w:t>
      </w:r>
    </w:p>
    <w:p w14:paraId="4E41AC2D">
      <w:pPr>
        <w:pStyle w:val="37"/>
        <w:bidi w:val="0"/>
        <w:rPr>
          <w:rFonts w:hint="default"/>
          <w:color w:val="auto"/>
        </w:rPr>
      </w:pPr>
      <w:r>
        <w:rPr>
          <w:rFonts w:hint="default"/>
          <w:color w:val="auto"/>
        </w:rPr>
        <w:t>劳保用品管理</w:t>
      </w:r>
    </w:p>
    <w:p w14:paraId="5F8B4A0A">
      <w:pPr>
        <w:bidi w:val="0"/>
        <w:rPr>
          <w:rFonts w:hint="default"/>
          <w:color w:val="auto"/>
        </w:rPr>
      </w:pPr>
      <w:r>
        <w:rPr>
          <w:rFonts w:hint="default"/>
          <w:color w:val="auto"/>
        </w:rPr>
        <w:t>劳保领用单：管理劳保用品的领用，记录领用部门、人员、劳保用品名称、数量等，保障劳保用品的合理发放。</w:t>
      </w:r>
    </w:p>
    <w:p w14:paraId="7956B4F8">
      <w:pPr>
        <w:pStyle w:val="37"/>
        <w:bidi w:val="0"/>
        <w:rPr>
          <w:rFonts w:hint="default"/>
          <w:color w:val="auto"/>
        </w:rPr>
      </w:pPr>
      <w:r>
        <w:rPr>
          <w:rFonts w:hint="default"/>
          <w:color w:val="auto"/>
        </w:rPr>
        <w:t>危险化学品管理</w:t>
      </w:r>
      <w:r>
        <w:rPr>
          <w:rFonts w:hint="eastAsia"/>
          <w:color w:val="auto"/>
          <w:lang w:eastAsia="zh-CN"/>
        </w:rPr>
        <w:t>（</w:t>
      </w:r>
      <w:r>
        <w:rPr>
          <w:rFonts w:hint="eastAsia"/>
          <w:color w:val="auto"/>
          <w:lang w:val="en-US" w:eastAsia="zh-CN"/>
        </w:rPr>
        <w:t>定制开发</w:t>
      </w:r>
      <w:r>
        <w:rPr>
          <w:rFonts w:hint="eastAsia"/>
          <w:color w:val="auto"/>
          <w:lang w:eastAsia="zh-CN"/>
        </w:rPr>
        <w:t>）</w:t>
      </w:r>
    </w:p>
    <w:p w14:paraId="0DDC358A">
      <w:pPr>
        <w:bidi w:val="0"/>
        <w:rPr>
          <w:rFonts w:hint="default"/>
          <w:color w:val="auto"/>
        </w:rPr>
      </w:pPr>
      <w:r>
        <w:rPr>
          <w:rFonts w:hint="default"/>
          <w:color w:val="auto"/>
        </w:rPr>
        <w:t>危化品清单：列出企业所涉及的危险化学品名称、类别、特性等信息，为危化品管理提供基础依据。</w:t>
      </w:r>
    </w:p>
    <w:p w14:paraId="3B48F403">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7960" cy="1924685"/>
            <wp:effectExtent l="0" t="0" r="5080" b="1079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138"/>
                    <a:stretch>
                      <a:fillRect/>
                    </a:stretch>
                  </pic:blipFill>
                  <pic:spPr>
                    <a:xfrm>
                      <a:off x="0" y="0"/>
                      <a:ext cx="5267960" cy="1924685"/>
                    </a:xfrm>
                    <a:prstGeom prst="rect">
                      <a:avLst/>
                    </a:prstGeom>
                  </pic:spPr>
                </pic:pic>
              </a:graphicData>
            </a:graphic>
          </wp:inline>
        </w:drawing>
      </w:r>
    </w:p>
    <w:p w14:paraId="2422A058">
      <w:pPr>
        <w:pStyle w:val="35"/>
        <w:bidi w:val="0"/>
        <w:rPr>
          <w:rFonts w:hint="eastAsia"/>
          <w:color w:val="auto"/>
        </w:rPr>
      </w:pPr>
      <w:r>
        <w:rPr>
          <w:rFonts w:hint="eastAsia"/>
          <w:color w:val="auto"/>
        </w:rPr>
        <w:t>叉车管理</w:t>
      </w:r>
    </w:p>
    <w:p w14:paraId="60EFB848">
      <w:pPr>
        <w:bidi w:val="0"/>
        <w:rPr>
          <w:rFonts w:hint="eastAsia"/>
          <w:color w:val="auto"/>
        </w:rPr>
      </w:pPr>
      <w:r>
        <w:rPr>
          <w:rFonts w:hint="eastAsia"/>
          <w:color w:val="auto"/>
        </w:rPr>
        <w:t>叉车管理模块主要围绕仓储物流中叉车设备的管理展开。它涉及叉车的日常调度，根据仓储作业需求，合理安排叉车的使用任务，确保物料搬运作业的顺利进行；同时还包含叉车的维护记录管理，对叉车的保养、维修情况进行详细记录，保障叉车设备的良好运行状态；此外，通过叉车使用管理，规范叉车的操作流程和使用权限，提高叉车使用的安全性和效率，为仓储物流的高效运作提供设备保障。</w:t>
      </w:r>
    </w:p>
    <w:p w14:paraId="729942B0">
      <w:pPr>
        <w:pStyle w:val="42"/>
        <w:bidi w:val="0"/>
        <w:rPr>
          <w:rFonts w:hint="default"/>
          <w:color w:val="auto"/>
        </w:rPr>
      </w:pPr>
      <w:r>
        <w:rPr>
          <w:rFonts w:hint="default"/>
          <w:color w:val="auto"/>
        </w:rPr>
        <w:drawing>
          <wp:inline distT="0" distB="0" distL="114300" distR="114300">
            <wp:extent cx="5253355" cy="2966720"/>
            <wp:effectExtent l="0" t="0" r="4445" b="508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139"/>
                    <a:stretch>
                      <a:fillRect/>
                    </a:stretch>
                  </pic:blipFill>
                  <pic:spPr>
                    <a:xfrm>
                      <a:off x="0" y="0"/>
                      <a:ext cx="5253355" cy="2966720"/>
                    </a:xfrm>
                    <a:prstGeom prst="rect">
                      <a:avLst/>
                    </a:prstGeom>
                  </pic:spPr>
                </pic:pic>
              </a:graphicData>
            </a:graphic>
          </wp:inline>
        </w:drawing>
      </w:r>
    </w:p>
    <w:p w14:paraId="20990639">
      <w:pPr>
        <w:pStyle w:val="37"/>
        <w:bidi w:val="0"/>
        <w:rPr>
          <w:rFonts w:hint="default"/>
          <w:color w:val="auto"/>
        </w:rPr>
      </w:pPr>
      <w:bookmarkStart w:id="28" w:name="_Toc26356"/>
      <w:r>
        <w:rPr>
          <w:color w:val="auto"/>
        </w:rPr>
        <w:t>叉车保养记录</w:t>
      </w:r>
      <w:bookmarkEnd w:id="28"/>
    </w:p>
    <w:p w14:paraId="434C7660">
      <w:pPr>
        <w:bidi w:val="0"/>
        <w:rPr>
          <w:rFonts w:hint="default"/>
          <w:color w:val="auto"/>
        </w:rPr>
      </w:pPr>
      <w:r>
        <w:rPr>
          <w:rFonts w:hint="default"/>
          <w:color w:val="auto"/>
        </w:rPr>
        <w:t>保养项目：定义叉车保养的具体内容和标准，如轮胎检查、刹车系统维护等，为叉车保养提供依据。</w:t>
      </w:r>
    </w:p>
    <w:p w14:paraId="41A0B0CF">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7960" cy="1866265"/>
            <wp:effectExtent l="0" t="0" r="5080" b="8255"/>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pic:cNvPicPr>
                  </pic:nvPicPr>
                  <pic:blipFill>
                    <a:blip r:embed="rId140"/>
                    <a:stretch>
                      <a:fillRect/>
                    </a:stretch>
                  </pic:blipFill>
                  <pic:spPr>
                    <a:xfrm>
                      <a:off x="0" y="0"/>
                      <a:ext cx="5267960" cy="1866265"/>
                    </a:xfrm>
                    <a:prstGeom prst="rect">
                      <a:avLst/>
                    </a:prstGeom>
                  </pic:spPr>
                </pic:pic>
              </a:graphicData>
            </a:graphic>
          </wp:inline>
        </w:drawing>
      </w:r>
    </w:p>
    <w:p w14:paraId="582460A4">
      <w:pPr>
        <w:bidi w:val="0"/>
        <w:rPr>
          <w:rFonts w:hint="default"/>
          <w:color w:val="auto"/>
        </w:rPr>
      </w:pPr>
      <w:r>
        <w:rPr>
          <w:rFonts w:hint="default"/>
          <w:color w:val="auto"/>
        </w:rPr>
        <w:t>保养计划：制定叉车的保养时间表，明确每次保养的时间、保养项目和责任人，确保叉车保养工作的计划性和规范性。</w:t>
      </w:r>
    </w:p>
    <w:p w14:paraId="0C3D411F">
      <w:pPr>
        <w:bidi w:val="0"/>
        <w:rPr>
          <w:rFonts w:hint="default"/>
          <w:color w:val="auto"/>
        </w:rPr>
      </w:pPr>
      <w:r>
        <w:rPr>
          <w:rFonts w:hint="default"/>
          <w:color w:val="auto"/>
        </w:rPr>
        <w:t>保养工单：发起叉车保养的工作申请，记录保养的叉车信息、保养项目、执行人员和保养结果，实现保养流程的闭环管理。</w:t>
      </w:r>
    </w:p>
    <w:p w14:paraId="0F66C388">
      <w:pPr>
        <w:bidi w:val="0"/>
        <w:rPr>
          <w:rFonts w:hint="default"/>
          <w:color w:val="auto"/>
        </w:rPr>
      </w:pPr>
    </w:p>
    <w:p w14:paraId="25A6998E">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52085" cy="1870710"/>
            <wp:effectExtent l="0" t="0" r="5715" b="381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pic:cNvPicPr>
                  </pic:nvPicPr>
                  <pic:blipFill>
                    <a:blip r:embed="rId141"/>
                    <a:stretch>
                      <a:fillRect/>
                    </a:stretch>
                  </pic:blipFill>
                  <pic:spPr>
                    <a:xfrm>
                      <a:off x="0" y="0"/>
                      <a:ext cx="5252085" cy="1870710"/>
                    </a:xfrm>
                    <a:prstGeom prst="rect">
                      <a:avLst/>
                    </a:prstGeom>
                  </pic:spPr>
                </pic:pic>
              </a:graphicData>
            </a:graphic>
          </wp:inline>
        </w:drawing>
      </w:r>
    </w:p>
    <w:p w14:paraId="6840CAB7">
      <w:pPr>
        <w:pStyle w:val="37"/>
        <w:bidi w:val="0"/>
        <w:rPr>
          <w:rFonts w:hint="default"/>
          <w:color w:val="auto"/>
        </w:rPr>
      </w:pPr>
      <w:r>
        <w:rPr>
          <w:rFonts w:hint="default"/>
          <w:color w:val="auto"/>
        </w:rPr>
        <w:t>用油记录表</w:t>
      </w:r>
    </w:p>
    <w:p w14:paraId="2D11646D">
      <w:pPr>
        <w:bidi w:val="0"/>
        <w:rPr>
          <w:rFonts w:hint="default"/>
          <w:color w:val="auto"/>
        </w:rPr>
      </w:pPr>
      <w:r>
        <w:rPr>
          <w:rFonts w:hint="default"/>
          <w:color w:val="auto"/>
        </w:rPr>
        <w:t>用于记录叉车的用油情况，包括加油时间、加油量、油品类型等信息，便于监控叉车的燃油消耗，为燃油成本核算和用油管理提供数据支持。</w:t>
      </w:r>
    </w:p>
    <w:p w14:paraId="1309B347">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7960" cy="1877695"/>
            <wp:effectExtent l="0" t="0" r="5080" b="12065"/>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pic:cNvPicPr>
                  </pic:nvPicPr>
                  <pic:blipFill>
                    <a:blip r:embed="rId142"/>
                    <a:stretch>
                      <a:fillRect/>
                    </a:stretch>
                  </pic:blipFill>
                  <pic:spPr>
                    <a:xfrm>
                      <a:off x="0" y="0"/>
                      <a:ext cx="5267960" cy="1877695"/>
                    </a:xfrm>
                    <a:prstGeom prst="rect">
                      <a:avLst/>
                    </a:prstGeom>
                  </pic:spPr>
                </pic:pic>
              </a:graphicData>
            </a:graphic>
          </wp:inline>
        </w:drawing>
      </w:r>
    </w:p>
    <w:p w14:paraId="420725F3">
      <w:pPr>
        <w:pStyle w:val="37"/>
        <w:bidi w:val="0"/>
        <w:rPr>
          <w:rFonts w:hint="default"/>
          <w:color w:val="auto"/>
        </w:rPr>
      </w:pPr>
      <w:r>
        <w:rPr>
          <w:rFonts w:hint="default"/>
          <w:color w:val="auto"/>
        </w:rPr>
        <w:t>叉车维修记录</w:t>
      </w:r>
    </w:p>
    <w:p w14:paraId="76AE4B88">
      <w:pPr>
        <w:bidi w:val="0"/>
        <w:rPr>
          <w:rFonts w:hint="default"/>
          <w:color w:val="auto"/>
        </w:rPr>
      </w:pPr>
      <w:r>
        <w:rPr>
          <w:rFonts w:hint="default"/>
          <w:color w:val="auto"/>
        </w:rPr>
        <w:t>记录叉车的维修信息，包括维修时间、故障现象、维修项目、维修人员和维修结果等，实现叉车维修的可追溯性，便于分析叉车故障规律，优化维修管理。</w:t>
      </w:r>
    </w:p>
    <w:p w14:paraId="79FEE92D">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43195" cy="1910715"/>
            <wp:effectExtent l="0" t="0" r="14605" b="9525"/>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pic:cNvPicPr>
                  </pic:nvPicPr>
                  <pic:blipFill>
                    <a:blip r:embed="rId143"/>
                    <a:stretch>
                      <a:fillRect/>
                    </a:stretch>
                  </pic:blipFill>
                  <pic:spPr>
                    <a:xfrm>
                      <a:off x="0" y="0"/>
                      <a:ext cx="5243195" cy="1910715"/>
                    </a:xfrm>
                    <a:prstGeom prst="rect">
                      <a:avLst/>
                    </a:prstGeom>
                  </pic:spPr>
                </pic:pic>
              </a:graphicData>
            </a:graphic>
          </wp:inline>
        </w:drawing>
      </w:r>
    </w:p>
    <w:p w14:paraId="45956FCE">
      <w:pPr>
        <w:pStyle w:val="37"/>
        <w:bidi w:val="0"/>
        <w:rPr>
          <w:rFonts w:hint="default"/>
          <w:color w:val="auto"/>
        </w:rPr>
      </w:pPr>
      <w:r>
        <w:rPr>
          <w:rFonts w:hint="default"/>
          <w:color w:val="auto"/>
        </w:rPr>
        <w:t>叉车里程</w:t>
      </w:r>
    </w:p>
    <w:p w14:paraId="3D124614">
      <w:pPr>
        <w:bidi w:val="0"/>
        <w:rPr>
          <w:rFonts w:hint="default"/>
          <w:color w:val="auto"/>
        </w:rPr>
      </w:pPr>
      <w:r>
        <w:rPr>
          <w:rFonts w:hint="default"/>
          <w:color w:val="auto"/>
        </w:rPr>
        <w:t>用于记录叉车的行驶里程，可作为叉车保养、维修的参考依据，同时也能反映叉车的使用强度，为叉车的运营管理提供数据支持。</w:t>
      </w:r>
    </w:p>
    <w:p w14:paraId="7FE9BD72">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3515" cy="1904365"/>
            <wp:effectExtent l="0" t="0" r="9525" b="635"/>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pic:cNvPicPr>
                  </pic:nvPicPr>
                  <pic:blipFill>
                    <a:blip r:embed="rId144"/>
                    <a:stretch>
                      <a:fillRect/>
                    </a:stretch>
                  </pic:blipFill>
                  <pic:spPr>
                    <a:xfrm>
                      <a:off x="0" y="0"/>
                      <a:ext cx="5263515" cy="1904365"/>
                    </a:xfrm>
                    <a:prstGeom prst="rect">
                      <a:avLst/>
                    </a:prstGeom>
                  </pic:spPr>
                </pic:pic>
              </a:graphicData>
            </a:graphic>
          </wp:inline>
        </w:drawing>
      </w:r>
    </w:p>
    <w:p w14:paraId="3D32A8B2">
      <w:pPr>
        <w:pStyle w:val="35"/>
        <w:bidi w:val="0"/>
        <w:rPr>
          <w:rFonts w:hint="default"/>
          <w:color w:val="auto"/>
        </w:rPr>
      </w:pPr>
      <w:r>
        <w:rPr>
          <w:rFonts w:hint="default"/>
          <w:color w:val="auto"/>
        </w:rPr>
        <w:t>报表</w:t>
      </w:r>
    </w:p>
    <w:p w14:paraId="633DBF0F">
      <w:pPr>
        <w:bidi w:val="0"/>
        <w:rPr>
          <w:rFonts w:hint="default"/>
          <w:color w:val="auto"/>
          <w:lang w:eastAsia="zh-CN"/>
        </w:rPr>
      </w:pPr>
      <w:r>
        <w:rPr>
          <w:rFonts w:hint="default"/>
          <w:color w:val="auto"/>
          <w:lang w:eastAsia="zh-CN"/>
        </w:rPr>
        <w:t>报表功能板块是仓储模块的数据支撑核心。它能够生成各类仓储相关报表，如库存报表，清晰呈现库房内物料的库存数量、库存状态等信息；采购报表，汇总采购订单的执行情况、采购物料的品类及数量等数据；出入库报表，记录物料的出入库时间、数量、经办人等详细信息。这些报表为仓储管理决策提供了全面、准确的数据支持，助力管理人员及时掌握仓储运营状况，发现问题并做出科学决策。</w:t>
      </w:r>
    </w:p>
    <w:p w14:paraId="3DBF0BBA">
      <w:pPr>
        <w:pStyle w:val="42"/>
        <w:bidi w:val="0"/>
        <w:rPr>
          <w:rFonts w:hint="default"/>
          <w:color w:val="auto"/>
          <w:lang w:eastAsia="zh-CN"/>
        </w:rPr>
      </w:pPr>
      <w:r>
        <w:rPr>
          <w:rFonts w:hint="default"/>
          <w:color w:val="auto"/>
          <w:lang w:eastAsia="zh-CN"/>
        </w:rPr>
        <w:drawing>
          <wp:inline distT="0" distB="0" distL="114300" distR="114300">
            <wp:extent cx="5262880" cy="2961640"/>
            <wp:effectExtent l="0" t="0" r="10160" b="1016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145"/>
                    <a:stretch>
                      <a:fillRect/>
                    </a:stretch>
                  </pic:blipFill>
                  <pic:spPr>
                    <a:xfrm>
                      <a:off x="0" y="0"/>
                      <a:ext cx="5262880" cy="2961640"/>
                    </a:xfrm>
                    <a:prstGeom prst="rect">
                      <a:avLst/>
                    </a:prstGeom>
                  </pic:spPr>
                </pic:pic>
              </a:graphicData>
            </a:graphic>
          </wp:inline>
        </w:drawing>
      </w:r>
    </w:p>
    <w:p w14:paraId="692BFFD8">
      <w:pPr>
        <w:pStyle w:val="37"/>
        <w:bidi w:val="0"/>
        <w:rPr>
          <w:rFonts w:hint="default"/>
          <w:color w:val="auto"/>
        </w:rPr>
      </w:pPr>
      <w:r>
        <w:rPr>
          <w:rFonts w:hint="default"/>
          <w:color w:val="auto"/>
        </w:rPr>
        <w:t>货品库存总表</w:t>
      </w:r>
    </w:p>
    <w:p w14:paraId="27DD5E9F">
      <w:pPr>
        <w:bidi w:val="0"/>
        <w:rPr>
          <w:rFonts w:hint="default"/>
          <w:color w:val="auto"/>
        </w:rPr>
      </w:pPr>
      <w:r>
        <w:rPr>
          <w:rFonts w:hint="default"/>
          <w:color w:val="auto"/>
        </w:rPr>
        <w:t>用于汇总展示仓储中所有货品的库存信息，包括货品名称、规格、库存数量、库存位置等，为管理人员提供货品库存的整体概览，便于快速掌握库存总量和结构，为库存管理决策提供基础数据支持。</w:t>
      </w:r>
    </w:p>
    <w:p w14:paraId="499D2709">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50815" cy="1870710"/>
            <wp:effectExtent l="0" t="0" r="6985" b="381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pic:cNvPicPr>
                  </pic:nvPicPr>
                  <pic:blipFill>
                    <a:blip r:embed="rId146"/>
                    <a:stretch>
                      <a:fillRect/>
                    </a:stretch>
                  </pic:blipFill>
                  <pic:spPr>
                    <a:xfrm>
                      <a:off x="0" y="0"/>
                      <a:ext cx="5250815" cy="1870710"/>
                    </a:xfrm>
                    <a:prstGeom prst="rect">
                      <a:avLst/>
                    </a:prstGeom>
                  </pic:spPr>
                </pic:pic>
              </a:graphicData>
            </a:graphic>
          </wp:inline>
        </w:drawing>
      </w:r>
    </w:p>
    <w:p w14:paraId="0542A96D">
      <w:pPr>
        <w:pStyle w:val="37"/>
        <w:bidi w:val="0"/>
        <w:rPr>
          <w:rFonts w:hint="default"/>
          <w:color w:val="auto"/>
        </w:rPr>
      </w:pPr>
      <w:r>
        <w:rPr>
          <w:rFonts w:hint="default"/>
          <w:color w:val="auto"/>
        </w:rPr>
        <w:t>货品库存明细</w:t>
      </w:r>
    </w:p>
    <w:p w14:paraId="57CB0873">
      <w:pPr>
        <w:bidi w:val="0"/>
        <w:rPr>
          <w:rFonts w:hint="default"/>
          <w:color w:val="auto"/>
        </w:rPr>
      </w:pPr>
      <w:r>
        <w:rPr>
          <w:rFonts w:hint="default"/>
          <w:color w:val="auto"/>
        </w:rPr>
        <w:t>详细呈现每一种货品的库存细节，如批次、入库时间、出库时间、库存数量变动等信息，实现货品库存的精细化管理，方便管理人员对具体货品的库存情况进行追溯和分析，及时发现库存异常并处理。</w:t>
      </w:r>
    </w:p>
    <w:p w14:paraId="41533CF3">
      <w:pPr>
        <w:pStyle w:val="42"/>
        <w:bidi w:val="0"/>
        <w:rPr>
          <w:rFonts w:hint="default"/>
          <w:color w:val="auto"/>
        </w:rPr>
      </w:pPr>
      <w:r>
        <w:rPr>
          <w:rFonts w:hint="default"/>
          <w:color w:val="auto"/>
        </w:rPr>
        <w:drawing>
          <wp:inline distT="0" distB="0" distL="114300" distR="114300">
            <wp:extent cx="5255260" cy="1880235"/>
            <wp:effectExtent l="0" t="0" r="2540" b="9525"/>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pic:cNvPicPr>
                  </pic:nvPicPr>
                  <pic:blipFill>
                    <a:blip r:embed="rId147"/>
                    <a:stretch>
                      <a:fillRect/>
                    </a:stretch>
                  </pic:blipFill>
                  <pic:spPr>
                    <a:xfrm>
                      <a:off x="0" y="0"/>
                      <a:ext cx="5255260" cy="1880235"/>
                    </a:xfrm>
                    <a:prstGeom prst="rect">
                      <a:avLst/>
                    </a:prstGeom>
                  </pic:spPr>
                </pic:pic>
              </a:graphicData>
            </a:graphic>
          </wp:inline>
        </w:drawing>
      </w:r>
    </w:p>
    <w:p w14:paraId="1EF9E1D3">
      <w:pPr>
        <w:pStyle w:val="37"/>
        <w:bidi w:val="0"/>
        <w:rPr>
          <w:rFonts w:hint="default"/>
          <w:color w:val="auto"/>
        </w:rPr>
      </w:pPr>
      <w:r>
        <w:rPr>
          <w:rFonts w:hint="default"/>
          <w:color w:val="auto"/>
        </w:rPr>
        <w:t>出入库明细报表</w:t>
      </w:r>
    </w:p>
    <w:p w14:paraId="670ABA06">
      <w:pPr>
        <w:bidi w:val="0"/>
        <w:rPr>
          <w:rFonts w:hint="default"/>
          <w:color w:val="auto"/>
        </w:rPr>
      </w:pPr>
      <w:r>
        <w:rPr>
          <w:rFonts w:hint="default"/>
          <w:color w:val="auto"/>
        </w:rPr>
        <w:t>记录所有货品的出入库操作明细，包括出入库时间、货品信息、出入库类型（采购入库、销售出库、调拨等）、经办人等内容，全面反映货品的流转情况，为出入库流程的审计、追溯以及库存动态分析提供依据。</w:t>
      </w:r>
    </w:p>
    <w:p w14:paraId="154E2393">
      <w:pPr>
        <w:pStyle w:val="42"/>
        <w:bidi w:val="0"/>
        <w:rPr>
          <w:rFonts w:hint="default"/>
          <w:color w:val="auto"/>
        </w:rPr>
      </w:pPr>
      <w:r>
        <w:rPr>
          <w:rFonts w:hint="default"/>
          <w:color w:val="auto"/>
        </w:rPr>
        <w:drawing>
          <wp:inline distT="0" distB="0" distL="114300" distR="114300">
            <wp:extent cx="5260340" cy="1901190"/>
            <wp:effectExtent l="0" t="0" r="12700" b="381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pic:cNvPicPr>
                  </pic:nvPicPr>
                  <pic:blipFill>
                    <a:blip r:embed="rId148"/>
                    <a:stretch>
                      <a:fillRect/>
                    </a:stretch>
                  </pic:blipFill>
                  <pic:spPr>
                    <a:xfrm>
                      <a:off x="0" y="0"/>
                      <a:ext cx="5260340" cy="1901190"/>
                    </a:xfrm>
                    <a:prstGeom prst="rect">
                      <a:avLst/>
                    </a:prstGeom>
                  </pic:spPr>
                </pic:pic>
              </a:graphicData>
            </a:graphic>
          </wp:inline>
        </w:drawing>
      </w:r>
    </w:p>
    <w:p w14:paraId="14776387">
      <w:pPr>
        <w:pStyle w:val="37"/>
        <w:bidi w:val="0"/>
        <w:rPr>
          <w:rFonts w:hint="default"/>
          <w:color w:val="auto"/>
        </w:rPr>
      </w:pPr>
      <w:r>
        <w:rPr>
          <w:rFonts w:hint="default"/>
          <w:color w:val="auto"/>
        </w:rPr>
        <w:t>领料单明细报表</w:t>
      </w:r>
    </w:p>
    <w:p w14:paraId="14AE3E3A">
      <w:pPr>
        <w:bidi w:val="0"/>
        <w:rPr>
          <w:rFonts w:hint="default"/>
          <w:color w:val="auto"/>
        </w:rPr>
      </w:pPr>
      <w:r>
        <w:rPr>
          <w:rFonts w:hint="default"/>
          <w:color w:val="auto"/>
        </w:rPr>
        <w:t>专门针对生产或其他环节的领料业务，汇总领料单的详细信息，如领料部门、领料人员、领料货品、领料数量、领料用途等，便于企业对领料成本、领料合理性进行分析，加强领料环节的管控。</w:t>
      </w:r>
    </w:p>
    <w:p w14:paraId="630C7C07">
      <w:pPr>
        <w:pStyle w:val="42"/>
        <w:bidi w:val="0"/>
        <w:rPr>
          <w:rFonts w:hint="default"/>
          <w:color w:val="auto"/>
        </w:rPr>
      </w:pPr>
      <w:r>
        <w:rPr>
          <w:rFonts w:hint="default"/>
          <w:color w:val="auto"/>
        </w:rPr>
        <w:drawing>
          <wp:inline distT="0" distB="0" distL="114300" distR="114300">
            <wp:extent cx="5269230" cy="1865630"/>
            <wp:effectExtent l="0" t="0" r="3810" b="889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pic:cNvPicPr>
                  </pic:nvPicPr>
                  <pic:blipFill>
                    <a:blip r:embed="rId149"/>
                    <a:stretch>
                      <a:fillRect/>
                    </a:stretch>
                  </pic:blipFill>
                  <pic:spPr>
                    <a:xfrm>
                      <a:off x="0" y="0"/>
                      <a:ext cx="5269230" cy="1865630"/>
                    </a:xfrm>
                    <a:prstGeom prst="rect">
                      <a:avLst/>
                    </a:prstGeom>
                  </pic:spPr>
                </pic:pic>
              </a:graphicData>
            </a:graphic>
          </wp:inline>
        </w:drawing>
      </w:r>
    </w:p>
    <w:p w14:paraId="48178246">
      <w:pPr>
        <w:pStyle w:val="37"/>
        <w:bidi w:val="0"/>
        <w:rPr>
          <w:rFonts w:hint="default"/>
          <w:color w:val="auto"/>
        </w:rPr>
      </w:pPr>
      <w:r>
        <w:rPr>
          <w:rFonts w:hint="default"/>
          <w:color w:val="auto"/>
        </w:rPr>
        <w:t>采购入库明细报表</w:t>
      </w:r>
      <w:r>
        <w:rPr>
          <w:rFonts w:hint="eastAsia"/>
          <w:color w:val="auto"/>
          <w:lang w:eastAsia="zh-CN"/>
        </w:rPr>
        <w:t>（</w:t>
      </w:r>
      <w:r>
        <w:rPr>
          <w:rFonts w:hint="eastAsia"/>
          <w:color w:val="auto"/>
          <w:lang w:val="en-US" w:eastAsia="zh-CN"/>
        </w:rPr>
        <w:t>定制开发</w:t>
      </w:r>
      <w:r>
        <w:rPr>
          <w:rFonts w:hint="eastAsia"/>
          <w:color w:val="auto"/>
          <w:lang w:eastAsia="zh-CN"/>
        </w:rPr>
        <w:t>）</w:t>
      </w:r>
    </w:p>
    <w:p w14:paraId="16C894E2">
      <w:pPr>
        <w:bidi w:val="0"/>
        <w:rPr>
          <w:rFonts w:hint="default"/>
          <w:color w:val="auto"/>
        </w:rPr>
      </w:pPr>
      <w:r>
        <w:rPr>
          <w:rFonts w:hint="default"/>
          <w:color w:val="auto"/>
        </w:rPr>
        <w:t>聚焦采购入库业务，展示采购入库的货品信息、供应商、入库时间、入库数量、采购金额等明细，助力企业跟踪采购订单的执行情况，核算采购成本，同时为库存补充的合理性分析提供数据支撑。</w:t>
      </w:r>
    </w:p>
    <w:p w14:paraId="023DDB10">
      <w:pPr>
        <w:pStyle w:val="42"/>
        <w:bidi w:val="0"/>
        <w:rPr>
          <w:rFonts w:hint="default"/>
          <w:color w:val="auto"/>
        </w:rPr>
      </w:pPr>
      <w:r>
        <w:rPr>
          <w:rFonts w:hint="default"/>
          <w:color w:val="auto"/>
        </w:rPr>
        <w:drawing>
          <wp:inline distT="0" distB="0" distL="114300" distR="114300">
            <wp:extent cx="5269230" cy="1877695"/>
            <wp:effectExtent l="0" t="0" r="3810" b="12065"/>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pic:cNvPicPr>
                  </pic:nvPicPr>
                  <pic:blipFill>
                    <a:blip r:embed="rId150"/>
                    <a:stretch>
                      <a:fillRect/>
                    </a:stretch>
                  </pic:blipFill>
                  <pic:spPr>
                    <a:xfrm>
                      <a:off x="0" y="0"/>
                      <a:ext cx="5269230" cy="1877695"/>
                    </a:xfrm>
                    <a:prstGeom prst="rect">
                      <a:avLst/>
                    </a:prstGeom>
                  </pic:spPr>
                </pic:pic>
              </a:graphicData>
            </a:graphic>
          </wp:inline>
        </w:drawing>
      </w:r>
    </w:p>
    <w:p w14:paraId="6160CE0B">
      <w:pPr>
        <w:pStyle w:val="37"/>
        <w:bidi w:val="0"/>
        <w:rPr>
          <w:rFonts w:hint="default"/>
          <w:color w:val="auto"/>
        </w:rPr>
      </w:pPr>
      <w:r>
        <w:rPr>
          <w:rFonts w:hint="default"/>
          <w:color w:val="auto"/>
        </w:rPr>
        <w:t>调拨明细报表</w:t>
      </w:r>
    </w:p>
    <w:p w14:paraId="740838A6">
      <w:pPr>
        <w:bidi w:val="0"/>
        <w:rPr>
          <w:rFonts w:hint="default"/>
          <w:color w:val="auto"/>
        </w:rPr>
      </w:pPr>
      <w:r>
        <w:rPr>
          <w:rFonts w:hint="default"/>
          <w:color w:val="auto"/>
        </w:rPr>
        <w:t>管理货品在不同库房或区域之间的调拨业务，记录调拨的货品信息、调出调入库房、调拨时间、调拨数量等明细，便于企业掌握货品的调拨动态，优化库存布局，提高库存周转效率。</w:t>
      </w:r>
    </w:p>
    <w:p w14:paraId="3298BB54">
      <w:pPr>
        <w:pStyle w:val="42"/>
        <w:bidi w:val="0"/>
        <w:rPr>
          <w:rFonts w:hint="default"/>
          <w:color w:val="auto"/>
        </w:rPr>
      </w:pPr>
      <w:r>
        <w:rPr>
          <w:rFonts w:hint="default"/>
          <w:color w:val="auto"/>
        </w:rPr>
        <w:drawing>
          <wp:inline distT="0" distB="0" distL="114300" distR="114300">
            <wp:extent cx="5252720" cy="1890395"/>
            <wp:effectExtent l="0" t="0" r="5080" b="14605"/>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151"/>
                    <a:stretch>
                      <a:fillRect/>
                    </a:stretch>
                  </pic:blipFill>
                  <pic:spPr>
                    <a:xfrm>
                      <a:off x="0" y="0"/>
                      <a:ext cx="5252720" cy="1890395"/>
                    </a:xfrm>
                    <a:prstGeom prst="rect">
                      <a:avLst/>
                    </a:prstGeom>
                  </pic:spPr>
                </pic:pic>
              </a:graphicData>
            </a:graphic>
          </wp:inline>
        </w:drawing>
      </w:r>
    </w:p>
    <w:p w14:paraId="386F9B7F">
      <w:pPr>
        <w:pStyle w:val="37"/>
        <w:bidi w:val="0"/>
        <w:rPr>
          <w:rFonts w:hint="default"/>
          <w:color w:val="auto"/>
        </w:rPr>
      </w:pPr>
      <w:r>
        <w:rPr>
          <w:rFonts w:hint="default"/>
          <w:color w:val="auto"/>
        </w:rPr>
        <w:t>调</w:t>
      </w:r>
      <w:r>
        <w:rPr>
          <w:rFonts w:hint="eastAsia"/>
          <w:color w:val="auto"/>
          <w:lang w:val="en-US" w:eastAsia="zh-CN"/>
        </w:rPr>
        <w:t>成品质量检查</w:t>
      </w:r>
    </w:p>
    <w:p w14:paraId="46D000F4">
      <w:pPr>
        <w:bidi w:val="0"/>
        <w:rPr>
          <w:rFonts w:hint="default"/>
          <w:color w:val="auto"/>
        </w:rPr>
      </w:pPr>
      <w:r>
        <w:rPr>
          <w:rFonts w:hint="default"/>
          <w:color w:val="auto"/>
        </w:rPr>
        <w:t>多维度精准检索：支持通过工单号、生产批次、生产日期、产线、物料编码等条件组合快速定位目标生产数据，大幅提升生产管理人员的信息查询效率。</w:t>
      </w:r>
    </w:p>
    <w:p w14:paraId="13F00F6A">
      <w:pPr>
        <w:bidi w:val="0"/>
        <w:rPr>
          <w:rFonts w:hint="default"/>
          <w:color w:val="auto"/>
        </w:rPr>
      </w:pPr>
      <w:r>
        <w:rPr>
          <w:rFonts w:hint="default"/>
          <w:color w:val="auto"/>
        </w:rPr>
        <w:t>全量执行数据记录：完整记录生产执行的核心明细，包括工单信息、生产批次、日期、班组、产线、物料编码、物料名称、生产数量及单位等，确保每一条生产指令的执行过程都具备可追溯性。</w:t>
      </w:r>
    </w:p>
    <w:p w14:paraId="5F0BB3DD">
      <w:pPr>
        <w:bidi w:val="0"/>
        <w:rPr>
          <w:rFonts w:hint="default"/>
          <w:color w:val="auto"/>
        </w:rPr>
      </w:pPr>
      <w:r>
        <w:rPr>
          <w:rFonts w:hint="default"/>
          <w:color w:val="auto"/>
        </w:rPr>
        <w:t>状态可视化监控：支持对生产状态（如正常 / 异常）进行标识，实时反映生产执行情况，便于快速识别与处理生产异常。</w:t>
      </w:r>
    </w:p>
    <w:p w14:paraId="591A0C24">
      <w:pPr>
        <w:bidi w:val="0"/>
        <w:rPr>
          <w:rFonts w:hint="default"/>
          <w:color w:val="auto"/>
        </w:rPr>
      </w:pPr>
      <w:r>
        <w:rPr>
          <w:rFonts w:hint="default"/>
          <w:color w:val="auto"/>
        </w:rPr>
        <w:t>数据导出与分析支撑：可导出完整的生产执行数据，为生产效率分析、产能评估与质量追溯提供基础数据。</w:t>
      </w:r>
    </w:p>
    <w:p w14:paraId="1A270813">
      <w:pPr>
        <w:bidi w:val="0"/>
        <w:rPr>
          <w:rFonts w:hint="default"/>
          <w:color w:val="auto"/>
        </w:rPr>
      </w:pPr>
      <w:r>
        <w:rPr>
          <w:rFonts w:hint="default"/>
          <w:color w:val="auto"/>
        </w:rPr>
        <w:t>功能价值</w:t>
      </w:r>
    </w:p>
    <w:p w14:paraId="61E27609">
      <w:pPr>
        <w:bidi w:val="0"/>
        <w:rPr>
          <w:rFonts w:hint="default"/>
          <w:color w:val="auto"/>
        </w:rPr>
      </w:pPr>
      <w:r>
        <w:rPr>
          <w:rFonts w:hint="default"/>
          <w:color w:val="auto"/>
          <w:lang w:val="en-US" w:eastAsia="zh-CN"/>
        </w:rPr>
        <w:t>通过系统化的生产工单数据跟踪，该功能确保了生产过程的透明化与可追溯性，帮助企业精准掌握生产进度与物料消耗，优化生产调度与资源配置，从而提升生产效率与交付稳定性，同时为质量问题的快速定位与持续改进提供了可靠的数据依据。</w:t>
      </w:r>
    </w:p>
    <w:p w14:paraId="48115A06">
      <w:pPr>
        <w:pStyle w:val="42"/>
        <w:bidi w:val="0"/>
        <w:rPr>
          <w:rFonts w:hint="default"/>
          <w:color w:val="auto"/>
        </w:rPr>
      </w:pPr>
      <w:bookmarkStart w:id="141" w:name="_GoBack"/>
      <w:r>
        <w:drawing>
          <wp:inline distT="0" distB="0" distL="114300" distR="114300">
            <wp:extent cx="5262245" cy="2302510"/>
            <wp:effectExtent l="0" t="0" r="14605" b="2540"/>
            <wp:docPr id="15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57"/>
                    <pic:cNvPicPr>
                      <a:picLocks noChangeAspect="1"/>
                    </pic:cNvPicPr>
                  </pic:nvPicPr>
                  <pic:blipFill>
                    <a:blip r:embed="rId152"/>
                    <a:stretch>
                      <a:fillRect/>
                    </a:stretch>
                  </pic:blipFill>
                  <pic:spPr>
                    <a:xfrm>
                      <a:off x="0" y="0"/>
                      <a:ext cx="5262245" cy="2302510"/>
                    </a:xfrm>
                    <a:prstGeom prst="rect">
                      <a:avLst/>
                    </a:prstGeom>
                    <a:noFill/>
                    <a:ln>
                      <a:noFill/>
                    </a:ln>
                  </pic:spPr>
                </pic:pic>
              </a:graphicData>
            </a:graphic>
          </wp:inline>
        </w:drawing>
      </w:r>
    </w:p>
    <w:bookmarkEnd w:id="141"/>
    <w:p w14:paraId="6B4FEAA6">
      <w:pPr>
        <w:pStyle w:val="42"/>
        <w:bidi w:val="0"/>
        <w:rPr>
          <w:rFonts w:hint="default"/>
          <w:color w:val="auto"/>
        </w:rPr>
      </w:pPr>
    </w:p>
    <w:p w14:paraId="57938DAB">
      <w:pPr>
        <w:pStyle w:val="37"/>
        <w:bidi w:val="0"/>
        <w:rPr>
          <w:rFonts w:hint="default"/>
          <w:color w:val="auto"/>
        </w:rPr>
      </w:pPr>
      <w:r>
        <w:rPr>
          <w:rFonts w:hint="default"/>
          <w:color w:val="auto"/>
        </w:rPr>
        <w:t>退库物资报表</w:t>
      </w:r>
      <w:r>
        <w:rPr>
          <w:rFonts w:hint="eastAsia"/>
          <w:color w:val="auto"/>
          <w:lang w:eastAsia="zh-CN"/>
        </w:rPr>
        <w:t>（</w:t>
      </w:r>
      <w:r>
        <w:rPr>
          <w:rFonts w:hint="eastAsia"/>
          <w:color w:val="auto"/>
          <w:lang w:val="en-US" w:eastAsia="zh-CN"/>
        </w:rPr>
        <w:t>定制开发</w:t>
      </w:r>
      <w:r>
        <w:rPr>
          <w:rFonts w:hint="eastAsia"/>
          <w:color w:val="auto"/>
          <w:lang w:eastAsia="zh-CN"/>
        </w:rPr>
        <w:t>）</w:t>
      </w:r>
    </w:p>
    <w:p w14:paraId="765F65BE">
      <w:pPr>
        <w:bidi w:val="0"/>
        <w:rPr>
          <w:rFonts w:hint="default"/>
          <w:color w:val="auto"/>
        </w:rPr>
      </w:pPr>
      <w:r>
        <w:rPr>
          <w:rFonts w:hint="default"/>
          <w:color w:val="auto"/>
        </w:rPr>
        <w:t>统计退库物资的相关信息，包括退库原因、退库货品、退库数量、退库时间等，帮助企业分析退库原因，如质量问题、超量采购等，进而优化采购、生产或库存管理流程，减少退库情况的发生。</w:t>
      </w:r>
    </w:p>
    <w:p w14:paraId="1CEF2BF3">
      <w:pPr>
        <w:pStyle w:val="37"/>
        <w:bidi w:val="0"/>
        <w:rPr>
          <w:rFonts w:hint="default"/>
          <w:color w:val="auto"/>
        </w:rPr>
      </w:pPr>
      <w:r>
        <w:rPr>
          <w:rFonts w:hint="default"/>
          <w:color w:val="auto"/>
        </w:rPr>
        <w:t>食堂入库月报</w:t>
      </w:r>
      <w:r>
        <w:rPr>
          <w:rFonts w:hint="eastAsia"/>
          <w:color w:val="auto"/>
          <w:lang w:eastAsia="zh-CN"/>
        </w:rPr>
        <w:t>（</w:t>
      </w:r>
      <w:r>
        <w:rPr>
          <w:rFonts w:hint="eastAsia"/>
          <w:color w:val="auto"/>
          <w:lang w:val="en-US" w:eastAsia="zh-CN"/>
        </w:rPr>
        <w:t>定制开发</w:t>
      </w:r>
      <w:r>
        <w:rPr>
          <w:rFonts w:hint="eastAsia"/>
          <w:color w:val="auto"/>
          <w:lang w:eastAsia="zh-CN"/>
        </w:rPr>
        <w:t>）</w:t>
      </w:r>
    </w:p>
    <w:p w14:paraId="5BDCAA03">
      <w:pPr>
        <w:bidi w:val="0"/>
        <w:rPr>
          <w:rFonts w:hint="default"/>
          <w:color w:val="auto"/>
        </w:rPr>
      </w:pPr>
      <w:r>
        <w:rPr>
          <w:rFonts w:hint="default"/>
          <w:color w:val="auto"/>
        </w:rPr>
        <w:t>针对食堂食材的入库业务，按月生成入库报表，汇总食堂食材的品类、入库数量、采购金额、供应商等信息，为食堂食材的成本核算、库存管理以及采购计划制定提供月度数据支持，保障食堂食材供应的规范化管理。</w:t>
      </w:r>
    </w:p>
    <w:p w14:paraId="29A1354B">
      <w:pPr>
        <w:pStyle w:val="35"/>
        <w:bidi w:val="0"/>
        <w:rPr>
          <w:rFonts w:hint="eastAsia"/>
          <w:color w:val="auto"/>
        </w:rPr>
      </w:pPr>
      <w:bookmarkStart w:id="29" w:name="_Toc14984"/>
      <w:r>
        <w:rPr>
          <w:color w:val="auto"/>
        </w:rPr>
        <w:t>基础信息</w:t>
      </w:r>
      <w:bookmarkEnd w:id="29"/>
    </w:p>
    <w:p w14:paraId="472DBE98">
      <w:pPr>
        <w:bidi w:val="0"/>
        <w:rPr>
          <w:rFonts w:hint="default"/>
          <w:color w:val="auto"/>
        </w:rPr>
      </w:pPr>
      <w:r>
        <w:rPr>
          <w:rFonts w:hint="default"/>
          <w:color w:val="auto"/>
        </w:rPr>
        <w:t>基础信息功能板块是仓储模块运行的基础数据支撑。它用于维护仓储模块的各类基础数据，包括物料信息，如物料的名称、规格、型号、属性等；供应商基础信息，如供应商的名称、联系方式、资质等；库房基础信息，如库房的位置、面积、库位布局等。通过对这些基础信息的准确维护，确保仓储模块各项功能的正常运行，为采购、库房管理等业务环节提供准确的基础数据支持。</w:t>
      </w:r>
    </w:p>
    <w:p w14:paraId="4A11D6E5">
      <w:pPr>
        <w:pStyle w:val="42"/>
        <w:wordWrap/>
        <w:overflowPunct/>
        <w:topLinePunct w:val="0"/>
        <w:bidi w:val="0"/>
        <w:snapToGrid w:val="0"/>
        <w:spacing w:beforeAutospacing="0" w:afterAutospacing="0" w:line="360" w:lineRule="auto"/>
        <w:rPr>
          <w:rFonts w:hint="eastAsia"/>
          <w:color w:val="auto"/>
        </w:rPr>
      </w:pPr>
      <w:r>
        <w:rPr>
          <w:rFonts w:hint="default"/>
          <w:color w:val="auto"/>
        </w:rPr>
        <w:drawing>
          <wp:inline distT="0" distB="0" distL="114300" distR="114300">
            <wp:extent cx="5267960" cy="2911475"/>
            <wp:effectExtent l="0" t="0" r="5080" b="1460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153"/>
                    <a:stretch>
                      <a:fillRect/>
                    </a:stretch>
                  </pic:blipFill>
                  <pic:spPr>
                    <a:xfrm>
                      <a:off x="0" y="0"/>
                      <a:ext cx="5267960" cy="2911475"/>
                    </a:xfrm>
                    <a:prstGeom prst="rect">
                      <a:avLst/>
                    </a:prstGeom>
                  </pic:spPr>
                </pic:pic>
              </a:graphicData>
            </a:graphic>
          </wp:inline>
        </w:drawing>
      </w:r>
    </w:p>
    <w:p w14:paraId="11EA647B">
      <w:pPr>
        <w:bidi w:val="0"/>
        <w:rPr>
          <w:rFonts w:hint="eastAsia"/>
          <w:color w:val="auto"/>
        </w:rPr>
      </w:pPr>
      <w:r>
        <w:rPr>
          <w:rFonts w:hint="eastAsia"/>
          <w:color w:val="auto"/>
        </w:rPr>
        <w:t>库存盘点：定期或不定期对仓库库存进行盘点，通过人工盘点或利用盘点设备扫描货物，将实际库存与系统记录进行比对，生成盘点报告，对盘盈、盘亏情况进行调整和处理，保证账实相符。</w:t>
      </w:r>
    </w:p>
    <w:p w14:paraId="12AB68A3">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5217160" cy="2892425"/>
            <wp:effectExtent l="9525" t="9525" r="15875" b="24130"/>
            <wp:docPr id="2057658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8807" name="图片 1"/>
                    <pic:cNvPicPr>
                      <a:picLocks noChangeAspect="1"/>
                    </pic:cNvPicPr>
                  </pic:nvPicPr>
                  <pic:blipFill>
                    <a:blip r:embed="rId154"/>
                    <a:stretch>
                      <a:fillRect/>
                    </a:stretch>
                  </pic:blipFill>
                  <pic:spPr>
                    <a:xfrm>
                      <a:off x="0" y="0"/>
                      <a:ext cx="5217160" cy="2892425"/>
                    </a:xfrm>
                    <a:prstGeom prst="rect">
                      <a:avLst/>
                    </a:prstGeom>
                    <a:ln>
                      <a:solidFill>
                        <a:schemeClr val="tx1"/>
                      </a:solidFill>
                    </a:ln>
                  </pic:spPr>
                </pic:pic>
              </a:graphicData>
            </a:graphic>
          </wp:inline>
        </w:drawing>
      </w:r>
    </w:p>
    <w:p w14:paraId="54D30A86">
      <w:pPr>
        <w:bidi w:val="0"/>
        <w:rPr>
          <w:rFonts w:hint="eastAsia"/>
          <w:color w:val="auto"/>
        </w:rPr>
      </w:pPr>
      <w:r>
        <w:rPr>
          <w:rFonts w:hint="eastAsia"/>
          <w:color w:val="auto"/>
        </w:rPr>
        <w:t>库存预警：设置库存上下限、保质期预警等规则，当库存数量低于下限或高于上限，以及货物临近保质期时，系统自动发出预警信息，提醒管理人员及时采取措施。</w:t>
      </w:r>
    </w:p>
    <w:p w14:paraId="5811CC28">
      <w:pPr>
        <w:pStyle w:val="42"/>
        <w:wordWrap/>
        <w:overflowPunct/>
        <w:topLinePunct w:val="0"/>
        <w:bidi w:val="0"/>
        <w:snapToGrid w:val="0"/>
        <w:spacing w:beforeAutospacing="0" w:afterAutospacing="0" w:line="360" w:lineRule="auto"/>
        <w:rPr>
          <w:rFonts w:hint="eastAsia" w:ascii="宋体" w:hAnsi="宋体" w:eastAsia="宋体"/>
          <w:color w:val="auto"/>
          <w:szCs w:val="21"/>
        </w:rPr>
      </w:pPr>
      <w:r>
        <w:rPr>
          <w:color w:val="auto"/>
        </w:rPr>
        <w:drawing>
          <wp:inline distT="0" distB="0" distL="0" distR="0">
            <wp:extent cx="5232400" cy="2900680"/>
            <wp:effectExtent l="9525" t="9525" r="15875" b="15875"/>
            <wp:docPr id="456900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00812" name="图片 1"/>
                    <pic:cNvPicPr>
                      <a:picLocks noChangeAspect="1"/>
                    </pic:cNvPicPr>
                  </pic:nvPicPr>
                  <pic:blipFill>
                    <a:blip r:embed="rId155"/>
                    <a:stretch>
                      <a:fillRect/>
                    </a:stretch>
                  </pic:blipFill>
                  <pic:spPr>
                    <a:xfrm>
                      <a:off x="0" y="0"/>
                      <a:ext cx="5232400" cy="2900680"/>
                    </a:xfrm>
                    <a:prstGeom prst="rect">
                      <a:avLst/>
                    </a:prstGeom>
                    <a:ln>
                      <a:solidFill>
                        <a:schemeClr val="tx1"/>
                      </a:solidFill>
                    </a:ln>
                  </pic:spPr>
                </pic:pic>
              </a:graphicData>
            </a:graphic>
          </wp:inline>
        </w:drawing>
      </w:r>
    </w:p>
    <w:p w14:paraId="4E916F54">
      <w:pPr>
        <w:bidi w:val="0"/>
        <w:rPr>
          <w:rFonts w:hint="eastAsia"/>
          <w:color w:val="auto"/>
        </w:rPr>
      </w:pPr>
      <w:r>
        <w:rPr>
          <w:rFonts w:hint="eastAsia"/>
          <w:color w:val="auto"/>
        </w:rPr>
        <w:t>库存统计与分析：提供丰富的库存统计报表和分析功能，如库存余额表、库存周转率分析、库存分布统计等，帮助管理人员了解库存的整体状况和变化趋势，为决策提供数据支持。</w:t>
      </w:r>
    </w:p>
    <w:p w14:paraId="1B011B95">
      <w:pPr>
        <w:pStyle w:val="42"/>
        <w:wordWrap/>
        <w:overflowPunct/>
        <w:topLinePunct w:val="0"/>
        <w:bidi w:val="0"/>
        <w:snapToGrid w:val="0"/>
        <w:spacing w:beforeAutospacing="0" w:afterAutospacing="0" w:line="360" w:lineRule="auto"/>
        <w:rPr>
          <w:color w:val="auto"/>
        </w:rPr>
      </w:pPr>
      <w:r>
        <w:rPr>
          <w:color w:val="auto"/>
        </w:rPr>
        <w:drawing>
          <wp:inline distT="0" distB="0" distL="0" distR="0">
            <wp:extent cx="5177155" cy="2870200"/>
            <wp:effectExtent l="9525" t="9525" r="10160" b="15875"/>
            <wp:docPr id="60442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27992" name="图片 1"/>
                    <pic:cNvPicPr>
                      <a:picLocks noChangeAspect="1"/>
                    </pic:cNvPicPr>
                  </pic:nvPicPr>
                  <pic:blipFill>
                    <a:blip r:embed="rId156"/>
                    <a:stretch>
                      <a:fillRect/>
                    </a:stretch>
                  </pic:blipFill>
                  <pic:spPr>
                    <a:xfrm>
                      <a:off x="0" y="0"/>
                      <a:ext cx="5177155" cy="2870200"/>
                    </a:xfrm>
                    <a:prstGeom prst="rect">
                      <a:avLst/>
                    </a:prstGeom>
                    <a:ln>
                      <a:solidFill>
                        <a:schemeClr val="tx1"/>
                      </a:solidFill>
                    </a:ln>
                  </pic:spPr>
                </pic:pic>
              </a:graphicData>
            </a:graphic>
          </wp:inline>
        </w:drawing>
      </w:r>
    </w:p>
    <w:p w14:paraId="2A6472E8">
      <w:pPr>
        <w:bidi w:val="0"/>
        <w:rPr>
          <w:rFonts w:hint="eastAsia"/>
          <w:color w:val="auto"/>
          <w:lang w:eastAsia="zh-CN"/>
        </w:rPr>
      </w:pPr>
      <w:r>
        <w:rPr>
          <w:rFonts w:hint="eastAsia"/>
          <w:color w:val="auto"/>
          <w:lang w:val="en-US" w:eastAsia="zh-CN"/>
        </w:rPr>
        <w:t>成品可视化库存管理</w:t>
      </w:r>
      <w:r>
        <w:rPr>
          <w:rFonts w:hint="eastAsia"/>
          <w:color w:val="auto"/>
        </w:rPr>
        <w:t>：此核心围绕 VSS 系统、数智工厂系统、供应链系统三大平台，实现从入库到出库的可视化管理</w:t>
      </w:r>
      <w:r>
        <w:rPr>
          <w:rFonts w:hint="eastAsia"/>
          <w:color w:val="auto"/>
          <w:lang w:eastAsia="zh-CN"/>
        </w:rPr>
        <w:t>。</w:t>
      </w:r>
    </w:p>
    <w:p w14:paraId="718E8A26">
      <w:pPr>
        <w:bidi w:val="0"/>
        <w:rPr>
          <w:rFonts w:hint="eastAsia"/>
          <w:color w:val="auto"/>
          <w:lang w:eastAsia="zh-CN"/>
        </w:rPr>
      </w:pPr>
    </w:p>
    <w:p w14:paraId="147775CF">
      <w:pPr>
        <w:numPr>
          <w:ilvl w:val="0"/>
          <w:numId w:val="20"/>
        </w:numPr>
        <w:bidi w:val="0"/>
        <w:ind w:left="425" w:leftChars="0" w:hanging="425" w:firstLineChars="0"/>
        <w:rPr>
          <w:rFonts w:hint="eastAsia"/>
          <w:b/>
          <w:bCs/>
          <w:color w:val="auto"/>
          <w:lang w:eastAsia="zh-CN"/>
        </w:rPr>
      </w:pPr>
      <w:r>
        <w:rPr>
          <w:rFonts w:hint="eastAsia"/>
          <w:b/>
          <w:bCs/>
          <w:color w:val="auto"/>
          <w:lang w:eastAsia="zh-CN"/>
        </w:rPr>
        <w:t>核心系统功能总览</w:t>
      </w:r>
    </w:p>
    <w:p w14:paraId="26940AF1">
      <w:pPr>
        <w:bidi w:val="0"/>
        <w:rPr>
          <w:rFonts w:hint="eastAsia"/>
          <w:color w:val="auto"/>
          <w:lang w:eastAsia="zh-CN"/>
        </w:rPr>
      </w:pPr>
      <w:r>
        <w:rPr>
          <w:rFonts w:hint="eastAsia"/>
          <w:color w:val="auto"/>
          <w:lang w:eastAsia="zh-CN"/>
        </w:rPr>
        <w:t>三大系统分工明确、协同联动，构建成品出入库全流程数字化管理体系。</w:t>
      </w:r>
    </w:p>
    <w:p w14:paraId="5E724DC8">
      <w:pPr>
        <w:bidi w:val="0"/>
        <w:rPr>
          <w:rFonts w:hint="eastAsia"/>
          <w:color w:val="auto"/>
          <w:lang w:eastAsia="zh-CN"/>
        </w:rPr>
      </w:pPr>
      <w:r>
        <w:rPr>
          <w:rFonts w:hint="eastAsia"/>
          <w:color w:val="auto"/>
          <w:lang w:eastAsia="zh-CN"/>
        </w:rPr>
        <w:t>VSS 系统：核心负责库存可视化呈现、物料信息维护、库区划分及库存状态标记，是全流程数据展示与基础配置核心。</w:t>
      </w:r>
    </w:p>
    <w:p w14:paraId="726F8ACA">
      <w:pPr>
        <w:bidi w:val="0"/>
        <w:rPr>
          <w:rFonts w:hint="eastAsia"/>
          <w:color w:val="auto"/>
          <w:lang w:eastAsia="zh-CN"/>
        </w:rPr>
      </w:pPr>
      <w:r>
        <w:rPr>
          <w:rFonts w:hint="eastAsia"/>
          <w:color w:val="auto"/>
          <w:lang w:eastAsia="zh-CN"/>
        </w:rPr>
        <w:t>数智工厂系统：聚焦入库审核、质量检查状态管理，承接 AGV 自动入库数据，完成入库确认与库存状态转换。</w:t>
      </w:r>
    </w:p>
    <w:p w14:paraId="56FC4E05">
      <w:pPr>
        <w:bidi w:val="0"/>
        <w:rPr>
          <w:rFonts w:hint="eastAsia"/>
          <w:color w:val="auto"/>
          <w:lang w:eastAsia="zh-CN"/>
        </w:rPr>
      </w:pPr>
      <w:r>
        <w:rPr>
          <w:rFonts w:hint="eastAsia"/>
          <w:color w:val="auto"/>
          <w:lang w:eastAsia="zh-CN"/>
        </w:rPr>
        <w:t>供应链系统：主导出库全流程，涵盖库存查询、待出库单生成、批次分配、出库审核，联动 VSS 系统实现出库可视化管控。</w:t>
      </w:r>
    </w:p>
    <w:p w14:paraId="1D9EEEC5">
      <w:pPr>
        <w:pStyle w:val="42"/>
        <w:bidi w:val="0"/>
        <w:rPr>
          <w:color w:val="auto"/>
        </w:rPr>
      </w:pPr>
      <w:r>
        <w:rPr>
          <w:color w:val="auto"/>
        </w:rPr>
        <w:drawing>
          <wp:inline distT="0" distB="0" distL="114300" distR="114300">
            <wp:extent cx="5260975" cy="975360"/>
            <wp:effectExtent l="9525" t="9525" r="17780" b="2095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57"/>
                    <a:stretch>
                      <a:fillRect/>
                    </a:stretch>
                  </pic:blipFill>
                  <pic:spPr>
                    <a:xfrm>
                      <a:off x="0" y="0"/>
                      <a:ext cx="5260975" cy="975360"/>
                    </a:xfrm>
                    <a:prstGeom prst="rect">
                      <a:avLst/>
                    </a:prstGeom>
                    <a:ln>
                      <a:solidFill>
                        <a:schemeClr val="tx1"/>
                      </a:solidFill>
                    </a:ln>
                  </pic:spPr>
                </pic:pic>
              </a:graphicData>
            </a:graphic>
          </wp:inline>
        </w:drawing>
      </w:r>
    </w:p>
    <w:p w14:paraId="37EC97E8">
      <w:pPr>
        <w:pStyle w:val="42"/>
        <w:bidi w:val="0"/>
        <w:rPr>
          <w:rFonts w:hint="eastAsia"/>
          <w:color w:val="auto"/>
          <w:lang w:eastAsia="zh-CN"/>
        </w:rPr>
      </w:pPr>
      <w:r>
        <w:rPr>
          <w:color w:val="auto"/>
        </w:rPr>
        <w:drawing>
          <wp:inline distT="0" distB="0" distL="114300" distR="114300">
            <wp:extent cx="5273040" cy="1282700"/>
            <wp:effectExtent l="9525" t="9525" r="20955" b="1841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158"/>
                    <a:stretch>
                      <a:fillRect/>
                    </a:stretch>
                  </pic:blipFill>
                  <pic:spPr>
                    <a:xfrm>
                      <a:off x="0" y="0"/>
                      <a:ext cx="5273040" cy="1282700"/>
                    </a:xfrm>
                    <a:prstGeom prst="rect">
                      <a:avLst/>
                    </a:prstGeom>
                    <a:ln>
                      <a:solidFill>
                        <a:schemeClr val="tx1"/>
                      </a:solidFill>
                    </a:ln>
                  </pic:spPr>
                </pic:pic>
              </a:graphicData>
            </a:graphic>
          </wp:inline>
        </w:drawing>
      </w:r>
    </w:p>
    <w:p w14:paraId="352C9927">
      <w:pPr>
        <w:numPr>
          <w:ilvl w:val="0"/>
          <w:numId w:val="20"/>
        </w:numPr>
        <w:bidi w:val="0"/>
        <w:ind w:left="425" w:leftChars="0" w:hanging="425" w:firstLineChars="0"/>
        <w:rPr>
          <w:rFonts w:hint="eastAsia"/>
          <w:b/>
          <w:bCs/>
          <w:color w:val="auto"/>
          <w:lang w:val="en-US" w:eastAsia="zh-CN"/>
        </w:rPr>
      </w:pPr>
      <w:r>
        <w:rPr>
          <w:rFonts w:hint="eastAsia"/>
          <w:b/>
          <w:bCs/>
          <w:color w:val="auto"/>
          <w:lang w:val="en-US" w:eastAsia="zh-CN"/>
        </w:rPr>
        <w:t>信息维护及库区划分功能（VSS 系统）</w:t>
      </w:r>
    </w:p>
    <w:p w14:paraId="33B55A17">
      <w:pPr>
        <w:bidi w:val="0"/>
        <w:rPr>
          <w:rFonts w:hint="eastAsia"/>
          <w:color w:val="auto"/>
          <w:lang w:val="en-US" w:eastAsia="zh-CN"/>
        </w:rPr>
      </w:pPr>
      <w:r>
        <w:rPr>
          <w:rFonts w:hint="eastAsia"/>
          <w:color w:val="auto"/>
          <w:lang w:val="en-US" w:eastAsia="zh-CN"/>
        </w:rPr>
        <w:t>该模块是出入库业务的基础配置环节，由仓管员负责操作，保障后续流程顺畅推进。</w:t>
      </w:r>
    </w:p>
    <w:p w14:paraId="3A6AF40B">
      <w:pPr>
        <w:bidi w:val="0"/>
        <w:rPr>
          <w:rFonts w:hint="eastAsia"/>
          <w:b/>
          <w:bCs/>
          <w:color w:val="auto"/>
          <w:lang w:val="en-US" w:eastAsia="zh-CN"/>
        </w:rPr>
      </w:pPr>
      <w:r>
        <w:rPr>
          <w:rFonts w:hint="eastAsia"/>
          <w:b/>
          <w:bCs/>
          <w:color w:val="auto"/>
          <w:lang w:val="en-US" w:eastAsia="zh-CN"/>
        </w:rPr>
        <w:t>物料信息维护</w:t>
      </w:r>
    </w:p>
    <w:p w14:paraId="32A0433E">
      <w:pPr>
        <w:bidi w:val="0"/>
        <w:rPr>
          <w:rFonts w:hint="eastAsia"/>
          <w:color w:val="auto"/>
          <w:lang w:val="en-US" w:eastAsia="zh-CN"/>
        </w:rPr>
      </w:pPr>
      <w:r>
        <w:rPr>
          <w:rFonts w:hint="eastAsia"/>
          <w:color w:val="auto"/>
          <w:lang w:val="en-US" w:eastAsia="zh-CN"/>
        </w:rPr>
        <w:t>操作入口：VSS 库存可视化系统登录后，进入物料类型颜色设置页面。</w:t>
      </w:r>
    </w:p>
    <w:p w14:paraId="0F945A39">
      <w:pPr>
        <w:bidi w:val="0"/>
        <w:rPr>
          <w:rFonts w:hint="eastAsia"/>
          <w:color w:val="auto"/>
          <w:lang w:val="en-US" w:eastAsia="zh-CN"/>
        </w:rPr>
      </w:pPr>
      <w:r>
        <w:rPr>
          <w:rFonts w:hint="eastAsia"/>
          <w:color w:val="auto"/>
          <w:lang w:val="en-US" w:eastAsia="zh-CN"/>
        </w:rPr>
        <w:t>核心功能：维护物料核心信息，包括物料编码、物料名称，并为不同物料设置专属背景色和边框色，实现物料可视化区分。</w:t>
      </w:r>
    </w:p>
    <w:p w14:paraId="0263D11F">
      <w:pPr>
        <w:bidi w:val="0"/>
        <w:rPr>
          <w:rFonts w:hint="eastAsia"/>
          <w:color w:val="auto"/>
          <w:lang w:val="en-US" w:eastAsia="zh-CN"/>
        </w:rPr>
      </w:pPr>
      <w:r>
        <w:rPr>
          <w:rFonts w:hint="eastAsia"/>
          <w:color w:val="auto"/>
          <w:lang w:val="en-US" w:eastAsia="zh-CN"/>
        </w:rPr>
        <w:t>操作权限：支持新增、编辑、删除物料信息，可重置默认颜色配置或确认修改，例如为红牛维生素功能饮料普通型（编码 10001114）设置特定颜色标记。</w:t>
      </w:r>
    </w:p>
    <w:p w14:paraId="0D3BBB21">
      <w:pPr>
        <w:pStyle w:val="42"/>
        <w:bidi w:val="0"/>
        <w:rPr>
          <w:color w:val="auto"/>
        </w:rPr>
      </w:pPr>
      <w:r>
        <w:rPr>
          <w:color w:val="auto"/>
        </w:rPr>
        <w:drawing>
          <wp:inline distT="0" distB="0" distL="114300" distR="114300">
            <wp:extent cx="5267960" cy="2121535"/>
            <wp:effectExtent l="9525" t="9525" r="10795" b="1778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159"/>
                    <a:stretch>
                      <a:fillRect/>
                    </a:stretch>
                  </pic:blipFill>
                  <pic:spPr>
                    <a:xfrm>
                      <a:off x="0" y="0"/>
                      <a:ext cx="5267960" cy="2121535"/>
                    </a:xfrm>
                    <a:prstGeom prst="rect">
                      <a:avLst/>
                    </a:prstGeom>
                    <a:ln>
                      <a:solidFill>
                        <a:schemeClr val="tx1"/>
                      </a:solidFill>
                    </a:ln>
                  </pic:spPr>
                </pic:pic>
              </a:graphicData>
            </a:graphic>
          </wp:inline>
        </w:drawing>
      </w:r>
    </w:p>
    <w:p w14:paraId="62F1558B">
      <w:pPr>
        <w:bidi w:val="0"/>
        <w:rPr>
          <w:rFonts w:hint="eastAsia"/>
          <w:b/>
          <w:bCs/>
          <w:color w:val="auto"/>
        </w:rPr>
      </w:pPr>
      <w:r>
        <w:rPr>
          <w:rFonts w:hint="eastAsia"/>
          <w:b/>
          <w:bCs/>
          <w:color w:val="auto"/>
        </w:rPr>
        <w:t>存放库位优先级划分操作时机：下一个班次生产前完成配置。</w:t>
      </w:r>
    </w:p>
    <w:p w14:paraId="07966689">
      <w:pPr>
        <w:bidi w:val="0"/>
        <w:rPr>
          <w:rFonts w:hint="eastAsia"/>
          <w:color w:val="auto"/>
        </w:rPr>
      </w:pPr>
      <w:r>
        <w:rPr>
          <w:rFonts w:hint="eastAsia"/>
          <w:color w:val="auto"/>
        </w:rPr>
        <w:t>核心功能：明确 AGV 叉车自动搬运的库区优先级，划分产线专属存放库区（如产线一正常库、产线二正常库）。</w:t>
      </w:r>
    </w:p>
    <w:p w14:paraId="2453E6D5">
      <w:pPr>
        <w:bidi w:val="0"/>
        <w:rPr>
          <w:rFonts w:hint="eastAsia"/>
          <w:color w:val="auto"/>
        </w:rPr>
      </w:pPr>
      <w:r>
        <w:rPr>
          <w:rFonts w:hint="eastAsia"/>
          <w:color w:val="auto"/>
        </w:rPr>
        <w:t>可视化展示：系统呈现全库区布局（A 库区、B 库区等），显示可用库位数量、库位使用率、含批次数等关键数据，支持库位优先级排序（如 A13、A12 优先级高于 B15、B14）。</w:t>
      </w:r>
    </w:p>
    <w:p w14:paraId="1E0500B2">
      <w:pPr>
        <w:bidi w:val="0"/>
        <w:rPr>
          <w:rFonts w:hint="eastAsia"/>
          <w:color w:val="auto"/>
        </w:rPr>
      </w:pPr>
      <w:r>
        <w:rPr>
          <w:rFonts w:hint="eastAsia"/>
          <w:color w:val="auto"/>
        </w:rPr>
        <w:t>基础数据支撑：库位总容量 3886 个，实时更新库位使用情况（如已使用 1264 个）及刷新时间，保障库区规划科学性。</w:t>
      </w:r>
    </w:p>
    <w:p w14:paraId="1AAA04E0">
      <w:pPr>
        <w:pStyle w:val="42"/>
        <w:bidi w:val="0"/>
        <w:rPr>
          <w:rFonts w:hint="eastAsia"/>
          <w:color w:val="auto"/>
          <w:lang w:eastAsia="zh-CN"/>
        </w:rPr>
      </w:pPr>
      <w:r>
        <w:rPr>
          <w:rFonts w:hint="eastAsia"/>
          <w:color w:val="auto"/>
        </w:rPr>
        <w:drawing>
          <wp:inline distT="0" distB="0" distL="114300" distR="114300">
            <wp:extent cx="5264785" cy="620395"/>
            <wp:effectExtent l="9525" t="9525" r="13970" b="1016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160"/>
                    <a:stretch>
                      <a:fillRect/>
                    </a:stretch>
                  </pic:blipFill>
                  <pic:spPr>
                    <a:xfrm>
                      <a:off x="0" y="0"/>
                      <a:ext cx="5264785" cy="620395"/>
                    </a:xfrm>
                    <a:prstGeom prst="rect">
                      <a:avLst/>
                    </a:prstGeom>
                    <a:ln>
                      <a:solidFill>
                        <a:schemeClr val="tx1"/>
                      </a:solidFill>
                    </a:ln>
                  </pic:spPr>
                </pic:pic>
              </a:graphicData>
            </a:graphic>
          </wp:inline>
        </w:drawing>
      </w:r>
    </w:p>
    <w:p w14:paraId="721A5E14">
      <w:pPr>
        <w:pStyle w:val="42"/>
        <w:bidi w:val="0"/>
        <w:rPr>
          <w:rFonts w:hint="eastAsia"/>
          <w:color w:val="auto"/>
          <w:lang w:eastAsia="zh-CN"/>
        </w:rPr>
      </w:pPr>
      <w:r>
        <w:rPr>
          <w:rFonts w:hint="eastAsia"/>
          <w:color w:val="auto"/>
        </w:rPr>
        <w:drawing>
          <wp:inline distT="0" distB="0" distL="114300" distR="114300">
            <wp:extent cx="5267325" cy="1755775"/>
            <wp:effectExtent l="9525" t="9525" r="11430" b="1778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161"/>
                    <a:stretch>
                      <a:fillRect/>
                    </a:stretch>
                  </pic:blipFill>
                  <pic:spPr>
                    <a:xfrm>
                      <a:off x="0" y="0"/>
                      <a:ext cx="5267325" cy="1755775"/>
                    </a:xfrm>
                    <a:prstGeom prst="rect">
                      <a:avLst/>
                    </a:prstGeom>
                    <a:ln>
                      <a:solidFill>
                        <a:schemeClr val="tx1"/>
                      </a:solidFill>
                    </a:ln>
                  </pic:spPr>
                </pic:pic>
              </a:graphicData>
            </a:graphic>
          </wp:inline>
        </w:drawing>
      </w:r>
    </w:p>
    <w:p w14:paraId="65D0660B">
      <w:pPr>
        <w:numPr>
          <w:ilvl w:val="0"/>
          <w:numId w:val="20"/>
        </w:numPr>
        <w:bidi w:val="0"/>
        <w:ind w:left="425" w:leftChars="0" w:hanging="425" w:firstLineChars="0"/>
        <w:rPr>
          <w:rFonts w:hint="eastAsia"/>
          <w:b/>
          <w:bCs/>
          <w:color w:val="auto"/>
          <w:lang w:val="en-US" w:eastAsia="zh-CN"/>
        </w:rPr>
      </w:pPr>
      <w:r>
        <w:rPr>
          <w:rFonts w:hint="eastAsia"/>
          <w:b/>
          <w:bCs/>
          <w:color w:val="auto"/>
          <w:lang w:val="en-US" w:eastAsia="zh-CN"/>
        </w:rPr>
        <w:t>成品自动入库功能（数智工厂系统 + VSS 系统）</w:t>
      </w:r>
    </w:p>
    <w:p w14:paraId="3B94F899">
      <w:pPr>
        <w:bidi w:val="0"/>
        <w:rPr>
          <w:rFonts w:hint="eastAsia"/>
          <w:color w:val="auto"/>
        </w:rPr>
      </w:pPr>
      <w:r>
        <w:rPr>
          <w:rFonts w:hint="eastAsia"/>
          <w:color w:val="auto"/>
        </w:rPr>
        <w:t>该模块实现生产下线成品的自动化入库与数字化审核，涉及仓管员、品管员两大角色，核心依赖 AGV 自动搬运技术与系统协同。</w:t>
      </w:r>
    </w:p>
    <w:p w14:paraId="7022756E">
      <w:pPr>
        <w:bidi w:val="0"/>
        <w:rPr>
          <w:rFonts w:hint="eastAsia"/>
          <w:b/>
          <w:bCs/>
          <w:color w:val="auto"/>
        </w:rPr>
      </w:pPr>
      <w:r>
        <w:rPr>
          <w:rFonts w:hint="eastAsia"/>
          <w:b/>
          <w:bCs/>
          <w:color w:val="auto"/>
        </w:rPr>
        <w:t>待入库单审核</w:t>
      </w:r>
    </w:p>
    <w:p w14:paraId="24A5844B">
      <w:pPr>
        <w:bidi w:val="0"/>
        <w:rPr>
          <w:rFonts w:hint="eastAsia"/>
          <w:color w:val="auto"/>
        </w:rPr>
      </w:pPr>
      <w:r>
        <w:rPr>
          <w:rFonts w:hint="eastAsia"/>
          <w:color w:val="auto"/>
        </w:rPr>
        <w:t>触发条件：生产下线后，AGV 叉车自动完成成品搬运入库，系统生成待审核入库单。</w:t>
      </w:r>
    </w:p>
    <w:p w14:paraId="62FFE085">
      <w:pPr>
        <w:bidi w:val="0"/>
        <w:rPr>
          <w:rFonts w:hint="eastAsia"/>
          <w:color w:val="auto"/>
        </w:rPr>
      </w:pPr>
      <w:r>
        <w:rPr>
          <w:rFonts w:hint="eastAsia"/>
          <w:color w:val="auto"/>
        </w:rPr>
        <w:t>核心操作：补充录入生产订单号，核对入库单关键信息（入库单号、库存工厂编码、物料编码、生产日期、实际入库数等），执行审核确认操作。</w:t>
      </w:r>
    </w:p>
    <w:p w14:paraId="343CF8CE">
      <w:pPr>
        <w:bidi w:val="0"/>
        <w:rPr>
          <w:rFonts w:hint="eastAsia"/>
          <w:color w:val="auto"/>
        </w:rPr>
      </w:pPr>
      <w:r>
        <w:rPr>
          <w:rFonts w:hint="eastAsia"/>
          <w:color w:val="auto"/>
        </w:rPr>
        <w:t>入库单状态：包含待审核、待校验、停滞、已完成等状态，支持查看详情、编辑操作。</w:t>
      </w:r>
    </w:p>
    <w:p w14:paraId="29432707">
      <w:pPr>
        <w:pStyle w:val="42"/>
        <w:bidi w:val="0"/>
        <w:rPr>
          <w:rFonts w:hint="eastAsia"/>
          <w:color w:val="auto"/>
        </w:rPr>
      </w:pPr>
      <w:r>
        <w:rPr>
          <w:rFonts w:hint="eastAsia"/>
          <w:color w:val="auto"/>
        </w:rPr>
        <w:drawing>
          <wp:inline distT="0" distB="0" distL="114300" distR="114300">
            <wp:extent cx="5263515" cy="1316990"/>
            <wp:effectExtent l="9525" t="9525" r="15240" b="1460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162"/>
                    <a:stretch>
                      <a:fillRect/>
                    </a:stretch>
                  </pic:blipFill>
                  <pic:spPr>
                    <a:xfrm>
                      <a:off x="0" y="0"/>
                      <a:ext cx="5263515" cy="1316990"/>
                    </a:xfrm>
                    <a:prstGeom prst="rect">
                      <a:avLst/>
                    </a:prstGeom>
                    <a:ln>
                      <a:solidFill>
                        <a:schemeClr val="tx1"/>
                      </a:solidFill>
                    </a:ln>
                  </pic:spPr>
                </pic:pic>
              </a:graphicData>
            </a:graphic>
          </wp:inline>
        </w:drawing>
      </w:r>
    </w:p>
    <w:p w14:paraId="08CD7F3C">
      <w:pPr>
        <w:pStyle w:val="42"/>
        <w:bidi w:val="0"/>
        <w:rPr>
          <w:rFonts w:hint="eastAsia"/>
          <w:color w:val="auto"/>
        </w:rPr>
      </w:pPr>
      <w:r>
        <w:rPr>
          <w:rFonts w:hint="eastAsia"/>
          <w:color w:val="auto"/>
        </w:rPr>
        <w:drawing>
          <wp:inline distT="0" distB="0" distL="114300" distR="114300">
            <wp:extent cx="5260975" cy="1127760"/>
            <wp:effectExtent l="9525" t="9525" r="17780" b="20955"/>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163"/>
                    <a:stretch>
                      <a:fillRect/>
                    </a:stretch>
                  </pic:blipFill>
                  <pic:spPr>
                    <a:xfrm>
                      <a:off x="0" y="0"/>
                      <a:ext cx="5260975" cy="1127760"/>
                    </a:xfrm>
                    <a:prstGeom prst="rect">
                      <a:avLst/>
                    </a:prstGeom>
                    <a:ln>
                      <a:solidFill>
                        <a:schemeClr val="tx1"/>
                      </a:solidFill>
                    </a:ln>
                  </pic:spPr>
                </pic:pic>
              </a:graphicData>
            </a:graphic>
          </wp:inline>
        </w:drawing>
      </w:r>
    </w:p>
    <w:p w14:paraId="4C541855">
      <w:pPr>
        <w:bidi w:val="0"/>
        <w:rPr>
          <w:rFonts w:hint="eastAsia"/>
          <w:b/>
          <w:bCs/>
          <w:color w:val="auto"/>
        </w:rPr>
      </w:pPr>
      <w:r>
        <w:rPr>
          <w:rFonts w:hint="eastAsia"/>
          <w:b/>
          <w:bCs/>
          <w:color w:val="auto"/>
        </w:rPr>
        <w:t>库存可视化查询（VSS 系统）</w:t>
      </w:r>
    </w:p>
    <w:p w14:paraId="39B66500">
      <w:pPr>
        <w:bidi w:val="0"/>
        <w:rPr>
          <w:rFonts w:hint="eastAsia"/>
          <w:color w:val="auto"/>
        </w:rPr>
      </w:pPr>
      <w:r>
        <w:rPr>
          <w:rFonts w:hint="eastAsia"/>
          <w:color w:val="auto"/>
        </w:rPr>
        <w:t>查询时机：成品入库单审核完成后。</w:t>
      </w:r>
    </w:p>
    <w:p w14:paraId="5E40778F">
      <w:pPr>
        <w:bidi w:val="0"/>
        <w:rPr>
          <w:rFonts w:hint="eastAsia"/>
          <w:color w:val="auto"/>
        </w:rPr>
      </w:pPr>
      <w:r>
        <w:rPr>
          <w:rFonts w:hint="eastAsia"/>
          <w:color w:val="auto"/>
        </w:rPr>
        <w:t>核心功能：仓管员可按库位编码、成品批次、物料信息等条件筛选查询，可视化展示已入库物料的库存状态（重点显示质量检查状态）。</w:t>
      </w:r>
    </w:p>
    <w:p w14:paraId="7779554B">
      <w:pPr>
        <w:bidi w:val="0"/>
        <w:rPr>
          <w:rFonts w:hint="eastAsia"/>
          <w:color w:val="auto"/>
        </w:rPr>
      </w:pPr>
      <w:r>
        <w:rPr>
          <w:rFonts w:hint="eastAsia"/>
          <w:color w:val="auto"/>
        </w:rPr>
        <w:t>展示维度：系统呈现库存工厂编码及名称、物料编码及名称、成品批次、实际库存、箱序列号范围、库位名称、库存类型等关键数据。</w:t>
      </w:r>
    </w:p>
    <w:p w14:paraId="37D069BC">
      <w:pPr>
        <w:bidi w:val="0"/>
        <w:rPr>
          <w:rFonts w:hint="eastAsia"/>
          <w:color w:val="auto"/>
        </w:rPr>
      </w:pPr>
      <w:r>
        <w:rPr>
          <w:rFonts w:hint="eastAsia"/>
          <w:color w:val="auto"/>
        </w:rPr>
        <w:t>库区可视化：以图形化方式展示 A、B 等库区布局，鼠标悬浮或点击库位可查看详细信息（如生产日期、序列号范围、物料规格等）</w:t>
      </w:r>
    </w:p>
    <w:p w14:paraId="50D43702">
      <w:pPr>
        <w:pStyle w:val="42"/>
        <w:bidi w:val="0"/>
        <w:rPr>
          <w:rFonts w:hint="eastAsia"/>
          <w:color w:val="auto"/>
        </w:rPr>
      </w:pPr>
      <w:r>
        <w:rPr>
          <w:rFonts w:hint="eastAsia"/>
          <w:color w:val="auto"/>
        </w:rPr>
        <w:drawing>
          <wp:inline distT="0" distB="0" distL="114300" distR="114300">
            <wp:extent cx="5266690" cy="1245235"/>
            <wp:effectExtent l="9525" t="9525" r="12065" b="10160"/>
            <wp:docPr id="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pic:cNvPicPr>
                      <a:picLocks noChangeAspect="1"/>
                    </pic:cNvPicPr>
                  </pic:nvPicPr>
                  <pic:blipFill>
                    <a:blip r:embed="rId164"/>
                    <a:stretch>
                      <a:fillRect/>
                    </a:stretch>
                  </pic:blipFill>
                  <pic:spPr>
                    <a:xfrm>
                      <a:off x="0" y="0"/>
                      <a:ext cx="5266690" cy="1245235"/>
                    </a:xfrm>
                    <a:prstGeom prst="rect">
                      <a:avLst/>
                    </a:prstGeom>
                    <a:ln>
                      <a:solidFill>
                        <a:schemeClr val="tx1"/>
                      </a:solidFill>
                    </a:ln>
                  </pic:spPr>
                </pic:pic>
              </a:graphicData>
            </a:graphic>
          </wp:inline>
        </w:drawing>
      </w:r>
    </w:p>
    <w:p w14:paraId="145A3C6D">
      <w:pPr>
        <w:pStyle w:val="42"/>
        <w:bidi w:val="0"/>
        <w:rPr>
          <w:rFonts w:hint="eastAsia"/>
          <w:color w:val="auto"/>
        </w:rPr>
      </w:pPr>
      <w:r>
        <w:rPr>
          <w:rFonts w:hint="eastAsia"/>
          <w:color w:val="auto"/>
        </w:rPr>
        <w:drawing>
          <wp:inline distT="0" distB="0" distL="114300" distR="114300">
            <wp:extent cx="5270500" cy="1852930"/>
            <wp:effectExtent l="9525" t="9525" r="23495" b="12065"/>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165"/>
                    <a:stretch>
                      <a:fillRect/>
                    </a:stretch>
                  </pic:blipFill>
                  <pic:spPr>
                    <a:xfrm>
                      <a:off x="0" y="0"/>
                      <a:ext cx="5270500" cy="1852930"/>
                    </a:xfrm>
                    <a:prstGeom prst="rect">
                      <a:avLst/>
                    </a:prstGeom>
                    <a:ln>
                      <a:solidFill>
                        <a:schemeClr val="tx1"/>
                      </a:solidFill>
                    </a:ln>
                  </pic:spPr>
                </pic:pic>
              </a:graphicData>
            </a:graphic>
          </wp:inline>
        </w:drawing>
      </w:r>
    </w:p>
    <w:p w14:paraId="7E276D3E">
      <w:pPr>
        <w:bidi w:val="0"/>
        <w:rPr>
          <w:rFonts w:hint="eastAsia"/>
          <w:b/>
          <w:bCs/>
          <w:color w:val="auto"/>
        </w:rPr>
      </w:pPr>
      <w:r>
        <w:rPr>
          <w:rFonts w:hint="eastAsia"/>
          <w:b/>
          <w:bCs/>
          <w:color w:val="auto"/>
        </w:rPr>
        <w:t>质量检查解除非限制状态</w:t>
      </w:r>
    </w:p>
    <w:p w14:paraId="26F37F8E">
      <w:pPr>
        <w:bidi w:val="0"/>
        <w:rPr>
          <w:rFonts w:hint="eastAsia"/>
          <w:color w:val="auto"/>
        </w:rPr>
      </w:pPr>
      <w:r>
        <w:rPr>
          <w:rFonts w:hint="eastAsia"/>
          <w:color w:val="auto"/>
        </w:rPr>
        <w:t>操作条件：成品入库满 48 小时后，方可执行解除限制操作，未满 48 小时系统禁止操作。</w:t>
      </w:r>
    </w:p>
    <w:p w14:paraId="08869CA5">
      <w:pPr>
        <w:bidi w:val="0"/>
        <w:rPr>
          <w:rFonts w:hint="eastAsia"/>
          <w:color w:val="auto"/>
        </w:rPr>
      </w:pPr>
      <w:r>
        <w:rPr>
          <w:rFonts w:hint="eastAsia"/>
          <w:color w:val="auto"/>
        </w:rPr>
        <w:t>筛选条件：支持按成品批次、商品编号 / 名称、生产日期范围、库存类型、生产订单、交货单等条件查询目标库存。</w:t>
      </w:r>
    </w:p>
    <w:p w14:paraId="326B35CC">
      <w:pPr>
        <w:bidi w:val="0"/>
        <w:rPr>
          <w:rFonts w:hint="eastAsia"/>
          <w:color w:val="auto"/>
        </w:rPr>
      </w:pPr>
      <w:r>
        <w:rPr>
          <w:rFonts w:hint="eastAsia"/>
          <w:color w:val="auto"/>
        </w:rPr>
        <w:t>核心操作：将库存状态从 “质量检查” 修改为 “非限制使用”，使其具备发货资格</w:t>
      </w:r>
    </w:p>
    <w:p w14:paraId="3513C362">
      <w:pPr>
        <w:pStyle w:val="42"/>
        <w:bidi w:val="0"/>
        <w:rPr>
          <w:rFonts w:hint="eastAsia"/>
          <w:color w:val="auto"/>
        </w:rPr>
      </w:pPr>
      <w:r>
        <w:rPr>
          <w:rFonts w:hint="eastAsia"/>
          <w:color w:val="auto"/>
        </w:rPr>
        <w:drawing>
          <wp:inline distT="0" distB="0" distL="114300" distR="114300">
            <wp:extent cx="5268595" cy="1529080"/>
            <wp:effectExtent l="9525" t="9525" r="10160" b="15875"/>
            <wp:docPr id="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6"/>
                    <pic:cNvPicPr>
                      <a:picLocks noChangeAspect="1"/>
                    </pic:cNvPicPr>
                  </pic:nvPicPr>
                  <pic:blipFill>
                    <a:blip r:embed="rId166"/>
                    <a:stretch>
                      <a:fillRect/>
                    </a:stretch>
                  </pic:blipFill>
                  <pic:spPr>
                    <a:xfrm>
                      <a:off x="0" y="0"/>
                      <a:ext cx="5268595" cy="1529080"/>
                    </a:xfrm>
                    <a:prstGeom prst="rect">
                      <a:avLst/>
                    </a:prstGeom>
                    <a:ln>
                      <a:solidFill>
                        <a:schemeClr val="tx1"/>
                      </a:solidFill>
                    </a:ln>
                  </pic:spPr>
                </pic:pic>
              </a:graphicData>
            </a:graphic>
          </wp:inline>
        </w:drawing>
      </w:r>
    </w:p>
    <w:p w14:paraId="6A4D5438">
      <w:pPr>
        <w:bidi w:val="0"/>
        <w:rPr>
          <w:rFonts w:hint="eastAsia"/>
          <w:b/>
          <w:bCs/>
          <w:color w:val="auto"/>
        </w:rPr>
      </w:pPr>
      <w:r>
        <w:rPr>
          <w:rFonts w:hint="eastAsia"/>
          <w:b/>
          <w:bCs/>
          <w:color w:val="auto"/>
        </w:rPr>
        <w:t>库存可视化发货标记 / 备注（VSS 系统）</w:t>
      </w:r>
    </w:p>
    <w:p w14:paraId="52400E16">
      <w:pPr>
        <w:bidi w:val="0"/>
        <w:rPr>
          <w:rFonts w:hint="eastAsia"/>
          <w:color w:val="auto"/>
        </w:rPr>
      </w:pPr>
      <w:r>
        <w:rPr>
          <w:rFonts w:hint="eastAsia"/>
          <w:color w:val="auto"/>
        </w:rPr>
        <w:t>操作前提：库存已解除限制，处于可发货状态。</w:t>
      </w:r>
    </w:p>
    <w:p w14:paraId="236CD844">
      <w:pPr>
        <w:bidi w:val="0"/>
        <w:rPr>
          <w:rFonts w:hint="eastAsia"/>
          <w:color w:val="auto"/>
        </w:rPr>
      </w:pPr>
      <w:r>
        <w:rPr>
          <w:rFonts w:hint="eastAsia"/>
          <w:color w:val="auto"/>
        </w:rPr>
        <w:t>操作角色：仓管员。</w:t>
      </w:r>
    </w:p>
    <w:p w14:paraId="2CA8FF95">
      <w:pPr>
        <w:bidi w:val="0"/>
        <w:rPr>
          <w:rFonts w:hint="eastAsia"/>
          <w:color w:val="auto"/>
        </w:rPr>
      </w:pPr>
      <w:r>
        <w:rPr>
          <w:rFonts w:hint="eastAsia"/>
          <w:color w:val="auto"/>
        </w:rPr>
        <w:t>核心功能：对可发货库存进行特殊信息标记与备注，通过颜色区分库存状态（绿色代表已解除限制，可发货）。</w:t>
      </w:r>
    </w:p>
    <w:p w14:paraId="694E9D21">
      <w:pPr>
        <w:bidi w:val="0"/>
        <w:rPr>
          <w:rFonts w:hint="eastAsia"/>
          <w:color w:val="auto"/>
        </w:rPr>
      </w:pPr>
      <w:r>
        <w:rPr>
          <w:rFonts w:hint="eastAsia"/>
          <w:color w:val="auto"/>
        </w:rPr>
        <w:t>操作方式：支持单击选中单个批次、拖拽框选多个批次，可标记整库发等特殊发货属性。</w:t>
      </w:r>
    </w:p>
    <w:p w14:paraId="4A760857">
      <w:pPr>
        <w:pStyle w:val="42"/>
        <w:bidi w:val="0"/>
        <w:rPr>
          <w:rFonts w:hint="eastAsia"/>
          <w:color w:val="auto"/>
        </w:rPr>
      </w:pPr>
      <w:r>
        <w:rPr>
          <w:rFonts w:hint="eastAsia"/>
          <w:color w:val="auto"/>
        </w:rPr>
        <w:drawing>
          <wp:inline distT="0" distB="0" distL="114300" distR="114300">
            <wp:extent cx="5274310" cy="1812290"/>
            <wp:effectExtent l="9525" t="9525" r="19685" b="22225"/>
            <wp:docPr id="3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pic:cNvPicPr>
                      <a:picLocks noChangeAspect="1"/>
                    </pic:cNvPicPr>
                  </pic:nvPicPr>
                  <pic:blipFill>
                    <a:blip r:embed="rId167"/>
                    <a:stretch>
                      <a:fillRect/>
                    </a:stretch>
                  </pic:blipFill>
                  <pic:spPr>
                    <a:xfrm>
                      <a:off x="0" y="0"/>
                      <a:ext cx="5274310" cy="1812290"/>
                    </a:xfrm>
                    <a:prstGeom prst="rect">
                      <a:avLst/>
                    </a:prstGeom>
                    <a:ln>
                      <a:solidFill>
                        <a:schemeClr val="tx1"/>
                      </a:solidFill>
                    </a:ln>
                  </pic:spPr>
                </pic:pic>
              </a:graphicData>
            </a:graphic>
          </wp:inline>
        </w:drawing>
      </w:r>
    </w:p>
    <w:p w14:paraId="5CBAA60A">
      <w:pPr>
        <w:pStyle w:val="42"/>
        <w:bidi w:val="0"/>
        <w:rPr>
          <w:rFonts w:hint="eastAsia"/>
          <w:color w:val="auto"/>
        </w:rPr>
      </w:pPr>
      <w:r>
        <w:rPr>
          <w:rFonts w:hint="eastAsia"/>
          <w:color w:val="auto"/>
        </w:rPr>
        <w:drawing>
          <wp:inline distT="0" distB="0" distL="114300" distR="114300">
            <wp:extent cx="5264785" cy="2394585"/>
            <wp:effectExtent l="9525" t="9525" r="13970" b="19050"/>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168"/>
                    <a:stretch>
                      <a:fillRect/>
                    </a:stretch>
                  </pic:blipFill>
                  <pic:spPr>
                    <a:xfrm>
                      <a:off x="0" y="0"/>
                      <a:ext cx="5264785" cy="2394585"/>
                    </a:xfrm>
                    <a:prstGeom prst="rect">
                      <a:avLst/>
                    </a:prstGeom>
                    <a:ln>
                      <a:solidFill>
                        <a:schemeClr val="tx1"/>
                      </a:solidFill>
                    </a:ln>
                  </pic:spPr>
                </pic:pic>
              </a:graphicData>
            </a:graphic>
          </wp:inline>
        </w:drawing>
      </w:r>
    </w:p>
    <w:p w14:paraId="66EB5762">
      <w:pPr>
        <w:bidi w:val="0"/>
        <w:rPr>
          <w:rFonts w:hint="eastAsia"/>
          <w:b/>
          <w:bCs/>
          <w:color w:val="auto"/>
        </w:rPr>
      </w:pPr>
      <w:r>
        <w:rPr>
          <w:rFonts w:hint="eastAsia"/>
          <w:b/>
          <w:bCs/>
          <w:color w:val="auto"/>
        </w:rPr>
        <w:t>成品发货可视化功能（供应链系统 + VSS 系统）</w:t>
      </w:r>
    </w:p>
    <w:p w14:paraId="44AF1EBB">
      <w:pPr>
        <w:bidi w:val="0"/>
        <w:rPr>
          <w:rFonts w:hint="eastAsia"/>
          <w:color w:val="auto"/>
        </w:rPr>
      </w:pPr>
      <w:r>
        <w:rPr>
          <w:rFonts w:hint="eastAsia"/>
          <w:color w:val="auto"/>
        </w:rPr>
        <w:t>该模块聚焦成品出库全流程可视化管理，由调度员、仓管员协同操作，严格遵循发运计划执行出库。</w:t>
      </w:r>
    </w:p>
    <w:p w14:paraId="4AA44D05">
      <w:pPr>
        <w:bidi w:val="0"/>
        <w:rPr>
          <w:rFonts w:hint="eastAsia"/>
          <w:color w:val="auto"/>
        </w:rPr>
      </w:pPr>
      <w:r>
        <w:rPr>
          <w:rFonts w:hint="eastAsia"/>
          <w:color w:val="auto"/>
        </w:rPr>
        <w:t>库存可视化查询（供应链系统）</w:t>
      </w:r>
    </w:p>
    <w:p w14:paraId="2094E365">
      <w:pPr>
        <w:bidi w:val="0"/>
        <w:rPr>
          <w:rFonts w:hint="eastAsia"/>
          <w:color w:val="auto"/>
        </w:rPr>
      </w:pPr>
      <w:r>
        <w:rPr>
          <w:rFonts w:hint="eastAsia"/>
          <w:color w:val="auto"/>
        </w:rPr>
        <w:t>核心功能：查询已入库且处于 “非限制状态” 的物料库存，支持按工厂 / 仓库、物料编码等条件筛选。</w:t>
      </w:r>
    </w:p>
    <w:p w14:paraId="50A7512E">
      <w:pPr>
        <w:bidi w:val="0"/>
        <w:rPr>
          <w:rFonts w:hint="eastAsia"/>
          <w:color w:val="auto"/>
        </w:rPr>
      </w:pPr>
      <w:r>
        <w:rPr>
          <w:rFonts w:hint="eastAsia"/>
          <w:color w:val="auto"/>
        </w:rPr>
        <w:t>展示数据：包含可用库存合计、质量检查库存合计、库位编码、实际库存、物料状态、箱序列号范围等信息，以可视化方式呈现库区库存分布</w:t>
      </w:r>
    </w:p>
    <w:p w14:paraId="4852D1CE">
      <w:pPr>
        <w:pStyle w:val="42"/>
        <w:bidi w:val="0"/>
        <w:rPr>
          <w:rFonts w:hint="eastAsia"/>
          <w:color w:val="auto"/>
        </w:rPr>
      </w:pPr>
      <w:r>
        <w:rPr>
          <w:rFonts w:hint="eastAsia"/>
          <w:color w:val="auto"/>
        </w:rPr>
        <w:drawing>
          <wp:inline distT="0" distB="0" distL="114300" distR="114300">
            <wp:extent cx="5268595" cy="1177290"/>
            <wp:effectExtent l="9525" t="9525" r="10160" b="17145"/>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169"/>
                    <a:stretch>
                      <a:fillRect/>
                    </a:stretch>
                  </pic:blipFill>
                  <pic:spPr>
                    <a:xfrm>
                      <a:off x="0" y="0"/>
                      <a:ext cx="5268595" cy="1177290"/>
                    </a:xfrm>
                    <a:prstGeom prst="rect">
                      <a:avLst/>
                    </a:prstGeom>
                    <a:ln>
                      <a:solidFill>
                        <a:schemeClr val="tx1"/>
                      </a:solidFill>
                    </a:ln>
                  </pic:spPr>
                </pic:pic>
              </a:graphicData>
            </a:graphic>
          </wp:inline>
        </w:drawing>
      </w:r>
    </w:p>
    <w:p w14:paraId="15352F01">
      <w:pPr>
        <w:pStyle w:val="42"/>
        <w:bidi w:val="0"/>
        <w:rPr>
          <w:rFonts w:hint="eastAsia"/>
          <w:color w:val="auto"/>
        </w:rPr>
      </w:pPr>
      <w:r>
        <w:rPr>
          <w:rFonts w:hint="eastAsia"/>
          <w:color w:val="auto"/>
        </w:rPr>
        <w:drawing>
          <wp:inline distT="0" distB="0" distL="114300" distR="114300">
            <wp:extent cx="5266055" cy="2936240"/>
            <wp:effectExtent l="9525" t="9525" r="12700" b="10795"/>
            <wp:docPr id="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pic:cNvPicPr>
                      <a:picLocks noChangeAspect="1"/>
                    </pic:cNvPicPr>
                  </pic:nvPicPr>
                  <pic:blipFill>
                    <a:blip r:embed="rId170"/>
                    <a:stretch>
                      <a:fillRect/>
                    </a:stretch>
                  </pic:blipFill>
                  <pic:spPr>
                    <a:xfrm>
                      <a:off x="0" y="0"/>
                      <a:ext cx="5266055" cy="2936240"/>
                    </a:xfrm>
                    <a:prstGeom prst="rect">
                      <a:avLst/>
                    </a:prstGeom>
                    <a:ln>
                      <a:solidFill>
                        <a:schemeClr val="tx1"/>
                      </a:solidFill>
                    </a:ln>
                  </pic:spPr>
                </pic:pic>
              </a:graphicData>
            </a:graphic>
          </wp:inline>
        </w:drawing>
      </w:r>
    </w:p>
    <w:p w14:paraId="61BFABA9">
      <w:pPr>
        <w:bidi w:val="0"/>
        <w:rPr>
          <w:rFonts w:hint="eastAsia"/>
          <w:b/>
          <w:bCs/>
          <w:color w:val="auto"/>
        </w:rPr>
      </w:pPr>
      <w:r>
        <w:rPr>
          <w:rFonts w:hint="eastAsia"/>
          <w:b/>
          <w:bCs/>
          <w:color w:val="auto"/>
        </w:rPr>
        <w:t>生成待出库单（供应链系统）</w:t>
      </w:r>
    </w:p>
    <w:p w14:paraId="0BBA4951">
      <w:pPr>
        <w:bidi w:val="0"/>
        <w:rPr>
          <w:rFonts w:hint="eastAsia"/>
          <w:color w:val="auto"/>
        </w:rPr>
      </w:pPr>
      <w:r>
        <w:rPr>
          <w:rFonts w:hint="eastAsia"/>
          <w:color w:val="auto"/>
        </w:rPr>
        <w:t>筛选条件：按发货工厂、目的地、发运日期范围、商品信息、处理状态（待处理、处理中、已处理）等条件查询目标发运计划。</w:t>
      </w:r>
    </w:p>
    <w:p w14:paraId="114E98D9">
      <w:pPr>
        <w:bidi w:val="0"/>
        <w:rPr>
          <w:rFonts w:hint="eastAsia"/>
          <w:color w:val="auto"/>
        </w:rPr>
      </w:pPr>
      <w:r>
        <w:rPr>
          <w:rFonts w:hint="eastAsia"/>
          <w:color w:val="auto"/>
        </w:rPr>
        <w:t>核心操作：在出库计划列表中选择对应计划，生成待出库单，明确发货数量、目的地、承运商、运输方式等关键信息。</w:t>
      </w:r>
    </w:p>
    <w:p w14:paraId="00CAFDA1">
      <w:pPr>
        <w:pStyle w:val="42"/>
        <w:bidi w:val="0"/>
        <w:rPr>
          <w:rFonts w:hint="eastAsia"/>
          <w:color w:val="auto"/>
        </w:rPr>
      </w:pPr>
      <w:r>
        <w:rPr>
          <w:rFonts w:hint="eastAsia"/>
          <w:color w:val="auto"/>
        </w:rPr>
        <w:drawing>
          <wp:inline distT="0" distB="0" distL="114300" distR="114300">
            <wp:extent cx="5273040" cy="1205865"/>
            <wp:effectExtent l="9525" t="9525" r="20955" b="19050"/>
            <wp:docPr id="3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pic:cNvPicPr>
                      <a:picLocks noChangeAspect="1"/>
                    </pic:cNvPicPr>
                  </pic:nvPicPr>
                  <pic:blipFill>
                    <a:blip r:embed="rId171"/>
                    <a:stretch>
                      <a:fillRect/>
                    </a:stretch>
                  </pic:blipFill>
                  <pic:spPr>
                    <a:xfrm>
                      <a:off x="0" y="0"/>
                      <a:ext cx="5273040" cy="1205865"/>
                    </a:xfrm>
                    <a:prstGeom prst="rect">
                      <a:avLst/>
                    </a:prstGeom>
                    <a:ln>
                      <a:solidFill>
                        <a:schemeClr val="tx1"/>
                      </a:solidFill>
                    </a:ln>
                  </pic:spPr>
                </pic:pic>
              </a:graphicData>
            </a:graphic>
          </wp:inline>
        </w:drawing>
      </w:r>
    </w:p>
    <w:p w14:paraId="4432C5C1">
      <w:pPr>
        <w:bidi w:val="0"/>
        <w:rPr>
          <w:rFonts w:hint="eastAsia"/>
          <w:b/>
          <w:bCs/>
          <w:color w:val="auto"/>
        </w:rPr>
      </w:pPr>
      <w:r>
        <w:rPr>
          <w:rFonts w:hint="eastAsia"/>
          <w:b/>
          <w:bCs/>
          <w:color w:val="auto"/>
        </w:rPr>
        <w:t>分配发货批次（供应链系统）</w:t>
      </w:r>
    </w:p>
    <w:p w14:paraId="54C48F5C">
      <w:pPr>
        <w:bidi w:val="0"/>
        <w:rPr>
          <w:rFonts w:hint="eastAsia"/>
          <w:color w:val="auto"/>
        </w:rPr>
      </w:pPr>
      <w:r>
        <w:rPr>
          <w:rFonts w:hint="eastAsia"/>
          <w:color w:val="auto"/>
        </w:rPr>
        <w:t>前置操作：生成待出库单后，进入批次分配环节。</w:t>
      </w:r>
    </w:p>
    <w:p w14:paraId="601316C0">
      <w:pPr>
        <w:bidi w:val="0"/>
        <w:rPr>
          <w:rFonts w:hint="eastAsia"/>
          <w:color w:val="auto"/>
        </w:rPr>
      </w:pPr>
      <w:r>
        <w:rPr>
          <w:rFonts w:hint="eastAsia"/>
          <w:color w:val="auto"/>
        </w:rPr>
        <w:t>核心录入信息：输入车辆停靠门位置、车牌号等运输相关信息。</w:t>
      </w:r>
    </w:p>
    <w:p w14:paraId="5C186B81">
      <w:pPr>
        <w:bidi w:val="0"/>
        <w:rPr>
          <w:rFonts w:hint="eastAsia"/>
          <w:color w:val="auto"/>
        </w:rPr>
      </w:pPr>
      <w:r>
        <w:rPr>
          <w:rFonts w:hint="eastAsia"/>
          <w:color w:val="auto"/>
        </w:rPr>
        <w:t>操作功能：关联对应的发运计划，明确计划出库数量，为待出库单分配具体发货批次</w:t>
      </w:r>
    </w:p>
    <w:p w14:paraId="037AFDCF">
      <w:pPr>
        <w:pStyle w:val="42"/>
        <w:bidi w:val="0"/>
        <w:rPr>
          <w:rFonts w:hint="eastAsia"/>
          <w:color w:val="auto"/>
        </w:rPr>
      </w:pPr>
      <w:r>
        <w:rPr>
          <w:rFonts w:hint="eastAsia"/>
          <w:color w:val="auto"/>
        </w:rPr>
        <w:drawing>
          <wp:inline distT="0" distB="0" distL="114300" distR="114300">
            <wp:extent cx="5274310" cy="3080385"/>
            <wp:effectExtent l="9525" t="9525" r="19685" b="1905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72"/>
                    <a:stretch>
                      <a:fillRect/>
                    </a:stretch>
                  </pic:blipFill>
                  <pic:spPr>
                    <a:xfrm>
                      <a:off x="0" y="0"/>
                      <a:ext cx="5274310" cy="3080385"/>
                    </a:xfrm>
                    <a:prstGeom prst="rect">
                      <a:avLst/>
                    </a:prstGeom>
                    <a:ln>
                      <a:solidFill>
                        <a:schemeClr val="tx1"/>
                      </a:solidFill>
                    </a:ln>
                  </pic:spPr>
                </pic:pic>
              </a:graphicData>
            </a:graphic>
          </wp:inline>
        </w:drawing>
      </w:r>
    </w:p>
    <w:p w14:paraId="7003FBDE">
      <w:pPr>
        <w:bidi w:val="0"/>
        <w:rPr>
          <w:rFonts w:hint="eastAsia"/>
          <w:color w:val="auto"/>
        </w:rPr>
      </w:pPr>
      <w:r>
        <w:rPr>
          <w:rFonts w:hint="eastAsia"/>
          <w:color w:val="auto"/>
        </w:rPr>
        <w:t>批次可视化选择（供应链系统）</w:t>
      </w:r>
    </w:p>
    <w:p w14:paraId="7D4BABC7">
      <w:pPr>
        <w:bidi w:val="0"/>
        <w:rPr>
          <w:rFonts w:hint="eastAsia"/>
          <w:color w:val="auto"/>
        </w:rPr>
      </w:pPr>
      <w:r>
        <w:rPr>
          <w:rFonts w:hint="eastAsia"/>
          <w:color w:val="auto"/>
        </w:rPr>
        <w:t>操作角色：调度员。</w:t>
      </w:r>
    </w:p>
    <w:p w14:paraId="6CD3B619">
      <w:pPr>
        <w:bidi w:val="0"/>
        <w:rPr>
          <w:rFonts w:hint="eastAsia"/>
          <w:color w:val="auto"/>
        </w:rPr>
      </w:pPr>
      <w:r>
        <w:rPr>
          <w:rFonts w:hint="eastAsia"/>
          <w:color w:val="auto"/>
        </w:rPr>
        <w:t>筛选条件：按生产日期、库存类型、物料信息等条件筛选可出库批次。</w:t>
      </w:r>
    </w:p>
    <w:p w14:paraId="4A36C4C2">
      <w:pPr>
        <w:bidi w:val="0"/>
        <w:rPr>
          <w:rFonts w:hint="eastAsia"/>
          <w:color w:val="auto"/>
        </w:rPr>
      </w:pPr>
      <w:r>
        <w:rPr>
          <w:rFonts w:hint="eastAsia"/>
          <w:color w:val="auto"/>
        </w:rPr>
        <w:t>可视化操作：打开可视化库位页面，支持单击选中单个批次、左键拖拽框选多个批次，右击可查看批次详情。</w:t>
      </w:r>
    </w:p>
    <w:p w14:paraId="41EE5245">
      <w:pPr>
        <w:bidi w:val="0"/>
        <w:rPr>
          <w:rFonts w:hint="eastAsia"/>
          <w:color w:val="auto"/>
        </w:rPr>
      </w:pPr>
      <w:r>
        <w:rPr>
          <w:rFonts w:hint="eastAsia"/>
          <w:color w:val="auto"/>
        </w:rPr>
        <w:t>灵活配置：支持修改箱序列号范围，实现部分出库；系统实时显示当前选择批次的个数、总箱数。</w:t>
      </w:r>
    </w:p>
    <w:p w14:paraId="056E1C75">
      <w:pPr>
        <w:bidi w:val="0"/>
        <w:rPr>
          <w:rFonts w:hint="eastAsia"/>
          <w:color w:val="auto"/>
        </w:rPr>
      </w:pPr>
      <w:r>
        <w:rPr>
          <w:rFonts w:hint="eastAsia"/>
          <w:color w:val="auto"/>
        </w:rPr>
        <w:t>库存状态联动：选择批次后，VSS 系统中对应库存自动变为锁定状态，仅显示剩余箱序列号。</w:t>
      </w:r>
    </w:p>
    <w:p w14:paraId="06B50878">
      <w:pPr>
        <w:pStyle w:val="42"/>
        <w:bidi w:val="0"/>
        <w:rPr>
          <w:rFonts w:hint="eastAsia"/>
          <w:color w:val="auto"/>
        </w:rPr>
      </w:pPr>
      <w:r>
        <w:rPr>
          <w:rFonts w:hint="eastAsia"/>
          <w:color w:val="auto"/>
        </w:rPr>
        <w:drawing>
          <wp:inline distT="0" distB="0" distL="114300" distR="114300">
            <wp:extent cx="5273040" cy="2465070"/>
            <wp:effectExtent l="9525" t="9525" r="20955" b="952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73"/>
                    <a:stretch>
                      <a:fillRect/>
                    </a:stretch>
                  </pic:blipFill>
                  <pic:spPr>
                    <a:xfrm>
                      <a:off x="0" y="0"/>
                      <a:ext cx="5273040" cy="2465070"/>
                    </a:xfrm>
                    <a:prstGeom prst="rect">
                      <a:avLst/>
                    </a:prstGeom>
                    <a:ln>
                      <a:solidFill>
                        <a:schemeClr val="tx1"/>
                      </a:solidFill>
                    </a:ln>
                  </pic:spPr>
                </pic:pic>
              </a:graphicData>
            </a:graphic>
          </wp:inline>
        </w:drawing>
      </w:r>
    </w:p>
    <w:p w14:paraId="5151EAF5">
      <w:pPr>
        <w:bidi w:val="0"/>
        <w:rPr>
          <w:rFonts w:hint="eastAsia"/>
          <w:b/>
          <w:bCs/>
          <w:color w:val="auto"/>
        </w:rPr>
      </w:pPr>
      <w:r>
        <w:rPr>
          <w:rFonts w:hint="eastAsia"/>
          <w:b/>
          <w:bCs/>
          <w:color w:val="auto"/>
        </w:rPr>
        <w:t>生成出库单（供应链系统）</w:t>
      </w:r>
    </w:p>
    <w:p w14:paraId="5EA85EAB">
      <w:pPr>
        <w:bidi w:val="0"/>
        <w:rPr>
          <w:rFonts w:hint="eastAsia"/>
          <w:color w:val="auto"/>
        </w:rPr>
      </w:pPr>
      <w:r>
        <w:rPr>
          <w:rFonts w:hint="eastAsia"/>
          <w:color w:val="auto"/>
        </w:rPr>
        <w:t>操作触发：完成批次可视化选择后。</w:t>
      </w:r>
    </w:p>
    <w:p w14:paraId="0012B6AA">
      <w:pPr>
        <w:bidi w:val="0"/>
        <w:rPr>
          <w:rFonts w:hint="eastAsia"/>
          <w:color w:val="auto"/>
        </w:rPr>
      </w:pPr>
      <w:r>
        <w:rPr>
          <w:rFonts w:hint="eastAsia"/>
          <w:color w:val="auto"/>
        </w:rPr>
        <w:t>核心功能：系统自动带出预选批次和箱序列号范围，生成出库单，明确产品代码、产品名称、批次、待出库数量、单位、箱列号、库位名称及编码等信息。</w:t>
      </w:r>
    </w:p>
    <w:p w14:paraId="3BD253D4">
      <w:pPr>
        <w:bidi w:val="0"/>
        <w:rPr>
          <w:rFonts w:hint="eastAsia"/>
          <w:color w:val="auto"/>
        </w:rPr>
      </w:pPr>
      <w:r>
        <w:rPr>
          <w:rFonts w:hint="eastAsia"/>
          <w:color w:val="auto"/>
        </w:rPr>
        <w:t>数据校验：确保出库单数量与发运计划数量一致，支持调整优化批次分配</w:t>
      </w:r>
    </w:p>
    <w:p w14:paraId="23DDC83C">
      <w:pPr>
        <w:pStyle w:val="42"/>
        <w:bidi w:val="0"/>
        <w:rPr>
          <w:rFonts w:hint="eastAsia"/>
          <w:color w:val="auto"/>
        </w:rPr>
      </w:pPr>
      <w:r>
        <w:rPr>
          <w:rFonts w:hint="eastAsia"/>
          <w:color w:val="auto"/>
        </w:rPr>
        <w:drawing>
          <wp:inline distT="0" distB="0" distL="114300" distR="114300">
            <wp:extent cx="5264785" cy="3019425"/>
            <wp:effectExtent l="9525" t="9525" r="13970" b="1905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74"/>
                    <a:stretch>
                      <a:fillRect/>
                    </a:stretch>
                  </pic:blipFill>
                  <pic:spPr>
                    <a:xfrm>
                      <a:off x="0" y="0"/>
                      <a:ext cx="5264785" cy="3019425"/>
                    </a:xfrm>
                    <a:prstGeom prst="rect">
                      <a:avLst/>
                    </a:prstGeom>
                    <a:ln>
                      <a:solidFill>
                        <a:schemeClr val="tx1"/>
                      </a:solidFill>
                    </a:ln>
                  </pic:spPr>
                </pic:pic>
              </a:graphicData>
            </a:graphic>
          </wp:inline>
        </w:drawing>
      </w:r>
    </w:p>
    <w:p w14:paraId="4F2055E9">
      <w:pPr>
        <w:bidi w:val="0"/>
        <w:rPr>
          <w:rFonts w:hint="eastAsia"/>
          <w:b/>
          <w:bCs/>
          <w:color w:val="auto"/>
        </w:rPr>
      </w:pPr>
      <w:r>
        <w:rPr>
          <w:rFonts w:hint="eastAsia"/>
          <w:b/>
          <w:bCs/>
          <w:color w:val="auto"/>
        </w:rPr>
        <w:t>出库单审核发货（供应链系统）</w:t>
      </w:r>
    </w:p>
    <w:p w14:paraId="2A954A00">
      <w:pPr>
        <w:bidi w:val="0"/>
        <w:rPr>
          <w:rFonts w:hint="eastAsia"/>
          <w:color w:val="auto"/>
        </w:rPr>
      </w:pPr>
      <w:r>
        <w:rPr>
          <w:rFonts w:hint="eastAsia"/>
          <w:color w:val="auto"/>
        </w:rPr>
        <w:t>核心操作：审核出库单信息，确认无误后安排叉车司机拣货出库；支持二次修改出库单。</w:t>
      </w:r>
    </w:p>
    <w:p w14:paraId="158CA812">
      <w:pPr>
        <w:bidi w:val="0"/>
        <w:rPr>
          <w:rFonts w:hint="eastAsia"/>
          <w:color w:val="auto"/>
        </w:rPr>
      </w:pPr>
      <w:r>
        <w:rPr>
          <w:rFonts w:hint="eastAsia"/>
          <w:color w:val="auto"/>
        </w:rPr>
        <w:t>库存联动：完成出库确认后，VSS 系统自动执行拣货扣减库存操作，完成发货后系统自动实现拣配过账。</w:t>
      </w:r>
    </w:p>
    <w:p w14:paraId="5F318A02">
      <w:pPr>
        <w:pStyle w:val="42"/>
        <w:bidi w:val="0"/>
        <w:rPr>
          <w:rFonts w:hint="eastAsia"/>
          <w:color w:val="auto"/>
        </w:rPr>
      </w:pPr>
      <w:r>
        <w:rPr>
          <w:rFonts w:hint="eastAsia"/>
          <w:color w:val="auto"/>
        </w:rPr>
        <w:drawing>
          <wp:inline distT="0" distB="0" distL="114300" distR="114300">
            <wp:extent cx="5265420" cy="1399540"/>
            <wp:effectExtent l="9525" t="9525" r="13335" b="2349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75"/>
                    <a:stretch>
                      <a:fillRect/>
                    </a:stretch>
                  </pic:blipFill>
                  <pic:spPr>
                    <a:xfrm>
                      <a:off x="0" y="0"/>
                      <a:ext cx="5265420" cy="1399540"/>
                    </a:xfrm>
                    <a:prstGeom prst="rect">
                      <a:avLst/>
                    </a:prstGeom>
                    <a:ln>
                      <a:solidFill>
                        <a:schemeClr val="tx1"/>
                      </a:solidFill>
                    </a:ln>
                  </pic:spPr>
                </pic:pic>
              </a:graphicData>
            </a:graphic>
          </wp:inline>
        </w:drawing>
      </w:r>
    </w:p>
    <w:p w14:paraId="75CAB2A5">
      <w:pPr>
        <w:pStyle w:val="42"/>
        <w:bidi w:val="0"/>
        <w:rPr>
          <w:rFonts w:hint="eastAsia"/>
          <w:color w:val="auto"/>
        </w:rPr>
      </w:pPr>
      <w:r>
        <w:rPr>
          <w:rFonts w:hint="eastAsia"/>
          <w:color w:val="auto"/>
        </w:rPr>
        <w:drawing>
          <wp:inline distT="0" distB="0" distL="114300" distR="114300">
            <wp:extent cx="5273675" cy="1371600"/>
            <wp:effectExtent l="9525" t="9525" r="20320" b="2095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76"/>
                    <a:stretch>
                      <a:fillRect/>
                    </a:stretch>
                  </pic:blipFill>
                  <pic:spPr>
                    <a:xfrm>
                      <a:off x="0" y="0"/>
                      <a:ext cx="5273675" cy="1371600"/>
                    </a:xfrm>
                    <a:prstGeom prst="rect">
                      <a:avLst/>
                    </a:prstGeom>
                    <a:ln>
                      <a:solidFill>
                        <a:schemeClr val="tx1"/>
                      </a:solidFill>
                    </a:ln>
                  </pic:spPr>
                </pic:pic>
              </a:graphicData>
            </a:graphic>
          </wp:inline>
        </w:drawing>
      </w:r>
    </w:p>
    <w:p w14:paraId="21143985">
      <w:pPr>
        <w:pStyle w:val="36"/>
        <w:bidi w:val="0"/>
        <w:rPr>
          <w:rFonts w:hint="eastAsia"/>
        </w:rPr>
      </w:pPr>
      <w:r>
        <w:rPr>
          <w:rFonts w:hint="eastAsia"/>
        </w:rPr>
        <w:t>采购管理</w:t>
      </w:r>
    </w:p>
    <w:p w14:paraId="73C719AB">
      <w:pPr>
        <w:bidi w:val="0"/>
        <w:rPr>
          <w:rFonts w:hint="eastAsia"/>
          <w:color w:val="auto"/>
        </w:rPr>
      </w:pPr>
      <w:r>
        <w:rPr>
          <w:rFonts w:hint="eastAsia"/>
          <w:color w:val="auto"/>
          <w:lang w:val="en-US" w:eastAsia="zh-CN"/>
        </w:rPr>
        <w:t>采购管理是数智工厂的核心板块之一，覆盖采购全流程管理。其中，需求计划单是采购的起点，用于发起物料采购需求；原料 / 备件与综合物资分类管理各类采购订单，包括全部采购订单的统筹、原料采购单、备件采购单、消耗品采购单、辅料采购单的细分管理，实现不同品类物料采购的精准把控；原料退换货模块通过原料退货记录功能，处理采购原料的退换货流程，保障采购物料质量；采购退货单和采购换货单分别针对采购后物料的退货与换货场景，规范逆向采购流程；采购订单修改功能支持采购订单在执行过程中的合理调整；仓储 SRM板块聚焦供应商管理，通过供应商调查表、采购委员会评审记录、采购项目洽商记录、供应商绩效考核、供应商评价内容等功能，实现对供应商的全面评估与管理，助力企业筛选优质供应商，优化采购供应链；采购订单跟踪可实时掌握采购订单的执行进度，采购费用统计则能对采购成本进行精准核算，为采购成本控制提供数据支持。</w:t>
      </w:r>
    </w:p>
    <w:p w14:paraId="3ADAE30E">
      <w:pPr>
        <w:pStyle w:val="42"/>
        <w:bidi w:val="0"/>
        <w:rPr>
          <w:rFonts w:hint="default"/>
          <w:color w:val="auto"/>
        </w:rPr>
      </w:pPr>
      <w:r>
        <w:rPr>
          <w:rFonts w:hint="default"/>
          <w:color w:val="auto"/>
        </w:rPr>
        <w:drawing>
          <wp:inline distT="0" distB="0" distL="114300" distR="114300">
            <wp:extent cx="5254625" cy="2395855"/>
            <wp:effectExtent l="0" t="0" r="3175" b="1206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177"/>
                    <a:stretch>
                      <a:fillRect/>
                    </a:stretch>
                  </pic:blipFill>
                  <pic:spPr>
                    <a:xfrm>
                      <a:off x="0" y="0"/>
                      <a:ext cx="5254625" cy="2395855"/>
                    </a:xfrm>
                    <a:prstGeom prst="rect">
                      <a:avLst/>
                    </a:prstGeom>
                  </pic:spPr>
                </pic:pic>
              </a:graphicData>
            </a:graphic>
          </wp:inline>
        </w:drawing>
      </w:r>
    </w:p>
    <w:p w14:paraId="469D6B7D">
      <w:pPr>
        <w:pStyle w:val="35"/>
        <w:bidi w:val="0"/>
        <w:rPr>
          <w:rFonts w:hint="default"/>
          <w:lang w:eastAsia="zh-CN"/>
        </w:rPr>
      </w:pPr>
      <w:bookmarkStart w:id="30" w:name="_Toc10204"/>
      <w:r>
        <w:t>需求计划单</w:t>
      </w:r>
      <w:bookmarkEnd w:id="30"/>
    </w:p>
    <w:p w14:paraId="4B9EDEDA">
      <w:pPr>
        <w:bidi w:val="0"/>
        <w:rPr>
          <w:rFonts w:hint="default"/>
          <w:color w:val="auto"/>
          <w:lang w:eastAsia="zh-CN"/>
        </w:rPr>
      </w:pPr>
      <w:r>
        <w:rPr>
          <w:rFonts w:hint="default"/>
          <w:color w:val="auto"/>
          <w:lang w:eastAsia="zh-CN"/>
        </w:rPr>
        <w:t>是采购流程的发起入口，用于提报各类物料的采购需求，明确采购的品种、数量、时间等关键信息，为后续采购执行提供计划依据，确保采购工作的前瞻性和针对性。</w:t>
      </w:r>
    </w:p>
    <w:p w14:paraId="1E7B288B">
      <w:pPr>
        <w:pStyle w:val="42"/>
        <w:wordWrap/>
        <w:overflowPunct/>
        <w:topLinePunct w:val="0"/>
        <w:bidi w:val="0"/>
        <w:snapToGrid w:val="0"/>
        <w:spacing w:beforeAutospacing="0" w:afterAutospacing="0" w:line="360" w:lineRule="auto"/>
        <w:rPr>
          <w:rFonts w:hint="default"/>
          <w:color w:val="auto"/>
          <w:lang w:eastAsia="zh-CN"/>
        </w:rPr>
      </w:pPr>
      <w:r>
        <w:rPr>
          <w:rFonts w:hint="default"/>
          <w:color w:val="auto"/>
          <w:lang w:eastAsia="zh-CN"/>
        </w:rPr>
        <w:drawing>
          <wp:inline distT="0" distB="0" distL="114300" distR="114300">
            <wp:extent cx="5242560" cy="1897380"/>
            <wp:effectExtent l="0" t="0" r="0" b="762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178"/>
                    <a:stretch>
                      <a:fillRect/>
                    </a:stretch>
                  </pic:blipFill>
                  <pic:spPr>
                    <a:xfrm>
                      <a:off x="0" y="0"/>
                      <a:ext cx="5242560" cy="1897380"/>
                    </a:xfrm>
                    <a:prstGeom prst="rect">
                      <a:avLst/>
                    </a:prstGeom>
                  </pic:spPr>
                </pic:pic>
              </a:graphicData>
            </a:graphic>
          </wp:inline>
        </w:drawing>
      </w:r>
    </w:p>
    <w:p w14:paraId="6C0FEF70">
      <w:pPr>
        <w:pStyle w:val="35"/>
        <w:bidi w:val="0"/>
        <w:rPr>
          <w:rFonts w:hint="default"/>
          <w:lang w:eastAsia="zh-CN"/>
        </w:rPr>
      </w:pPr>
      <w:r>
        <w:rPr>
          <w:rFonts w:hint="default"/>
          <w:lang w:eastAsia="zh-CN"/>
        </w:rPr>
        <w:t>原料 / 备件与综合物资</w:t>
      </w:r>
    </w:p>
    <w:p w14:paraId="51B3597B">
      <w:pPr>
        <w:bidi w:val="0"/>
        <w:rPr>
          <w:rFonts w:hint="default"/>
          <w:color w:val="auto"/>
          <w:lang w:eastAsia="zh-CN"/>
        </w:rPr>
      </w:pPr>
      <w:r>
        <w:rPr>
          <w:rFonts w:hint="default"/>
          <w:color w:val="auto"/>
          <w:lang w:eastAsia="zh-CN"/>
        </w:rPr>
        <w:t>全部采购订单：对所有采购订单进行集中管理，可查看、统计各类采购订单的整体执行情况，包括订单状态、供应商、采购金额等信息，实现采购订单的全局把控。</w:t>
      </w:r>
    </w:p>
    <w:p w14:paraId="66284CFB">
      <w:pPr>
        <w:pStyle w:val="42"/>
        <w:wordWrap/>
        <w:overflowPunct/>
        <w:topLinePunct w:val="0"/>
        <w:bidi w:val="0"/>
        <w:snapToGrid w:val="0"/>
        <w:spacing w:beforeAutospacing="0" w:afterAutospacing="0" w:line="360" w:lineRule="auto"/>
        <w:rPr>
          <w:rFonts w:hint="default" w:ascii="宋体" w:hAnsi="宋体" w:eastAsia="宋体"/>
          <w:color w:val="auto"/>
          <w:sz w:val="21"/>
          <w:szCs w:val="21"/>
          <w:lang w:eastAsia="zh-CN"/>
          <w:woUserID w:val="1"/>
        </w:rPr>
      </w:pPr>
      <w:r>
        <w:rPr>
          <w:rFonts w:hint="default" w:ascii="宋体" w:hAnsi="宋体" w:eastAsia="宋体"/>
          <w:color w:val="auto"/>
          <w:sz w:val="21"/>
          <w:szCs w:val="21"/>
          <w:lang w:eastAsia="zh-CN"/>
          <w:woUserID w:val="1"/>
        </w:rPr>
        <w:drawing>
          <wp:inline distT="0" distB="0" distL="114300" distR="114300">
            <wp:extent cx="5250180" cy="1866900"/>
            <wp:effectExtent l="0" t="0" r="7620" b="762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179"/>
                    <a:stretch>
                      <a:fillRect/>
                    </a:stretch>
                  </pic:blipFill>
                  <pic:spPr>
                    <a:xfrm>
                      <a:off x="0" y="0"/>
                      <a:ext cx="5250180" cy="1866900"/>
                    </a:xfrm>
                    <a:prstGeom prst="rect">
                      <a:avLst/>
                    </a:prstGeom>
                  </pic:spPr>
                </pic:pic>
              </a:graphicData>
            </a:graphic>
          </wp:inline>
        </w:drawing>
      </w:r>
    </w:p>
    <w:p w14:paraId="5513EFA2">
      <w:pPr>
        <w:bidi w:val="0"/>
        <w:rPr>
          <w:rFonts w:hint="default"/>
          <w:color w:val="auto"/>
          <w:lang w:eastAsia="zh-CN"/>
        </w:rPr>
      </w:pPr>
      <w:r>
        <w:rPr>
          <w:rFonts w:hint="default"/>
          <w:color w:val="auto"/>
          <w:lang w:eastAsia="zh-CN"/>
        </w:rPr>
        <w:t>原料采购单：专门针对生产原料类采购业务，用于发起、跟踪原料采购的全流程，涵盖原料的规格、型号、采购数量、交货周期等细节管理。</w:t>
      </w:r>
    </w:p>
    <w:p w14:paraId="23FEE774">
      <w:pPr>
        <w:pStyle w:val="42"/>
        <w:wordWrap/>
        <w:overflowPunct/>
        <w:topLinePunct w:val="0"/>
        <w:bidi w:val="0"/>
        <w:snapToGrid w:val="0"/>
        <w:spacing w:beforeAutospacing="0" w:afterAutospacing="0" w:line="360" w:lineRule="auto"/>
        <w:rPr>
          <w:rFonts w:hint="default" w:ascii="宋体" w:hAnsi="宋体" w:eastAsia="宋体"/>
          <w:color w:val="auto"/>
          <w:sz w:val="21"/>
          <w:szCs w:val="21"/>
          <w:lang w:eastAsia="zh-CN"/>
          <w:woUserID w:val="1"/>
        </w:rPr>
      </w:pPr>
      <w:r>
        <w:rPr>
          <w:rFonts w:hint="default" w:ascii="宋体" w:hAnsi="宋体" w:eastAsia="宋体"/>
          <w:color w:val="auto"/>
          <w:sz w:val="21"/>
          <w:szCs w:val="21"/>
          <w:lang w:eastAsia="zh-CN"/>
          <w:woUserID w:val="1"/>
        </w:rPr>
        <w:drawing>
          <wp:inline distT="0" distB="0" distL="114300" distR="114300">
            <wp:extent cx="5259705" cy="1873885"/>
            <wp:effectExtent l="0" t="0" r="13335" b="63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180"/>
                    <a:stretch>
                      <a:fillRect/>
                    </a:stretch>
                  </pic:blipFill>
                  <pic:spPr>
                    <a:xfrm>
                      <a:off x="0" y="0"/>
                      <a:ext cx="5259705" cy="1873885"/>
                    </a:xfrm>
                    <a:prstGeom prst="rect">
                      <a:avLst/>
                    </a:prstGeom>
                  </pic:spPr>
                </pic:pic>
              </a:graphicData>
            </a:graphic>
          </wp:inline>
        </w:drawing>
      </w:r>
    </w:p>
    <w:p w14:paraId="305811F6">
      <w:pPr>
        <w:bidi w:val="0"/>
        <w:rPr>
          <w:rFonts w:hint="default"/>
          <w:color w:val="auto"/>
          <w:lang w:eastAsia="zh-CN"/>
        </w:rPr>
      </w:pPr>
      <w:r>
        <w:rPr>
          <w:rFonts w:hint="default"/>
          <w:color w:val="auto"/>
          <w:lang w:eastAsia="zh-CN"/>
        </w:rPr>
        <w:t>备件采购单：聚焦生产设备备件的采购，便于企业及时补充设备维修、维护所需的备件，保障生产设备的稳定运行。</w:t>
      </w:r>
    </w:p>
    <w:p w14:paraId="1722D344">
      <w:pPr>
        <w:pStyle w:val="42"/>
        <w:wordWrap/>
        <w:overflowPunct/>
        <w:topLinePunct w:val="0"/>
        <w:bidi w:val="0"/>
        <w:snapToGrid w:val="0"/>
        <w:spacing w:beforeAutospacing="0" w:afterAutospacing="0" w:line="360" w:lineRule="auto"/>
        <w:rPr>
          <w:rFonts w:hint="default" w:ascii="宋体" w:hAnsi="宋体" w:eastAsia="宋体"/>
          <w:color w:val="auto"/>
          <w:sz w:val="21"/>
          <w:szCs w:val="21"/>
          <w:lang w:eastAsia="zh-CN"/>
          <w:woUserID w:val="1"/>
        </w:rPr>
      </w:pPr>
      <w:r>
        <w:rPr>
          <w:rFonts w:hint="default" w:ascii="宋体" w:hAnsi="宋体" w:eastAsia="宋体"/>
          <w:color w:val="auto"/>
          <w:sz w:val="21"/>
          <w:szCs w:val="21"/>
          <w:lang w:eastAsia="zh-CN"/>
          <w:woUserID w:val="1"/>
        </w:rPr>
        <w:drawing>
          <wp:inline distT="0" distB="0" distL="114300" distR="114300">
            <wp:extent cx="5266055" cy="1917065"/>
            <wp:effectExtent l="0" t="0" r="6985" b="3175"/>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181"/>
                    <a:stretch>
                      <a:fillRect/>
                    </a:stretch>
                  </pic:blipFill>
                  <pic:spPr>
                    <a:xfrm>
                      <a:off x="0" y="0"/>
                      <a:ext cx="5266055" cy="1917065"/>
                    </a:xfrm>
                    <a:prstGeom prst="rect">
                      <a:avLst/>
                    </a:prstGeom>
                  </pic:spPr>
                </pic:pic>
              </a:graphicData>
            </a:graphic>
          </wp:inline>
        </w:drawing>
      </w:r>
    </w:p>
    <w:p w14:paraId="4B965D25">
      <w:pPr>
        <w:bidi w:val="0"/>
        <w:rPr>
          <w:rFonts w:hint="default"/>
          <w:color w:val="auto"/>
          <w:lang w:eastAsia="zh-CN"/>
        </w:rPr>
      </w:pPr>
      <w:r>
        <w:rPr>
          <w:rFonts w:hint="default"/>
          <w:color w:val="auto"/>
          <w:lang w:eastAsia="zh-CN"/>
        </w:rPr>
        <w:t>消耗品采购单：针对生产、办公中消耗类物资（如办公用品、劳保用品等）的采购，满足企业日常运营的消耗性物资需求。</w:t>
      </w:r>
    </w:p>
    <w:p w14:paraId="3B33DDF1">
      <w:pPr>
        <w:pStyle w:val="42"/>
        <w:wordWrap/>
        <w:overflowPunct/>
        <w:topLinePunct w:val="0"/>
        <w:bidi w:val="0"/>
        <w:snapToGrid w:val="0"/>
        <w:spacing w:beforeAutospacing="0" w:afterAutospacing="0" w:line="360" w:lineRule="auto"/>
        <w:rPr>
          <w:rFonts w:hint="default" w:ascii="宋体" w:hAnsi="宋体" w:eastAsia="宋体"/>
          <w:color w:val="auto"/>
          <w:sz w:val="21"/>
          <w:szCs w:val="21"/>
          <w:lang w:eastAsia="zh-CN"/>
          <w:woUserID w:val="1"/>
        </w:rPr>
      </w:pPr>
      <w:r>
        <w:rPr>
          <w:rFonts w:hint="default" w:ascii="宋体" w:hAnsi="宋体" w:eastAsia="宋体"/>
          <w:color w:val="auto"/>
          <w:sz w:val="21"/>
          <w:szCs w:val="21"/>
          <w:lang w:eastAsia="zh-CN"/>
          <w:woUserID w:val="1"/>
        </w:rPr>
        <w:drawing>
          <wp:inline distT="0" distB="0" distL="114300" distR="114300">
            <wp:extent cx="5246370" cy="1892300"/>
            <wp:effectExtent l="0" t="0" r="11430" b="1270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182"/>
                    <a:stretch>
                      <a:fillRect/>
                    </a:stretch>
                  </pic:blipFill>
                  <pic:spPr>
                    <a:xfrm>
                      <a:off x="0" y="0"/>
                      <a:ext cx="5246370" cy="1892300"/>
                    </a:xfrm>
                    <a:prstGeom prst="rect">
                      <a:avLst/>
                    </a:prstGeom>
                  </pic:spPr>
                </pic:pic>
              </a:graphicData>
            </a:graphic>
          </wp:inline>
        </w:drawing>
      </w:r>
    </w:p>
    <w:p w14:paraId="771F3B70">
      <w:pPr>
        <w:bidi w:val="0"/>
        <w:rPr>
          <w:rFonts w:hint="default"/>
          <w:color w:val="auto"/>
          <w:lang w:eastAsia="zh-CN"/>
        </w:rPr>
      </w:pPr>
      <w:r>
        <w:rPr>
          <w:rFonts w:hint="default"/>
          <w:color w:val="auto"/>
          <w:lang w:eastAsia="zh-CN"/>
        </w:rPr>
        <w:t>辅料采购单：用于生产辅助材料的采购管理，如生产过程中的包装材料、添加剂等，确保生产辅助环节的物资供应。</w:t>
      </w:r>
    </w:p>
    <w:p w14:paraId="24557283">
      <w:pPr>
        <w:pStyle w:val="42"/>
        <w:wordWrap/>
        <w:overflowPunct/>
        <w:topLinePunct w:val="0"/>
        <w:bidi w:val="0"/>
        <w:snapToGrid w:val="0"/>
        <w:spacing w:beforeAutospacing="0" w:afterAutospacing="0" w:line="360" w:lineRule="auto"/>
        <w:rPr>
          <w:rFonts w:hint="default" w:ascii="宋体" w:hAnsi="宋体" w:eastAsia="宋体"/>
          <w:color w:val="auto"/>
          <w:sz w:val="21"/>
          <w:szCs w:val="21"/>
        </w:rPr>
      </w:pPr>
      <w:r>
        <w:rPr>
          <w:rFonts w:hint="default" w:ascii="宋体" w:hAnsi="宋体" w:eastAsia="宋体"/>
          <w:color w:val="auto"/>
          <w:sz w:val="21"/>
          <w:szCs w:val="21"/>
        </w:rPr>
        <w:drawing>
          <wp:inline distT="0" distB="0" distL="114300" distR="114300">
            <wp:extent cx="5259705" cy="1892300"/>
            <wp:effectExtent l="0" t="0" r="13335" b="1270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183"/>
                    <a:stretch>
                      <a:fillRect/>
                    </a:stretch>
                  </pic:blipFill>
                  <pic:spPr>
                    <a:xfrm>
                      <a:off x="0" y="0"/>
                      <a:ext cx="5259705" cy="1892300"/>
                    </a:xfrm>
                    <a:prstGeom prst="rect">
                      <a:avLst/>
                    </a:prstGeom>
                  </pic:spPr>
                </pic:pic>
              </a:graphicData>
            </a:graphic>
          </wp:inline>
        </w:drawing>
      </w:r>
    </w:p>
    <w:p w14:paraId="5B9951F5">
      <w:pPr>
        <w:pStyle w:val="35"/>
        <w:bidi w:val="0"/>
        <w:rPr>
          <w:rFonts w:hint="default"/>
        </w:rPr>
      </w:pPr>
      <w:r>
        <w:rPr>
          <w:rFonts w:hint="default"/>
        </w:rPr>
        <w:t>原料退换货</w:t>
      </w:r>
      <w:r>
        <w:rPr>
          <w:rFonts w:hint="eastAsia"/>
          <w:color w:val="auto"/>
          <w:lang w:eastAsia="zh-CN"/>
        </w:rPr>
        <w:t>（</w:t>
      </w:r>
      <w:r>
        <w:rPr>
          <w:rFonts w:hint="eastAsia"/>
          <w:color w:val="auto"/>
          <w:lang w:val="en-US" w:eastAsia="zh-CN"/>
        </w:rPr>
        <w:t>定制开发</w:t>
      </w:r>
      <w:r>
        <w:rPr>
          <w:rFonts w:hint="eastAsia"/>
          <w:color w:val="auto"/>
          <w:lang w:eastAsia="zh-CN"/>
        </w:rPr>
        <w:t>）</w:t>
      </w:r>
    </w:p>
    <w:p w14:paraId="68B5716F">
      <w:pPr>
        <w:bidi w:val="0"/>
        <w:rPr>
          <w:rFonts w:hint="default"/>
          <w:color w:val="auto"/>
        </w:rPr>
      </w:pPr>
      <w:r>
        <w:rPr>
          <w:rFonts w:hint="default"/>
          <w:color w:val="auto"/>
        </w:rPr>
        <w:t>通过原料退货记录功能，对采购入库后因质量、规格不符等原因需要退回的原料进行流程管理，记录退货的原因、数量、处理结果等信息，规范原料退换货流程，保障企业采购权益。</w:t>
      </w:r>
    </w:p>
    <w:p w14:paraId="6ED24C57">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2880" cy="1920240"/>
            <wp:effectExtent l="0" t="0" r="1016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184"/>
                    <a:stretch>
                      <a:fillRect/>
                    </a:stretch>
                  </pic:blipFill>
                  <pic:spPr>
                    <a:xfrm>
                      <a:off x="0" y="0"/>
                      <a:ext cx="5262880" cy="1920240"/>
                    </a:xfrm>
                    <a:prstGeom prst="rect">
                      <a:avLst/>
                    </a:prstGeom>
                  </pic:spPr>
                </pic:pic>
              </a:graphicData>
            </a:graphic>
          </wp:inline>
        </w:drawing>
      </w:r>
    </w:p>
    <w:p w14:paraId="117FD758">
      <w:pPr>
        <w:pStyle w:val="35"/>
        <w:bidi w:val="0"/>
        <w:rPr>
          <w:rFonts w:hint="default"/>
        </w:rPr>
      </w:pPr>
      <w:r>
        <w:rPr>
          <w:rFonts w:hint="default"/>
        </w:rPr>
        <w:t>采购退货单</w:t>
      </w:r>
    </w:p>
    <w:p w14:paraId="562D619E">
      <w:pPr>
        <w:bidi w:val="0"/>
        <w:rPr>
          <w:rFonts w:hint="default"/>
          <w:color w:val="auto"/>
        </w:rPr>
      </w:pPr>
      <w:r>
        <w:rPr>
          <w:rFonts w:hint="default"/>
          <w:color w:val="auto"/>
        </w:rPr>
        <w:t>针对采购环节中除原料外其他物资的退货场景，发起退货申请、跟踪退货流程、记录退货明细，确保退货业务的合规性和可追溯性。</w:t>
      </w:r>
    </w:p>
    <w:p w14:paraId="6A45CF96">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59705" cy="1895475"/>
            <wp:effectExtent l="0" t="0" r="13335" b="9525"/>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pic:cNvPicPr>
                  </pic:nvPicPr>
                  <pic:blipFill>
                    <a:blip r:embed="rId185"/>
                    <a:stretch>
                      <a:fillRect/>
                    </a:stretch>
                  </pic:blipFill>
                  <pic:spPr>
                    <a:xfrm>
                      <a:off x="0" y="0"/>
                      <a:ext cx="5259705" cy="1895475"/>
                    </a:xfrm>
                    <a:prstGeom prst="rect">
                      <a:avLst/>
                    </a:prstGeom>
                  </pic:spPr>
                </pic:pic>
              </a:graphicData>
            </a:graphic>
          </wp:inline>
        </w:drawing>
      </w:r>
    </w:p>
    <w:p w14:paraId="4D8BA668">
      <w:pPr>
        <w:pStyle w:val="35"/>
        <w:bidi w:val="0"/>
        <w:rPr>
          <w:rFonts w:hint="default"/>
        </w:rPr>
      </w:pPr>
      <w:r>
        <w:rPr>
          <w:rFonts w:hint="default"/>
        </w:rPr>
        <w:t>采购换货单</w:t>
      </w:r>
      <w:r>
        <w:rPr>
          <w:rFonts w:hint="eastAsia"/>
          <w:color w:val="auto"/>
          <w:lang w:eastAsia="zh-CN"/>
        </w:rPr>
        <w:t>（</w:t>
      </w:r>
      <w:r>
        <w:rPr>
          <w:rFonts w:hint="eastAsia"/>
          <w:color w:val="auto"/>
          <w:lang w:val="en-US" w:eastAsia="zh-CN"/>
        </w:rPr>
        <w:t>定制开发</w:t>
      </w:r>
      <w:r>
        <w:rPr>
          <w:rFonts w:hint="eastAsia"/>
          <w:color w:val="auto"/>
          <w:lang w:eastAsia="zh-CN"/>
        </w:rPr>
        <w:t>）</w:t>
      </w:r>
    </w:p>
    <w:p w14:paraId="13AA40F0">
      <w:pPr>
        <w:bidi w:val="0"/>
        <w:rPr>
          <w:rFonts w:hint="default"/>
          <w:color w:val="auto"/>
        </w:rPr>
      </w:pPr>
      <w:r>
        <w:rPr>
          <w:rFonts w:hint="default"/>
          <w:color w:val="auto"/>
        </w:rPr>
        <w:t>当采购物资存在质量或规格问题需要换货时，通过该功能发起换货申请，明确换货的物资信息、换货原因及新物资的要求，实现换货流程的标准化管理。</w:t>
      </w:r>
    </w:p>
    <w:p w14:paraId="48363E1C">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47640" cy="1861820"/>
            <wp:effectExtent l="0" t="0" r="10160" b="1270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186"/>
                    <a:stretch>
                      <a:fillRect/>
                    </a:stretch>
                  </pic:blipFill>
                  <pic:spPr>
                    <a:xfrm>
                      <a:off x="0" y="0"/>
                      <a:ext cx="5247640" cy="1861820"/>
                    </a:xfrm>
                    <a:prstGeom prst="rect">
                      <a:avLst/>
                    </a:prstGeom>
                  </pic:spPr>
                </pic:pic>
              </a:graphicData>
            </a:graphic>
          </wp:inline>
        </w:drawing>
      </w:r>
    </w:p>
    <w:p w14:paraId="2631DF32">
      <w:pPr>
        <w:pStyle w:val="35"/>
        <w:bidi w:val="0"/>
        <w:rPr>
          <w:rFonts w:hint="default"/>
        </w:rPr>
      </w:pPr>
      <w:r>
        <w:rPr>
          <w:rFonts w:hint="default"/>
        </w:rPr>
        <w:t>采购订单修改</w:t>
      </w:r>
      <w:r>
        <w:rPr>
          <w:rFonts w:hint="eastAsia"/>
          <w:color w:val="auto"/>
          <w:lang w:eastAsia="zh-CN"/>
        </w:rPr>
        <w:t>（</w:t>
      </w:r>
      <w:r>
        <w:rPr>
          <w:rFonts w:hint="eastAsia"/>
          <w:color w:val="auto"/>
          <w:lang w:val="en-US" w:eastAsia="zh-CN"/>
        </w:rPr>
        <w:t>定制开发</w:t>
      </w:r>
      <w:r>
        <w:rPr>
          <w:rFonts w:hint="eastAsia"/>
          <w:color w:val="auto"/>
          <w:lang w:eastAsia="zh-CN"/>
        </w:rPr>
        <w:t>）</w:t>
      </w:r>
    </w:p>
    <w:p w14:paraId="0244088C">
      <w:pPr>
        <w:bidi w:val="0"/>
        <w:rPr>
          <w:rFonts w:hint="default"/>
          <w:color w:val="auto"/>
        </w:rPr>
      </w:pPr>
      <w:r>
        <w:rPr>
          <w:rFonts w:hint="default"/>
          <w:color w:val="auto"/>
        </w:rPr>
        <w:t>在采购订单执行过程中，若因市场变化、需求调整等原因需要对订单的采购数量、交货时间、供应商等信息进行修改，可通过此功能发起修改申请并跟踪审批流程，保证采购订单的灵活性和准确性。</w:t>
      </w:r>
    </w:p>
    <w:p w14:paraId="17DE1A0F">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50815" cy="1889125"/>
            <wp:effectExtent l="0" t="0" r="6985" b="635"/>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187"/>
                    <a:stretch>
                      <a:fillRect/>
                    </a:stretch>
                  </pic:blipFill>
                  <pic:spPr>
                    <a:xfrm>
                      <a:off x="0" y="0"/>
                      <a:ext cx="5250815" cy="1889125"/>
                    </a:xfrm>
                    <a:prstGeom prst="rect">
                      <a:avLst/>
                    </a:prstGeom>
                  </pic:spPr>
                </pic:pic>
              </a:graphicData>
            </a:graphic>
          </wp:inline>
        </w:drawing>
      </w:r>
    </w:p>
    <w:p w14:paraId="40B8FCC3">
      <w:pPr>
        <w:pStyle w:val="35"/>
        <w:bidi w:val="0"/>
        <w:rPr>
          <w:rFonts w:hint="default"/>
        </w:rPr>
      </w:pPr>
      <w:r>
        <w:rPr>
          <w:rFonts w:hint="default"/>
        </w:rPr>
        <w:t>仓储 SRM</w:t>
      </w:r>
      <w:r>
        <w:rPr>
          <w:rFonts w:hint="eastAsia"/>
          <w:color w:val="auto"/>
          <w:lang w:eastAsia="zh-CN"/>
        </w:rPr>
        <w:t>（</w:t>
      </w:r>
      <w:r>
        <w:rPr>
          <w:rFonts w:hint="eastAsia"/>
          <w:color w:val="auto"/>
          <w:lang w:val="en-US" w:eastAsia="zh-CN"/>
        </w:rPr>
        <w:t>定制开发</w:t>
      </w:r>
      <w:r>
        <w:rPr>
          <w:rFonts w:hint="eastAsia"/>
          <w:color w:val="auto"/>
          <w:lang w:eastAsia="zh-CN"/>
        </w:rPr>
        <w:t>）</w:t>
      </w:r>
    </w:p>
    <w:p w14:paraId="6FCAEB49">
      <w:pPr>
        <w:bidi w:val="0"/>
        <w:rPr>
          <w:rFonts w:hint="default"/>
          <w:color w:val="auto"/>
        </w:rPr>
      </w:pPr>
      <w:r>
        <w:rPr>
          <w:rFonts w:hint="default"/>
          <w:color w:val="auto"/>
        </w:rPr>
        <w:t>供应商调查表：用于设计、发放和回收供应商调查问卷，从资质、产能、服务等多维度对供应商进行初步调研，为供应商筛选提供依据。</w:t>
      </w:r>
    </w:p>
    <w:p w14:paraId="7B9BE2EB">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6055" cy="1901825"/>
            <wp:effectExtent l="0" t="0" r="6985" b="317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pic:cNvPicPr>
                  </pic:nvPicPr>
                  <pic:blipFill>
                    <a:blip r:embed="rId188"/>
                    <a:stretch>
                      <a:fillRect/>
                    </a:stretch>
                  </pic:blipFill>
                  <pic:spPr>
                    <a:xfrm>
                      <a:off x="0" y="0"/>
                      <a:ext cx="5266055" cy="1901825"/>
                    </a:xfrm>
                    <a:prstGeom prst="rect">
                      <a:avLst/>
                    </a:prstGeom>
                  </pic:spPr>
                </pic:pic>
              </a:graphicData>
            </a:graphic>
          </wp:inline>
        </w:drawing>
      </w:r>
    </w:p>
    <w:p w14:paraId="66700AC4">
      <w:pPr>
        <w:bidi w:val="0"/>
        <w:rPr>
          <w:rFonts w:hint="default"/>
          <w:color w:val="auto"/>
        </w:rPr>
      </w:pPr>
      <w:r>
        <w:rPr>
          <w:rFonts w:hint="default"/>
          <w:color w:val="auto"/>
        </w:rPr>
        <w:t>采购委员会评审记录：记录采购委员会对供应商、采购项目的评审过程和结果，确保采购决策的规范性和科学性。</w:t>
      </w:r>
    </w:p>
    <w:p w14:paraId="6C70BC11">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53990" cy="1901825"/>
            <wp:effectExtent l="0" t="0" r="3810" b="317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pic:cNvPicPr>
                  </pic:nvPicPr>
                  <pic:blipFill>
                    <a:blip r:embed="rId189"/>
                    <a:stretch>
                      <a:fillRect/>
                    </a:stretch>
                  </pic:blipFill>
                  <pic:spPr>
                    <a:xfrm>
                      <a:off x="0" y="0"/>
                      <a:ext cx="5253990" cy="1901825"/>
                    </a:xfrm>
                    <a:prstGeom prst="rect">
                      <a:avLst/>
                    </a:prstGeom>
                  </pic:spPr>
                </pic:pic>
              </a:graphicData>
            </a:graphic>
          </wp:inline>
        </w:drawing>
      </w:r>
    </w:p>
    <w:p w14:paraId="5A4CD546">
      <w:pPr>
        <w:bidi w:val="0"/>
        <w:rPr>
          <w:rFonts w:hint="default"/>
          <w:color w:val="auto"/>
        </w:rPr>
      </w:pPr>
      <w:r>
        <w:rPr>
          <w:rFonts w:hint="default"/>
          <w:color w:val="auto"/>
        </w:rPr>
        <w:t>采购项目洽商记录：详细记录企业与供应商就采购项目的价格、交付、服务等条款的洽谈过程，为采购合同签订提供参考。</w:t>
      </w:r>
    </w:p>
    <w:p w14:paraId="53325B15">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42560" cy="1888490"/>
            <wp:effectExtent l="0" t="0" r="0" b="127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190"/>
                    <a:stretch>
                      <a:fillRect/>
                    </a:stretch>
                  </pic:blipFill>
                  <pic:spPr>
                    <a:xfrm>
                      <a:off x="0" y="0"/>
                      <a:ext cx="5242560" cy="1888490"/>
                    </a:xfrm>
                    <a:prstGeom prst="rect">
                      <a:avLst/>
                    </a:prstGeom>
                  </pic:spPr>
                </pic:pic>
              </a:graphicData>
            </a:graphic>
          </wp:inline>
        </w:drawing>
      </w:r>
    </w:p>
    <w:p w14:paraId="2A057EB2">
      <w:pPr>
        <w:bidi w:val="0"/>
        <w:rPr>
          <w:rFonts w:hint="default"/>
          <w:color w:val="auto"/>
        </w:rPr>
      </w:pPr>
      <w:r>
        <w:rPr>
          <w:rFonts w:hint="default"/>
          <w:color w:val="auto"/>
        </w:rPr>
        <w:t>供应商绩效考核：建立供应商绩效考核指标体系，对供应商的交货准时率、产品质量、服务水平等进行定期考核，实现供应商的动态管理。</w:t>
      </w:r>
    </w:p>
    <w:p w14:paraId="7CBCBBB5">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2880" cy="1880235"/>
            <wp:effectExtent l="0" t="0" r="10160" b="9525"/>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91"/>
                    <a:stretch>
                      <a:fillRect/>
                    </a:stretch>
                  </pic:blipFill>
                  <pic:spPr>
                    <a:xfrm>
                      <a:off x="0" y="0"/>
                      <a:ext cx="5262880" cy="1880235"/>
                    </a:xfrm>
                    <a:prstGeom prst="rect">
                      <a:avLst/>
                    </a:prstGeom>
                  </pic:spPr>
                </pic:pic>
              </a:graphicData>
            </a:graphic>
          </wp:inline>
        </w:drawing>
      </w:r>
    </w:p>
    <w:p w14:paraId="4F5C5E64">
      <w:pPr>
        <w:bidi w:val="0"/>
        <w:rPr>
          <w:rFonts w:hint="default"/>
          <w:color w:val="auto"/>
        </w:rPr>
      </w:pPr>
      <w:r>
        <w:rPr>
          <w:rFonts w:hint="default"/>
          <w:color w:val="auto"/>
        </w:rPr>
        <w:t>供应商评价内容：明确供应商评价的维度和标准，对供应商进行全面、客观的评价，助力企业优化供应商结构，提升采购供应链质量。</w:t>
      </w:r>
    </w:p>
    <w:p w14:paraId="5E37898E">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61610" cy="1802130"/>
            <wp:effectExtent l="0" t="0" r="11430" b="1143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92"/>
                    <a:stretch>
                      <a:fillRect/>
                    </a:stretch>
                  </pic:blipFill>
                  <pic:spPr>
                    <a:xfrm>
                      <a:off x="0" y="0"/>
                      <a:ext cx="5261610" cy="1802130"/>
                    </a:xfrm>
                    <a:prstGeom prst="rect">
                      <a:avLst/>
                    </a:prstGeom>
                  </pic:spPr>
                </pic:pic>
              </a:graphicData>
            </a:graphic>
          </wp:inline>
        </w:drawing>
      </w:r>
    </w:p>
    <w:p w14:paraId="752878A5">
      <w:pPr>
        <w:pStyle w:val="35"/>
        <w:bidi w:val="0"/>
        <w:rPr>
          <w:rFonts w:hint="default"/>
        </w:rPr>
      </w:pPr>
      <w:r>
        <w:rPr>
          <w:rFonts w:hint="default"/>
        </w:rPr>
        <w:t>采购订单跟踪</w:t>
      </w:r>
    </w:p>
    <w:p w14:paraId="00F494FB">
      <w:pPr>
        <w:bidi w:val="0"/>
        <w:rPr>
          <w:rFonts w:hint="default"/>
          <w:color w:val="auto"/>
        </w:rPr>
      </w:pPr>
      <w:r>
        <w:rPr>
          <w:rFonts w:hint="default"/>
          <w:color w:val="auto"/>
        </w:rPr>
        <w:t>实时监控采购订单的执行进度，包括订单的下达、供应商确认、物流运输、到货验收等环节的状态，便于企业及时掌握订单动态，对异常情况进行快速响应。</w:t>
      </w:r>
    </w:p>
    <w:p w14:paraId="7F5546D6">
      <w:pPr>
        <w:pStyle w:val="35"/>
        <w:bidi w:val="0"/>
        <w:rPr>
          <w:rFonts w:hint="default"/>
        </w:rPr>
      </w:pPr>
      <w:r>
        <w:rPr>
          <w:rFonts w:hint="default"/>
        </w:rPr>
        <w:t>采购费用统计</w:t>
      </w:r>
    </w:p>
    <w:p w14:paraId="79212DF0">
      <w:pPr>
        <w:bidi w:val="0"/>
        <w:rPr>
          <w:rFonts w:hint="default"/>
          <w:color w:val="auto"/>
        </w:rPr>
      </w:pPr>
      <w:r>
        <w:rPr>
          <w:rFonts w:hint="default"/>
          <w:color w:val="auto"/>
        </w:rPr>
        <w:t>对采购过程中产生的各类费用（如物料采购价、运输费、装卸费等）进行分类统计和分析，生成采购费用报表，为企业采购成本核算、成本控制和财务分析提供数据支持。</w:t>
      </w:r>
    </w:p>
    <w:p w14:paraId="079BC066">
      <w:pPr>
        <w:pStyle w:val="42"/>
        <w:wordWrap/>
        <w:overflowPunct/>
        <w:topLinePunct w:val="0"/>
        <w:bidi w:val="0"/>
        <w:snapToGrid w:val="0"/>
        <w:spacing w:beforeAutospacing="0" w:afterAutospacing="0" w:line="360" w:lineRule="auto"/>
        <w:rPr>
          <w:rFonts w:hint="default" w:ascii="宋体" w:hAnsi="宋体" w:eastAsia="宋体"/>
          <w:color w:val="auto"/>
          <w:sz w:val="21"/>
          <w:szCs w:val="21"/>
          <w:woUserID w:val="1"/>
        </w:rPr>
      </w:pPr>
      <w:r>
        <w:rPr>
          <w:rFonts w:hint="default" w:ascii="宋体" w:hAnsi="宋体" w:eastAsia="宋体"/>
          <w:color w:val="auto"/>
          <w:sz w:val="21"/>
          <w:szCs w:val="21"/>
          <w:woUserID w:val="1"/>
        </w:rPr>
        <w:drawing>
          <wp:inline distT="0" distB="0" distL="114300" distR="114300">
            <wp:extent cx="5246370" cy="1858645"/>
            <wp:effectExtent l="0" t="0" r="11430" b="63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193"/>
                    <a:stretch>
                      <a:fillRect/>
                    </a:stretch>
                  </pic:blipFill>
                  <pic:spPr>
                    <a:xfrm>
                      <a:off x="0" y="0"/>
                      <a:ext cx="5246370" cy="1858645"/>
                    </a:xfrm>
                    <a:prstGeom prst="rect">
                      <a:avLst/>
                    </a:prstGeom>
                  </pic:spPr>
                </pic:pic>
              </a:graphicData>
            </a:graphic>
          </wp:inline>
        </w:drawing>
      </w:r>
    </w:p>
    <w:p w14:paraId="53B31FB3">
      <w:pPr>
        <w:pStyle w:val="35"/>
        <w:bidi w:val="0"/>
        <w:rPr>
          <w:rFonts w:hint="default"/>
          <w:lang w:val="en-US" w:eastAsia="zh-CN"/>
        </w:rPr>
      </w:pPr>
      <w:r>
        <w:rPr>
          <w:rFonts w:hint="eastAsia"/>
          <w:lang w:val="en-US" w:eastAsia="zh-CN"/>
        </w:rPr>
        <w:t>数据统计看板</w:t>
      </w:r>
    </w:p>
    <w:p w14:paraId="77E500AD">
      <w:pPr>
        <w:rPr>
          <w:rFonts w:hint="eastAsia"/>
          <w:color w:val="auto"/>
          <w:lang w:eastAsia="zh-CN"/>
        </w:rPr>
      </w:pPr>
      <w:r>
        <w:rPr>
          <w:rFonts w:hint="default"/>
          <w:color w:val="auto"/>
        </w:rPr>
        <w:t>该 “公司级问题点处理” 表单是数智工厂质量管理模块中企业级质量与运营问题统筹管控的核心工具，用于对公司各部门（生产、设备、品管、行政人事等）的问题点进行集中记录、跟踪、整改与验证，实现跨部门问题的闭环管理</w:t>
      </w:r>
      <w:r>
        <w:rPr>
          <w:rFonts w:hint="eastAsia"/>
          <w:color w:val="auto"/>
          <w:lang w:eastAsia="zh-CN"/>
        </w:rPr>
        <w:t>。</w:t>
      </w:r>
    </w:p>
    <w:p w14:paraId="241F0902">
      <w:pPr>
        <w:spacing w:line="240" w:lineRule="auto"/>
        <w:ind w:left="0" w:leftChars="0" w:firstLine="0" w:firstLineChars="0"/>
        <w:rPr>
          <w:rFonts w:hint="default"/>
          <w:color w:val="auto"/>
          <w:lang w:eastAsia="zh-CN"/>
        </w:rPr>
      </w:pPr>
      <w:r>
        <w:rPr>
          <w:rFonts w:hint="default"/>
          <w:color w:val="auto"/>
          <w:lang w:eastAsia="zh-CN"/>
        </w:rPr>
        <w:drawing>
          <wp:inline distT="0" distB="0" distL="114300" distR="114300">
            <wp:extent cx="5261610" cy="1913255"/>
            <wp:effectExtent l="0" t="0" r="11430" b="6985"/>
            <wp:docPr id="58" name="图片 58" descr="0720102f-8317-4996-90f7-33e851e8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720102f-8317-4996-90f7-33e851e86215"/>
                    <pic:cNvPicPr>
                      <a:picLocks noChangeAspect="1"/>
                    </pic:cNvPicPr>
                  </pic:nvPicPr>
                  <pic:blipFill>
                    <a:blip r:embed="rId194"/>
                    <a:stretch>
                      <a:fillRect/>
                    </a:stretch>
                  </pic:blipFill>
                  <pic:spPr>
                    <a:xfrm>
                      <a:off x="0" y="0"/>
                      <a:ext cx="5261610" cy="1913255"/>
                    </a:xfrm>
                    <a:prstGeom prst="rect">
                      <a:avLst/>
                    </a:prstGeom>
                  </pic:spPr>
                </pic:pic>
              </a:graphicData>
            </a:graphic>
          </wp:inline>
        </w:drawing>
      </w:r>
    </w:p>
    <w:p w14:paraId="3DCC2A5F">
      <w:pPr>
        <w:spacing w:line="240" w:lineRule="auto"/>
        <w:ind w:left="0" w:leftChars="0" w:firstLine="640" w:firstLineChars="0"/>
        <w:rPr>
          <w:rFonts w:hint="default"/>
          <w:color w:val="auto"/>
        </w:rPr>
      </w:pPr>
      <w:r>
        <w:rPr>
          <w:rFonts w:hint="default"/>
          <w:color w:val="auto"/>
        </w:rPr>
        <w:t>该 “外来人员管理” 看板是数智工厂安全管理模块中外来访客管控的核心可视化工具，用于对进入厂区的外来人员进行全流程统计与分析，保障厂区安全与访客管理的规范性。</w:t>
      </w:r>
    </w:p>
    <w:p w14:paraId="64F1DE05">
      <w:pPr>
        <w:spacing w:line="240" w:lineRule="auto"/>
        <w:ind w:left="0" w:leftChars="0" w:firstLine="0" w:firstLineChars="0"/>
        <w:rPr>
          <w:rFonts w:hint="default"/>
          <w:color w:val="auto"/>
          <w:lang w:val="en-US" w:eastAsia="zh-CN"/>
        </w:rPr>
      </w:pPr>
      <w:r>
        <w:rPr>
          <w:rFonts w:hint="default"/>
          <w:color w:val="auto"/>
          <w:lang w:val="en-US" w:eastAsia="zh-CN"/>
        </w:rPr>
        <w:drawing>
          <wp:inline distT="0" distB="0" distL="114300" distR="114300">
            <wp:extent cx="5265420" cy="1943100"/>
            <wp:effectExtent l="0" t="0" r="7620" b="7620"/>
            <wp:docPr id="59" name="图片 59" descr="d7f8c1a7-a8ad-4e70-bf2c-7843c8038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d7f8c1a7-a8ad-4e70-bf2c-7843c8038adc"/>
                    <pic:cNvPicPr>
                      <a:picLocks noChangeAspect="1"/>
                    </pic:cNvPicPr>
                  </pic:nvPicPr>
                  <pic:blipFill>
                    <a:blip r:embed="rId195"/>
                    <a:stretch>
                      <a:fillRect/>
                    </a:stretch>
                  </pic:blipFill>
                  <pic:spPr>
                    <a:xfrm>
                      <a:off x="0" y="0"/>
                      <a:ext cx="5265420" cy="1943100"/>
                    </a:xfrm>
                    <a:prstGeom prst="rect">
                      <a:avLst/>
                    </a:prstGeom>
                  </pic:spPr>
                </pic:pic>
              </a:graphicData>
            </a:graphic>
          </wp:inline>
        </w:drawing>
      </w:r>
    </w:p>
    <w:p w14:paraId="7CDDD2B3">
      <w:pPr>
        <w:spacing w:line="240" w:lineRule="auto"/>
        <w:ind w:left="0" w:leftChars="0" w:firstLine="0" w:firstLineChars="0"/>
        <w:rPr>
          <w:rFonts w:hint="default"/>
          <w:color w:val="auto"/>
        </w:rPr>
      </w:pPr>
      <w:r>
        <w:rPr>
          <w:rFonts w:hint="eastAsia"/>
          <w:color w:val="auto"/>
          <w:lang w:val="en-US" w:eastAsia="zh-CN"/>
        </w:rPr>
        <w:t xml:space="preserve">   </w:t>
      </w:r>
      <w:r>
        <w:rPr>
          <w:rFonts w:hint="default"/>
          <w:color w:val="auto"/>
        </w:rPr>
        <w:t>该 “消防安全管理看板” 是数智工厂安全管理模块中消防安全管控的核心可视化工具，用于对厂区消防器材、消防点检及隐患整改进行全面监控与分析，保障厂区消防安全。</w:t>
      </w:r>
    </w:p>
    <w:p w14:paraId="79E0756F">
      <w:pPr>
        <w:spacing w:line="240" w:lineRule="auto"/>
        <w:ind w:left="0" w:leftChars="0" w:firstLine="0" w:firstLineChars="0"/>
        <w:rPr>
          <w:rFonts w:hint="eastAsia" w:eastAsia="仿宋_GB2312"/>
          <w:color w:val="auto"/>
          <w:lang w:val="en-US" w:eastAsia="zh-CN"/>
        </w:rPr>
      </w:pPr>
      <w:r>
        <w:rPr>
          <w:rFonts w:hint="eastAsia" w:eastAsia="仿宋_GB2312"/>
          <w:color w:val="auto"/>
          <w:lang w:val="en-US" w:eastAsia="zh-CN"/>
        </w:rPr>
        <w:drawing>
          <wp:inline distT="0" distB="0" distL="114300" distR="114300">
            <wp:extent cx="5246370" cy="1837690"/>
            <wp:effectExtent l="0" t="0" r="11430" b="6350"/>
            <wp:docPr id="104" name="图片 104" descr="583a158f-b358-4f8e-aa48-bb63512ac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583a158f-b358-4f8e-aa48-bb63512ac86e"/>
                    <pic:cNvPicPr>
                      <a:picLocks noChangeAspect="1"/>
                    </pic:cNvPicPr>
                  </pic:nvPicPr>
                  <pic:blipFill>
                    <a:blip r:embed="rId196"/>
                    <a:stretch>
                      <a:fillRect/>
                    </a:stretch>
                  </pic:blipFill>
                  <pic:spPr>
                    <a:xfrm>
                      <a:off x="0" y="0"/>
                      <a:ext cx="5246370" cy="1837690"/>
                    </a:xfrm>
                    <a:prstGeom prst="rect">
                      <a:avLst/>
                    </a:prstGeom>
                  </pic:spPr>
                </pic:pic>
              </a:graphicData>
            </a:graphic>
          </wp:inline>
        </w:drawing>
      </w:r>
    </w:p>
    <w:p w14:paraId="173BFBC1">
      <w:pPr>
        <w:spacing w:line="240" w:lineRule="auto"/>
        <w:ind w:left="0" w:leftChars="0" w:firstLine="640" w:firstLineChars="0"/>
        <w:rPr>
          <w:rFonts w:hint="default"/>
          <w:color w:val="auto"/>
        </w:rPr>
      </w:pPr>
      <w:r>
        <w:rPr>
          <w:rFonts w:hint="default"/>
          <w:color w:val="auto"/>
        </w:rPr>
        <w:t>该 “原材料检测概况” 看板是数智工厂质量管理模块中原材料质量管控的核心可视化工具，用于对进厂原材料的检测全流程进行实时监控与分析，从源头保障产品质量。</w:t>
      </w:r>
    </w:p>
    <w:p w14:paraId="0497622C">
      <w:pPr>
        <w:spacing w:line="240" w:lineRule="auto"/>
        <w:ind w:left="0" w:leftChars="0" w:firstLine="0" w:firstLineChars="0"/>
        <w:rPr>
          <w:rFonts w:hint="default"/>
          <w:color w:val="auto"/>
          <w:lang w:val="en-US" w:eastAsia="zh-CN"/>
        </w:rPr>
      </w:pPr>
    </w:p>
    <w:p w14:paraId="66FC4507">
      <w:pPr>
        <w:spacing w:line="240" w:lineRule="auto"/>
        <w:ind w:left="0" w:leftChars="0" w:firstLine="0" w:firstLineChars="0"/>
        <w:rPr>
          <w:rFonts w:hint="default"/>
          <w:color w:val="auto"/>
          <w:lang w:val="en-US" w:eastAsia="zh-CN"/>
        </w:rPr>
      </w:pPr>
      <w:r>
        <w:rPr>
          <w:rFonts w:hint="default"/>
          <w:color w:val="auto"/>
          <w:lang w:val="en-US" w:eastAsia="zh-CN"/>
        </w:rPr>
        <w:drawing>
          <wp:inline distT="0" distB="0" distL="114300" distR="114300">
            <wp:extent cx="5255895" cy="1912620"/>
            <wp:effectExtent l="0" t="0" r="1905" b="7620"/>
            <wp:docPr id="108" name="图片 108" descr="65d2a02a-1523-40ea-aad8-dfbce1cb1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65d2a02a-1523-40ea-aad8-dfbce1cb124f"/>
                    <pic:cNvPicPr>
                      <a:picLocks noChangeAspect="1"/>
                    </pic:cNvPicPr>
                  </pic:nvPicPr>
                  <pic:blipFill>
                    <a:blip r:embed="rId197"/>
                    <a:stretch>
                      <a:fillRect/>
                    </a:stretch>
                  </pic:blipFill>
                  <pic:spPr>
                    <a:xfrm>
                      <a:off x="0" y="0"/>
                      <a:ext cx="5255895" cy="1912620"/>
                    </a:xfrm>
                    <a:prstGeom prst="rect">
                      <a:avLst/>
                    </a:prstGeom>
                  </pic:spPr>
                </pic:pic>
              </a:graphicData>
            </a:graphic>
          </wp:inline>
        </w:drawing>
      </w:r>
    </w:p>
    <w:p w14:paraId="53728633">
      <w:pPr>
        <w:spacing w:line="240" w:lineRule="auto"/>
        <w:ind w:left="0" w:leftChars="0" w:firstLine="640" w:firstLineChars="0"/>
        <w:rPr>
          <w:rFonts w:hint="default"/>
          <w:color w:val="auto"/>
        </w:rPr>
      </w:pPr>
      <w:r>
        <w:rPr>
          <w:rFonts w:hint="default"/>
          <w:color w:val="auto"/>
        </w:rPr>
        <w:t>该 “检测设备管理看板” 是数智工厂质量管理模块中生产检测设备运行与质量监控的核心可视化工具，用于对空罐光检机等关键检测设备的运行数据、缺陷情况进行实时监控与分析，保障检测设备的稳定性与产品质量的可靠性。</w:t>
      </w:r>
    </w:p>
    <w:p w14:paraId="19E498E4">
      <w:pPr>
        <w:spacing w:line="240" w:lineRule="auto"/>
        <w:ind w:left="0" w:leftChars="0" w:firstLine="0" w:firstLineChars="0"/>
        <w:rPr>
          <w:rFonts w:hint="default"/>
          <w:color w:val="auto"/>
          <w:lang w:val="en-US" w:eastAsia="zh-CN"/>
        </w:rPr>
      </w:pPr>
      <w:r>
        <w:rPr>
          <w:rFonts w:hint="default"/>
          <w:color w:val="auto"/>
          <w:lang w:val="en-US" w:eastAsia="zh-CN"/>
        </w:rPr>
        <w:drawing>
          <wp:inline distT="0" distB="0" distL="114300" distR="114300">
            <wp:extent cx="5248910" cy="1743075"/>
            <wp:effectExtent l="0" t="0" r="8890" b="9525"/>
            <wp:docPr id="112" name="图片 112" descr="793b7832-7c6b-4af9-b1b2-41c341854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793b7832-7c6b-4af9-b1b2-41c341854c8c"/>
                    <pic:cNvPicPr>
                      <a:picLocks noChangeAspect="1"/>
                    </pic:cNvPicPr>
                  </pic:nvPicPr>
                  <pic:blipFill>
                    <a:blip r:embed="rId198"/>
                    <a:stretch>
                      <a:fillRect/>
                    </a:stretch>
                  </pic:blipFill>
                  <pic:spPr>
                    <a:xfrm>
                      <a:off x="0" y="0"/>
                      <a:ext cx="5248910" cy="1743075"/>
                    </a:xfrm>
                    <a:prstGeom prst="rect">
                      <a:avLst/>
                    </a:prstGeom>
                  </pic:spPr>
                </pic:pic>
              </a:graphicData>
            </a:graphic>
          </wp:inline>
        </w:drawing>
      </w:r>
    </w:p>
    <w:p w14:paraId="4830C1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“过程控制 CCP 点” 看板是数智工厂质量管理模块中关键控制点（Critical Control Point）的核心可视化监控工具，用于对生产流程中影响产品安全与质量的关键环节进行实时监控，保障生产过程的稳定性与合规性。</w:t>
      </w:r>
    </w:p>
    <w:p w14:paraId="2872E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71135" cy="1847215"/>
            <wp:effectExtent l="0" t="0" r="1905" b="12065"/>
            <wp:docPr id="113" name="图片 113" descr="760f356f-dfc9-4da8-a20f-70ea48ee2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760f356f-dfc9-4da8-a20f-70ea48ee2b98"/>
                    <pic:cNvPicPr>
                      <a:picLocks noChangeAspect="1"/>
                    </pic:cNvPicPr>
                  </pic:nvPicPr>
                  <pic:blipFill>
                    <a:blip r:embed="rId199"/>
                    <a:stretch>
                      <a:fillRect/>
                    </a:stretch>
                  </pic:blipFill>
                  <pic:spPr>
                    <a:xfrm>
                      <a:off x="0" y="0"/>
                      <a:ext cx="5271135" cy="1847215"/>
                    </a:xfrm>
                    <a:prstGeom prst="rect">
                      <a:avLst/>
                    </a:prstGeom>
                  </pic:spPr>
                </pic:pic>
              </a:graphicData>
            </a:graphic>
          </wp:inline>
        </w:drawing>
      </w:r>
    </w:p>
    <w:p w14:paraId="005F9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rPr>
      </w:pPr>
      <w:r>
        <w:rPr>
          <w:rFonts w:hint="eastAsia"/>
          <w:color w:val="auto"/>
          <w:lang w:val="en-US" w:eastAsia="zh-CN"/>
        </w:rPr>
        <w:t xml:space="preserve">   </w:t>
      </w:r>
      <w:r>
        <w:rPr>
          <w:rFonts w:hint="default"/>
          <w:color w:val="auto"/>
        </w:rPr>
        <w:t>该 “生产过程总览” 看板是数智工厂生产管理模块中全流程生产监控的核心可视化工具，用于对产线的产量、效率、设备状态及关键工艺参数进行实时整合与分析，实现生产过程的全局掌控。</w:t>
      </w:r>
    </w:p>
    <w:p w14:paraId="6D5F65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eastAsia" w:eastAsia="仿宋_GB2312"/>
          <w:color w:val="auto"/>
          <w:lang w:eastAsia="zh-CN"/>
        </w:rPr>
      </w:pPr>
      <w:r>
        <w:rPr>
          <w:rFonts w:hint="eastAsia" w:eastAsia="仿宋_GB2312"/>
          <w:color w:val="auto"/>
          <w:lang w:eastAsia="zh-CN"/>
        </w:rPr>
        <w:drawing>
          <wp:inline distT="0" distB="0" distL="114300" distR="114300">
            <wp:extent cx="5264785" cy="1439545"/>
            <wp:effectExtent l="0" t="0" r="8255" b="8255"/>
            <wp:docPr id="114" name="图片 114" descr="19d7f28f-9a76-4199-9376-c457ae94f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19d7f28f-9a76-4199-9376-c457ae94f9e4"/>
                    <pic:cNvPicPr>
                      <a:picLocks noChangeAspect="1"/>
                    </pic:cNvPicPr>
                  </pic:nvPicPr>
                  <pic:blipFill>
                    <a:blip r:embed="rId200"/>
                    <a:stretch>
                      <a:fillRect/>
                    </a:stretch>
                  </pic:blipFill>
                  <pic:spPr>
                    <a:xfrm>
                      <a:off x="0" y="0"/>
                      <a:ext cx="5264785" cy="1439545"/>
                    </a:xfrm>
                    <a:prstGeom prst="rect">
                      <a:avLst/>
                    </a:prstGeom>
                  </pic:spPr>
                </pic:pic>
              </a:graphicData>
            </a:graphic>
          </wp:inline>
        </w:drawing>
      </w:r>
    </w:p>
    <w:p w14:paraId="74F1C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rPr>
      </w:pPr>
      <w:r>
        <w:rPr>
          <w:rFonts w:hint="eastAsia"/>
          <w:color w:val="auto"/>
          <w:lang w:val="en-US" w:eastAsia="zh-CN"/>
        </w:rPr>
        <w:t xml:space="preserve">   </w:t>
      </w:r>
      <w:r>
        <w:rPr>
          <w:rFonts w:hint="default"/>
          <w:color w:val="auto"/>
        </w:rPr>
        <w:t>该 “设备误时指标” 看板是数智工厂设备管理模块中设备运行效率与故障监控的核心可视化工具，用于对设备误时的总时长、分布类型及产线差异进行多维度分析，助力企业优化设备管理，提升生产效率。</w:t>
      </w:r>
    </w:p>
    <w:p w14:paraId="2473A8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eastAsia" w:eastAsia="仿宋_GB2312"/>
          <w:color w:val="auto"/>
          <w:lang w:val="en-US" w:eastAsia="zh-CN"/>
        </w:rPr>
      </w:pPr>
      <w:r>
        <w:rPr>
          <w:rFonts w:hint="eastAsia" w:eastAsia="仿宋_GB2312"/>
          <w:color w:val="auto"/>
          <w:lang w:val="en-US" w:eastAsia="zh-CN"/>
        </w:rPr>
        <w:drawing>
          <wp:inline distT="0" distB="0" distL="114300" distR="114300">
            <wp:extent cx="5262880" cy="1925320"/>
            <wp:effectExtent l="0" t="0" r="10160" b="10160"/>
            <wp:docPr id="118" name="图片 118" descr="85026c16-2d42-485d-a75a-f54118ff4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85026c16-2d42-485d-a75a-f54118ff4bf1"/>
                    <pic:cNvPicPr>
                      <a:picLocks noChangeAspect="1"/>
                    </pic:cNvPicPr>
                  </pic:nvPicPr>
                  <pic:blipFill>
                    <a:blip r:embed="rId201"/>
                    <a:stretch>
                      <a:fillRect/>
                    </a:stretch>
                  </pic:blipFill>
                  <pic:spPr>
                    <a:xfrm>
                      <a:off x="0" y="0"/>
                      <a:ext cx="5262880" cy="1925320"/>
                    </a:xfrm>
                    <a:prstGeom prst="rect">
                      <a:avLst/>
                    </a:prstGeom>
                  </pic:spPr>
                </pic:pic>
              </a:graphicData>
            </a:graphic>
          </wp:inline>
        </w:drawing>
      </w:r>
    </w:p>
    <w:p w14:paraId="504030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“生产误时指标” 看板是数智工厂生产管理模块中生产效率与损耗监控的核心可视化工具，用于对生产全流程的误时数据进行多维度统计与分析，精准定位效率损耗的来源，助力企业提升生产运营效率。</w:t>
      </w:r>
    </w:p>
    <w:p w14:paraId="57E4D4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56530" cy="1827530"/>
            <wp:effectExtent l="0" t="0" r="1270" b="1270"/>
            <wp:docPr id="119" name="图片 119" descr="fd816939-d516-4952-a4e5-46681191e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fd816939-d516-4952-a4e5-46681191eb7d"/>
                    <pic:cNvPicPr>
                      <a:picLocks noChangeAspect="1"/>
                    </pic:cNvPicPr>
                  </pic:nvPicPr>
                  <pic:blipFill>
                    <a:blip r:embed="rId202"/>
                    <a:stretch>
                      <a:fillRect/>
                    </a:stretch>
                  </pic:blipFill>
                  <pic:spPr>
                    <a:xfrm>
                      <a:off x="0" y="0"/>
                      <a:ext cx="5256530" cy="1827530"/>
                    </a:xfrm>
                    <a:prstGeom prst="rect">
                      <a:avLst/>
                    </a:prstGeom>
                  </pic:spPr>
                </pic:pic>
              </a:graphicData>
            </a:graphic>
          </wp:inline>
        </w:drawing>
      </w:r>
    </w:p>
    <w:p w14:paraId="288C9C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“综合效率” 看板是数智工厂生产管理模块中生产效率全局监控与分析的核心可视化工具，用于对全厂、各班组及产线的综合效率进行实时跟踪与对比，助力企业提升生产运营效能。</w:t>
      </w:r>
    </w:p>
    <w:p w14:paraId="002307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55895" cy="1938020"/>
            <wp:effectExtent l="0" t="0" r="1905" b="12700"/>
            <wp:docPr id="122" name="图片 122" descr="c7ef7979-4eb5-49ef-8fc7-ae6e56e0f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c7ef7979-4eb5-49ef-8fc7-ae6e56e0f74d"/>
                    <pic:cNvPicPr>
                      <a:picLocks noChangeAspect="1"/>
                    </pic:cNvPicPr>
                  </pic:nvPicPr>
                  <pic:blipFill>
                    <a:blip r:embed="rId203"/>
                    <a:stretch>
                      <a:fillRect/>
                    </a:stretch>
                  </pic:blipFill>
                  <pic:spPr>
                    <a:xfrm>
                      <a:off x="0" y="0"/>
                      <a:ext cx="5255895" cy="1938020"/>
                    </a:xfrm>
                    <a:prstGeom prst="rect">
                      <a:avLst/>
                    </a:prstGeom>
                  </pic:spPr>
                </pic:pic>
              </a:graphicData>
            </a:graphic>
          </wp:inline>
        </w:drawing>
      </w:r>
    </w:p>
    <w:p w14:paraId="275DF4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“劳动生产率” 看板是数智工厂生产管理模块中人员效率与班组绩效监控的核心可视化工具，用于对全厂劳动生产率及各班组综合效率进行实时跟踪与对比，助力企业优化人力配置、提升生产效能。</w:t>
      </w:r>
    </w:p>
    <w:p w14:paraId="52A9E1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60340" cy="1851025"/>
            <wp:effectExtent l="0" t="0" r="12700" b="8255"/>
            <wp:docPr id="123" name="图片 123" descr="14ae416e-5350-432d-886d-8a5ec755b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14ae416e-5350-432d-886d-8a5ec755b70c"/>
                    <pic:cNvPicPr>
                      <a:picLocks noChangeAspect="1"/>
                    </pic:cNvPicPr>
                  </pic:nvPicPr>
                  <pic:blipFill>
                    <a:blip r:embed="rId204"/>
                    <a:stretch>
                      <a:fillRect/>
                    </a:stretch>
                  </pic:blipFill>
                  <pic:spPr>
                    <a:xfrm>
                      <a:off x="0" y="0"/>
                      <a:ext cx="5260340" cy="1851025"/>
                    </a:xfrm>
                    <a:prstGeom prst="rect">
                      <a:avLst/>
                    </a:prstGeom>
                  </pic:spPr>
                </pic:pic>
              </a:graphicData>
            </a:graphic>
          </wp:inline>
        </w:drawing>
      </w:r>
    </w:p>
    <w:p w14:paraId="658F42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“台时利用率” 看板是数智工厂设备管理模块中设备运行效率监控的核心可视化工具，用于对全厂及各班组设备的台时利用率、停机时长进行实时跟踪与对比，精准定位设备效率损耗的来源。</w:t>
      </w:r>
    </w:p>
    <w:p w14:paraId="160109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44465" cy="1849755"/>
            <wp:effectExtent l="0" t="0" r="13335" b="9525"/>
            <wp:docPr id="124" name="图片 124" descr="7026b0c3-4639-4b0e-81d1-70a899c82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7026b0c3-4639-4b0e-81d1-70a899c827ad"/>
                    <pic:cNvPicPr>
                      <a:picLocks noChangeAspect="1"/>
                    </pic:cNvPicPr>
                  </pic:nvPicPr>
                  <pic:blipFill>
                    <a:blip r:embed="rId205"/>
                    <a:stretch>
                      <a:fillRect/>
                    </a:stretch>
                  </pic:blipFill>
                  <pic:spPr>
                    <a:xfrm>
                      <a:off x="0" y="0"/>
                      <a:ext cx="5244465" cy="1849755"/>
                    </a:xfrm>
                    <a:prstGeom prst="rect">
                      <a:avLst/>
                    </a:prstGeom>
                  </pic:spPr>
                </pic:pic>
              </a:graphicData>
            </a:graphic>
          </wp:inline>
        </w:drawing>
      </w:r>
    </w:p>
    <w:p w14:paraId="502338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“设备维保情况” 看板是数智工厂设备管理模块中设备全生命周期维护的核心可视化工具，用于对设备维保、点检、故障及备件进行多维度监控与分析，保障设备稳定运行，提升运维效率。</w:t>
      </w:r>
    </w:p>
    <w:p w14:paraId="361099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71770" cy="1741805"/>
            <wp:effectExtent l="0" t="0" r="1270" b="10795"/>
            <wp:docPr id="126" name="图片 126" descr="b210ffe5-d4b9-4f95-99e8-dd5b4ceb9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b210ffe5-d4b9-4f95-99e8-dd5b4ceb901f"/>
                    <pic:cNvPicPr>
                      <a:picLocks noChangeAspect="1"/>
                    </pic:cNvPicPr>
                  </pic:nvPicPr>
                  <pic:blipFill>
                    <a:blip r:embed="rId206"/>
                    <a:stretch>
                      <a:fillRect/>
                    </a:stretch>
                  </pic:blipFill>
                  <pic:spPr>
                    <a:xfrm>
                      <a:off x="0" y="0"/>
                      <a:ext cx="5271770" cy="1741805"/>
                    </a:xfrm>
                    <a:prstGeom prst="rect">
                      <a:avLst/>
                    </a:prstGeom>
                  </pic:spPr>
                </pic:pic>
              </a:graphicData>
            </a:graphic>
          </wp:inline>
        </w:drawing>
      </w:r>
    </w:p>
    <w:p w14:paraId="48FB3E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“能源数据分析” 看板是数智工厂能源管理模块中能源消耗监控与优化的核心可视化工具，用于对全厂水、电、蒸汽、燃气等多品类能源的消耗进行实时监控与分析，助力企业降低能源成本，实现绿色生产。</w:t>
      </w:r>
    </w:p>
    <w:p w14:paraId="3D49CC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64150" cy="1865630"/>
            <wp:effectExtent l="0" t="0" r="8890" b="8890"/>
            <wp:docPr id="127" name="图片 127" descr="dacf49b9-b14a-47d3-884d-d82fb29ad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dacf49b9-b14a-47d3-884d-d82fb29ad619"/>
                    <pic:cNvPicPr>
                      <a:picLocks noChangeAspect="1"/>
                    </pic:cNvPicPr>
                  </pic:nvPicPr>
                  <pic:blipFill>
                    <a:blip r:embed="rId207"/>
                    <a:stretch>
                      <a:fillRect/>
                    </a:stretch>
                  </pic:blipFill>
                  <pic:spPr>
                    <a:xfrm>
                      <a:off x="0" y="0"/>
                      <a:ext cx="5264150" cy="1865630"/>
                    </a:xfrm>
                    <a:prstGeom prst="rect">
                      <a:avLst/>
                    </a:prstGeom>
                  </pic:spPr>
                </pic:pic>
              </a:graphicData>
            </a:graphic>
          </wp:inline>
        </w:drawing>
      </w:r>
    </w:p>
    <w:p w14:paraId="5F4AF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“生产设备监控看板” 是数智工厂设备管理模块中生产设备实时运行监控的核心可视化工具，用于对生产设备的产量、关键工艺参数及故障状态进行实时跟踪，保障生产过程的稳定性与连续性。</w:t>
      </w:r>
    </w:p>
    <w:p w14:paraId="4891A4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62245" cy="1923415"/>
            <wp:effectExtent l="0" t="0" r="10795" b="12065"/>
            <wp:docPr id="128" name="图片 128" descr="6bcaf10a-e85f-4c9f-a1ca-2f4690ed0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6bcaf10a-e85f-4c9f-a1ca-2f4690ed0bc3"/>
                    <pic:cNvPicPr>
                      <a:picLocks noChangeAspect="1"/>
                    </pic:cNvPicPr>
                  </pic:nvPicPr>
                  <pic:blipFill>
                    <a:blip r:embed="rId208"/>
                    <a:stretch>
                      <a:fillRect/>
                    </a:stretch>
                  </pic:blipFill>
                  <pic:spPr>
                    <a:xfrm>
                      <a:off x="0" y="0"/>
                      <a:ext cx="5262245" cy="1923415"/>
                    </a:xfrm>
                    <a:prstGeom prst="rect">
                      <a:avLst/>
                    </a:prstGeom>
                  </pic:spPr>
                </pic:pic>
              </a:graphicData>
            </a:graphic>
          </wp:inline>
        </w:drawing>
      </w:r>
    </w:p>
    <w:p w14:paraId="7C149E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这是一个面向生产管理者的产线级设备全局监控中心，通过可视化方式呈现贵州基地产线的实时运行状态，实现对生产设备、辅助系统及异常情况的集中掌控。</w:t>
      </w:r>
    </w:p>
    <w:p w14:paraId="4E47DC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60340" cy="1917065"/>
            <wp:effectExtent l="0" t="0" r="12700" b="3175"/>
            <wp:docPr id="129" name="图片 129" descr="cdd95686-e871-4242-bfed-5523feb33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cdd95686-e871-4242-bfed-5523feb336e6"/>
                    <pic:cNvPicPr>
                      <a:picLocks noChangeAspect="1"/>
                    </pic:cNvPicPr>
                  </pic:nvPicPr>
                  <pic:blipFill>
                    <a:blip r:embed="rId209"/>
                    <a:stretch>
                      <a:fillRect/>
                    </a:stretch>
                  </pic:blipFill>
                  <pic:spPr>
                    <a:xfrm>
                      <a:off x="0" y="0"/>
                      <a:ext cx="5260340" cy="1917065"/>
                    </a:xfrm>
                    <a:prstGeom prst="rect">
                      <a:avLst/>
                    </a:prstGeom>
                  </pic:spPr>
                </pic:pic>
              </a:graphicData>
            </a:graphic>
          </wp:inline>
        </w:drawing>
      </w:r>
    </w:p>
    <w:p w14:paraId="06F16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“库存数据看板” 是数智工厂仓储管理模块中备件与物资库存精细化管控的核心可视化工具，用于对备件库及综合物资库存进行实时监控、分类分析与预警管理，助力企业优化库存结构、降低资金占用。</w:t>
      </w:r>
    </w:p>
    <w:p w14:paraId="22379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70500" cy="1946275"/>
            <wp:effectExtent l="0" t="0" r="2540" b="4445"/>
            <wp:docPr id="130" name="图片 130" descr="dd896121-fd45-45c7-8ac2-058b0740c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dd896121-fd45-45c7-8ac2-058b0740c794"/>
                    <pic:cNvPicPr>
                      <a:picLocks noChangeAspect="1"/>
                    </pic:cNvPicPr>
                  </pic:nvPicPr>
                  <pic:blipFill>
                    <a:blip r:embed="rId210"/>
                    <a:stretch>
                      <a:fillRect/>
                    </a:stretch>
                  </pic:blipFill>
                  <pic:spPr>
                    <a:xfrm>
                      <a:off x="0" y="0"/>
                      <a:ext cx="5270500" cy="1946275"/>
                    </a:xfrm>
                    <a:prstGeom prst="rect">
                      <a:avLst/>
                    </a:prstGeom>
                  </pic:spPr>
                </pic:pic>
              </a:graphicData>
            </a:graphic>
          </wp:inline>
        </w:drawing>
      </w:r>
    </w:p>
    <w:p w14:paraId="1D6D00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color w:val="auto"/>
          <w:lang w:val="en-US" w:eastAsia="zh-CN"/>
        </w:rPr>
      </w:pPr>
      <w:r>
        <w:rPr>
          <w:rFonts w:hint="default"/>
          <w:color w:val="auto"/>
          <w:lang w:val="en-US" w:eastAsia="zh-CN"/>
        </w:rPr>
        <w:t>该 “人才建设” 看板是数智工厂人力资源管理模块中人才结构与梯队建设的核心可视化工具，用于对企业人员规模、结构分布及人才梯队进行多维度分析，助力企业优化人才配置、支撑长期发展</w:t>
      </w:r>
      <w:r>
        <w:rPr>
          <w:rFonts w:hint="eastAsia"/>
          <w:color w:val="auto"/>
          <w:lang w:val="en-US" w:eastAsia="zh-CN"/>
        </w:rPr>
        <w:t>。</w:t>
      </w:r>
    </w:p>
    <w:p w14:paraId="4CA65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73675" cy="1958975"/>
            <wp:effectExtent l="0" t="0" r="14605" b="6985"/>
            <wp:docPr id="131" name="图片 131" descr="f510e262-c2ed-4256-877e-0024bbe19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f510e262-c2ed-4256-877e-0024bbe19da7"/>
                    <pic:cNvPicPr>
                      <a:picLocks noChangeAspect="1"/>
                    </pic:cNvPicPr>
                  </pic:nvPicPr>
                  <pic:blipFill>
                    <a:blip r:embed="rId211"/>
                    <a:stretch>
                      <a:fillRect/>
                    </a:stretch>
                  </pic:blipFill>
                  <pic:spPr>
                    <a:xfrm>
                      <a:off x="0" y="0"/>
                      <a:ext cx="5273675" cy="1958975"/>
                    </a:xfrm>
                    <a:prstGeom prst="rect">
                      <a:avLst/>
                    </a:prstGeom>
                  </pic:spPr>
                </pic:pic>
              </a:graphicData>
            </a:graphic>
          </wp:inline>
        </w:drawing>
      </w:r>
    </w:p>
    <w:p w14:paraId="6D6415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“合理化建议” 看板是数智工厂运营管理模块中员工建议与持续改进的核心可视化工具，用于对员工提出的合理化建议进行全流程跟踪、效果评估与趋势分析，助力企业激发员工创新活力、驱动管理与生产的持续优化。</w:t>
      </w:r>
    </w:p>
    <w:p w14:paraId="0B08EC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47005" cy="1887855"/>
            <wp:effectExtent l="0" t="0" r="10795" b="1905"/>
            <wp:docPr id="132" name="图片 132" descr="398655c1-300a-407d-892a-cba7b6712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398655c1-300a-407d-892a-cba7b6712ba4"/>
                    <pic:cNvPicPr>
                      <a:picLocks noChangeAspect="1"/>
                    </pic:cNvPicPr>
                  </pic:nvPicPr>
                  <pic:blipFill>
                    <a:blip r:embed="rId212"/>
                    <a:stretch>
                      <a:fillRect/>
                    </a:stretch>
                  </pic:blipFill>
                  <pic:spPr>
                    <a:xfrm>
                      <a:off x="0" y="0"/>
                      <a:ext cx="5247005" cy="1887855"/>
                    </a:xfrm>
                    <a:prstGeom prst="rect">
                      <a:avLst/>
                    </a:prstGeom>
                  </pic:spPr>
                </pic:pic>
              </a:graphicData>
            </a:graphic>
          </wp:inline>
        </w:drawing>
      </w:r>
    </w:p>
    <w:p w14:paraId="37ED07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“人员自主点检发现问题” 看板是数智工厂设备管理模块中员工自主点检与设备故障预防的核心可视化工具，用于对员工自主点检发现的问题、报修及维修情况进行多维度统计与分析，助力企业提升设备可靠性与全员参与度。</w:t>
      </w:r>
    </w:p>
    <w:p w14:paraId="01FEDC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64785" cy="1844040"/>
            <wp:effectExtent l="0" t="0" r="8255" b="0"/>
            <wp:docPr id="135" name="图片 135" descr="6987347b-7842-4de1-a819-501428f7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6987347b-7842-4de1-a819-501428f72426"/>
                    <pic:cNvPicPr>
                      <a:picLocks noChangeAspect="1"/>
                    </pic:cNvPicPr>
                  </pic:nvPicPr>
                  <pic:blipFill>
                    <a:blip r:embed="rId213"/>
                    <a:stretch>
                      <a:fillRect/>
                    </a:stretch>
                  </pic:blipFill>
                  <pic:spPr>
                    <a:xfrm>
                      <a:off x="0" y="0"/>
                      <a:ext cx="5264785" cy="1844040"/>
                    </a:xfrm>
                    <a:prstGeom prst="rect">
                      <a:avLst/>
                    </a:prstGeom>
                  </pic:spPr>
                </pic:pic>
              </a:graphicData>
            </a:graphic>
          </wp:inline>
        </w:drawing>
      </w:r>
    </w:p>
    <w:p w14:paraId="75331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“体系保障” 看板是数智工厂管理体系模块中内部审核与合规性监控的核心可视化工具，用于对企业内部审核的问题发现与整改情况进行多维度统计与分析，助力企业持续优化管理体系、提升合规性。</w:t>
      </w:r>
    </w:p>
    <w:p w14:paraId="7DF22F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64150" cy="2106295"/>
            <wp:effectExtent l="0" t="0" r="8890" b="12065"/>
            <wp:docPr id="136" name="图片 136" descr="328676e8-cf2b-4e83-bcf5-138fbd598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328676e8-cf2b-4e83-bcf5-138fbd598cb6"/>
                    <pic:cNvPicPr>
                      <a:picLocks noChangeAspect="1"/>
                    </pic:cNvPicPr>
                  </pic:nvPicPr>
                  <pic:blipFill>
                    <a:blip r:embed="rId214"/>
                    <a:stretch>
                      <a:fillRect/>
                    </a:stretch>
                  </pic:blipFill>
                  <pic:spPr>
                    <a:xfrm>
                      <a:off x="0" y="0"/>
                      <a:ext cx="5264150" cy="2106295"/>
                    </a:xfrm>
                    <a:prstGeom prst="rect">
                      <a:avLst/>
                    </a:prstGeom>
                  </pic:spPr>
                </pic:pic>
              </a:graphicData>
            </a:graphic>
          </wp:inline>
        </w:drawing>
      </w:r>
    </w:p>
    <w:p w14:paraId="3D5576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color w:val="auto"/>
          <w:lang w:val="en-US" w:eastAsia="zh-CN"/>
        </w:rPr>
      </w:pPr>
      <w:r>
        <w:rPr>
          <w:rFonts w:hint="default"/>
          <w:color w:val="auto"/>
          <w:lang w:val="en-US" w:eastAsia="zh-CN"/>
        </w:rPr>
        <w:t>该 “半成品检测概况” 看板是数智工厂质量管理模块中半成品质量管控的核心可视化工具，用于对半成品的检测全流程进行实时监控、异常分析与数据追溯，保障产品质量的稳定性与一致性。</w:t>
      </w:r>
    </w:p>
    <w:p w14:paraId="783CDF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default"/>
          <w:color w:val="auto"/>
          <w:lang w:val="en-US" w:eastAsia="zh-CN"/>
        </w:rPr>
      </w:pPr>
      <w:r>
        <w:rPr>
          <w:rFonts w:hint="default"/>
          <w:color w:val="auto"/>
          <w:lang w:val="en-US" w:eastAsia="zh-CN"/>
        </w:rPr>
        <w:drawing>
          <wp:inline distT="0" distB="0" distL="114300" distR="114300">
            <wp:extent cx="5246370" cy="1832610"/>
            <wp:effectExtent l="0" t="0" r="11430" b="11430"/>
            <wp:docPr id="137" name="图片 137" descr="cced86ae-b78c-48be-83ad-3649abdf3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cced86ae-b78c-48be-83ad-3649abdf35e8"/>
                    <pic:cNvPicPr>
                      <a:picLocks noChangeAspect="1"/>
                    </pic:cNvPicPr>
                  </pic:nvPicPr>
                  <pic:blipFill>
                    <a:blip r:embed="rId215"/>
                    <a:stretch>
                      <a:fillRect/>
                    </a:stretch>
                  </pic:blipFill>
                  <pic:spPr>
                    <a:xfrm>
                      <a:off x="0" y="0"/>
                      <a:ext cx="5246370" cy="1832610"/>
                    </a:xfrm>
                    <a:prstGeom prst="rect">
                      <a:avLst/>
                    </a:prstGeom>
                  </pic:spPr>
                </pic:pic>
              </a:graphicData>
            </a:graphic>
          </wp:inline>
        </w:drawing>
      </w:r>
    </w:p>
    <w:p w14:paraId="3AC969AD">
      <w:pPr>
        <w:spacing w:line="240" w:lineRule="auto"/>
        <w:ind w:left="0" w:leftChars="0" w:firstLine="0" w:firstLineChars="0"/>
        <w:rPr>
          <w:rFonts w:hint="default"/>
          <w:color w:val="auto"/>
          <w:lang w:val="en-US" w:eastAsia="zh-CN"/>
        </w:rPr>
      </w:pPr>
      <w:r>
        <w:rPr>
          <w:rFonts w:hint="eastAsia"/>
          <w:color w:val="auto"/>
          <w:lang w:val="en-US" w:eastAsia="zh-CN"/>
        </w:rPr>
        <w:t xml:space="preserve">    </w:t>
      </w:r>
    </w:p>
    <w:bookmarkEnd w:id="3"/>
    <w:bookmarkEnd w:id="4"/>
    <w:p w14:paraId="5B562B88">
      <w:pPr>
        <w:pStyle w:val="34"/>
        <w:numPr>
          <w:ilvl w:val="1"/>
          <w:numId w:val="6"/>
        </w:numPr>
        <w:wordWrap/>
        <w:overflowPunct/>
        <w:topLinePunct w:val="0"/>
        <w:bidi w:val="0"/>
        <w:snapToGrid w:val="0"/>
        <w:spacing w:before="0" w:beforeLines="0" w:beforeAutospacing="0" w:after="0" w:afterLines="0" w:afterAutospacing="0" w:line="360" w:lineRule="auto"/>
        <w:rPr>
          <w:rFonts w:hint="eastAsia" w:ascii="仿宋_GB2312" w:hAnsi="仿宋_GB2312" w:eastAsia="仿宋_GB2312" w:cs="仿宋_GB2312"/>
          <w:color w:val="auto"/>
          <w:lang w:val="en-US" w:eastAsia="zh-CN"/>
        </w:rPr>
      </w:pPr>
      <w:bookmarkStart w:id="31" w:name="_Toc11119"/>
      <w:bookmarkStart w:id="32" w:name="_Toc195102192"/>
      <w:bookmarkStart w:id="33" w:name="_Toc10634"/>
      <w:bookmarkStart w:id="34" w:name="_Toc13597"/>
      <w:r>
        <w:rPr>
          <w:rFonts w:hint="eastAsia" w:ascii="仿宋_GB2312" w:hAnsi="仿宋_GB2312" w:eastAsia="仿宋_GB2312" w:cs="仿宋_GB2312"/>
          <w:color w:val="auto"/>
          <w:lang w:val="en-US" w:eastAsia="zh-CN"/>
        </w:rPr>
        <w:t>安全防护</w:t>
      </w:r>
      <w:bookmarkEnd w:id="31"/>
      <w:bookmarkEnd w:id="32"/>
      <w:bookmarkEnd w:id="33"/>
      <w:bookmarkEnd w:id="34"/>
    </w:p>
    <w:p w14:paraId="2CBC0683">
      <w:pPr>
        <w:pStyle w:val="36"/>
        <w:bidi w:val="0"/>
        <w:rPr>
          <w:rFonts w:hint="eastAsia" w:ascii="Times New Roman" w:hAnsi="Times New Roman" w:cs="Times New Roman"/>
          <w:color w:val="auto"/>
          <w:lang w:val="en-US" w:eastAsia="zh-CN"/>
        </w:rPr>
      </w:pPr>
      <w:bookmarkStart w:id="35" w:name="_Toc195102193"/>
      <w:bookmarkStart w:id="36" w:name="_Toc21573"/>
      <w:r>
        <w:rPr>
          <w:rFonts w:hint="eastAsia" w:ascii="Times New Roman" w:hAnsi="Times New Roman" w:cs="Times New Roman"/>
          <w:color w:val="auto"/>
          <w:lang w:val="en-US" w:eastAsia="zh-CN"/>
        </w:rPr>
        <w:t>网络安全</w:t>
      </w:r>
      <w:bookmarkEnd w:id="35"/>
      <w:bookmarkEnd w:id="36"/>
    </w:p>
    <w:p w14:paraId="720110C3">
      <w:pPr>
        <w:bidi w:val="0"/>
        <w:rPr>
          <w:rFonts w:hint="eastAsia"/>
          <w:color w:val="auto"/>
        </w:rPr>
      </w:pPr>
      <w:r>
        <w:rPr>
          <w:rFonts w:hint="eastAsia"/>
          <w:color w:val="auto"/>
        </w:rPr>
        <w:t>采用防火墙等设备，将数智工厂内部网络划分为不同安全区域，如生产网络区、办公网络区等。严格限制不同区域之间的网络访问，仅允许必要的业务流量通过，防止外部非法网络访问渗透至生产核心区域，同时避免内部不同业务网络之间的安全风险交叉传播。例如，生产网络区仅对经过授权的设备与系统开放特定端口和服务，禁止办公网络未经授权直接访问生产设备与控制软件。</w:t>
      </w:r>
    </w:p>
    <w:p w14:paraId="534F67A6">
      <w:pPr>
        <w:pStyle w:val="36"/>
        <w:bidi w:val="0"/>
        <w:rPr>
          <w:rFonts w:hint="eastAsia" w:ascii="Times New Roman" w:hAnsi="Times New Roman" w:cs="Times New Roman"/>
          <w:color w:val="auto"/>
          <w:lang w:val="en-US" w:eastAsia="zh-CN"/>
        </w:rPr>
      </w:pPr>
      <w:bookmarkStart w:id="37" w:name="_Toc21443"/>
      <w:bookmarkStart w:id="38" w:name="_Toc195102194"/>
      <w:r>
        <w:rPr>
          <w:rFonts w:hint="eastAsia" w:ascii="Times New Roman" w:hAnsi="Times New Roman" w:cs="Times New Roman"/>
          <w:color w:val="auto"/>
          <w:lang w:val="en-US" w:eastAsia="zh-CN"/>
        </w:rPr>
        <w:t>数据安全</w:t>
      </w:r>
      <w:bookmarkEnd w:id="37"/>
      <w:bookmarkEnd w:id="38"/>
    </w:p>
    <w:p w14:paraId="2A72698B">
      <w:pPr>
        <w:bidi w:val="0"/>
        <w:rPr>
          <w:rFonts w:hint="eastAsia"/>
          <w:color w:val="auto"/>
        </w:rPr>
      </w:pPr>
      <w:r>
        <w:rPr>
          <w:rFonts w:hint="eastAsia"/>
          <w:color w:val="auto"/>
        </w:rPr>
        <w:t>数据加密：在数据存储与传输环节，采用先进的加密算法对敏感数据进行加密处理。对于存储在数据库中的重要数据，如生产工艺参数、客户信息、财务数据等，使用数据库自带的加密功能或第三方加密软件进行加密存储，确保数据在存储介质上的安全性。在数据传输过程中，无论是设备之间的数据交互，还是客户端与服务器之间的数据通信，均采用SSL/TLS等加密协议，对数据进行加密传输，防止数据在传输过程中被窃取或篡改。</w:t>
      </w:r>
    </w:p>
    <w:p w14:paraId="1778EDAC">
      <w:pPr>
        <w:bidi w:val="0"/>
        <w:rPr>
          <w:rFonts w:hint="eastAsia"/>
          <w:color w:val="auto"/>
        </w:rPr>
      </w:pPr>
      <w:r>
        <w:rPr>
          <w:rFonts w:hint="eastAsia"/>
          <w:color w:val="auto"/>
        </w:rPr>
        <w:t>数据备份与恢复：制定完善的数据备份策略，定期对数智工厂系统中的关键数据进行全量备份和增量备份。备份数据存储在异地数据中心或专用存储设备中，以防止因本地自然灾害、设备故障等原因导致数据丢失。同时，建立数据恢复演练机制，定期进行数据恢复测试，确保在数据丢失或损坏时，能够快速、准确地恢复数据，保障数智工厂系统的连续运行。</w:t>
      </w:r>
    </w:p>
    <w:p w14:paraId="08675091">
      <w:pPr>
        <w:bidi w:val="0"/>
        <w:rPr>
          <w:rFonts w:hint="eastAsia"/>
          <w:color w:val="auto"/>
        </w:rPr>
      </w:pPr>
      <w:r>
        <w:rPr>
          <w:rFonts w:hint="eastAsia"/>
          <w:color w:val="auto"/>
        </w:rPr>
        <w:t>数据访问控制：依据用户角色、部门及业务需求，为不同用户分配细粒度的数据访问权限。通过身份认证系统与权限管理模块的协同工作，确保只有经过授权的用户才能访问特定的数据资源。例如，生产线上的工人仅能访问与生产操作相关的数据，而财务人员则有权限访问财务报表等敏感数据。同时，对数据访问行为进行详细记录与审计，以便在出现安全问题时进行追溯与分析。</w:t>
      </w:r>
    </w:p>
    <w:p w14:paraId="17F2460E">
      <w:pPr>
        <w:pStyle w:val="36"/>
        <w:bidi w:val="0"/>
        <w:rPr>
          <w:rFonts w:hint="eastAsia" w:ascii="Times New Roman" w:hAnsi="Times New Roman" w:cs="Times New Roman"/>
          <w:color w:val="auto"/>
          <w:lang w:val="en-US" w:eastAsia="zh-CN"/>
        </w:rPr>
      </w:pPr>
      <w:bookmarkStart w:id="39" w:name="_Toc195102195"/>
      <w:bookmarkStart w:id="40" w:name="_Toc30485"/>
      <w:r>
        <w:rPr>
          <w:rFonts w:hint="eastAsia" w:ascii="Times New Roman" w:hAnsi="Times New Roman" w:cs="Times New Roman"/>
          <w:color w:val="auto"/>
          <w:lang w:val="en-US" w:eastAsia="zh-CN"/>
        </w:rPr>
        <w:t>应用安全</w:t>
      </w:r>
      <w:bookmarkEnd w:id="39"/>
      <w:bookmarkEnd w:id="40"/>
    </w:p>
    <w:p w14:paraId="3DAF47C4">
      <w:pPr>
        <w:bidi w:val="0"/>
        <w:rPr>
          <w:rFonts w:hint="eastAsia"/>
          <w:color w:val="auto"/>
        </w:rPr>
      </w:pPr>
      <w:r>
        <w:rPr>
          <w:rFonts w:hint="eastAsia"/>
          <w:color w:val="auto"/>
        </w:rPr>
        <w:t>身份认证与授权：建立严格的身份认证体系，采用多因素身份认证方式，如用户名/密码 + 动态验证码、指纹识别、面部识别等，提高用户身份认证的准确性与安全性。在用户登录数智工厂系统时，通过多种认证因素的验证，确保用户身份真实可靠。同时，结合权限管理系统，根据用户的角色与职责，为其分配相应的系统操作权限，如功能模块访问权限、数据操作权限等，防止越权操作带来的安全风险。</w:t>
      </w:r>
    </w:p>
    <w:p w14:paraId="4BCABDB7">
      <w:pPr>
        <w:bidi w:val="0"/>
        <w:rPr>
          <w:rFonts w:hint="eastAsia"/>
          <w:color w:val="auto"/>
        </w:rPr>
      </w:pPr>
      <w:r>
        <w:rPr>
          <w:rFonts w:hint="eastAsia"/>
          <w:color w:val="auto"/>
        </w:rPr>
        <w:t>漏洞管理与修复：定期对系统中的各类应用程序进行漏洞扫描与检测，包括操作系统、数据库管理系统、业务应用系统等。及时发现并修复系统中存在的安全漏洞，如SQL注入漏洞、跨站脚本攻击（XSS）漏洞等。同时，关注软件供应商发布的安全补丁信息，及时更新系统软件，确保应用系统的安全性与稳定性。</w:t>
      </w:r>
    </w:p>
    <w:p w14:paraId="6D6AD6BA">
      <w:pPr>
        <w:bidi w:val="0"/>
        <w:rPr>
          <w:rFonts w:hint="eastAsia"/>
          <w:color w:val="auto"/>
        </w:rPr>
      </w:pPr>
      <w:r>
        <w:rPr>
          <w:rFonts w:hint="eastAsia"/>
          <w:color w:val="auto"/>
        </w:rPr>
        <w:t>安全审计与日志管理：在应用系统中集成安全审计功能，对用户的所有操作行为进行详细记录，包括登录时间、操作内容、数据修改记录等。通过对审计日志的分析，能够及时发现潜在的安全问题，如异常的登录行为、违规的数据操作等。同时，对审计日志进行定期备份与存储，以便在需要时进行安全事件追溯与调查。</w:t>
      </w:r>
    </w:p>
    <w:p w14:paraId="4BDFFB6D">
      <w:pPr>
        <w:pStyle w:val="36"/>
        <w:bidi w:val="0"/>
        <w:rPr>
          <w:rFonts w:hint="eastAsia" w:ascii="Times New Roman" w:hAnsi="Times New Roman" w:cs="Times New Roman"/>
          <w:color w:val="auto"/>
          <w:lang w:val="en-US" w:eastAsia="zh-CN"/>
        </w:rPr>
      </w:pPr>
      <w:bookmarkStart w:id="41" w:name="_Toc195102196"/>
      <w:bookmarkStart w:id="42" w:name="_Toc15785"/>
      <w:r>
        <w:rPr>
          <w:rFonts w:hint="eastAsia" w:ascii="Times New Roman" w:hAnsi="Times New Roman" w:cs="Times New Roman"/>
          <w:color w:val="auto"/>
          <w:lang w:val="en-US" w:eastAsia="zh-CN"/>
        </w:rPr>
        <w:t>物理安全</w:t>
      </w:r>
      <w:bookmarkEnd w:id="41"/>
      <w:bookmarkEnd w:id="42"/>
    </w:p>
    <w:p w14:paraId="7A7E4FC5">
      <w:pPr>
        <w:bidi w:val="0"/>
        <w:rPr>
          <w:rFonts w:hint="eastAsia"/>
          <w:color w:val="auto"/>
        </w:rPr>
      </w:pPr>
      <w:r>
        <w:rPr>
          <w:rFonts w:hint="eastAsia"/>
          <w:color w:val="auto"/>
        </w:rPr>
        <w:t>设备安全管理：对生产设备、服务器、网络设备等关键硬件设备进行安全管理，采取设备锁定、防篡改措施。例如，对服务器机箱进行物理锁定，防止未经授权的人员打开机箱进行硬件插拔或数据窃取。在设备的BIOS设置中，启用防篡改功能，确保设备的启动程序与系统配置不被恶意修改。同时，定期对设备进行巡检与维护，及时发现并处理设备硬件故障，保障设备的正常运行。</w:t>
      </w:r>
    </w:p>
    <w:p w14:paraId="53330D95">
      <w:pPr>
        <w:pStyle w:val="36"/>
        <w:bidi w:val="0"/>
        <w:rPr>
          <w:rFonts w:hint="eastAsia" w:ascii="Times New Roman" w:hAnsi="Times New Roman" w:cs="Times New Roman"/>
          <w:color w:val="auto"/>
          <w:lang w:val="en-US" w:eastAsia="zh-CN"/>
        </w:rPr>
      </w:pPr>
      <w:bookmarkStart w:id="43" w:name="_Toc195102197"/>
      <w:bookmarkStart w:id="44" w:name="_Toc22145"/>
      <w:r>
        <w:rPr>
          <w:rFonts w:hint="eastAsia" w:ascii="Times New Roman" w:hAnsi="Times New Roman" w:cs="Times New Roman"/>
          <w:color w:val="auto"/>
          <w:lang w:val="en-US" w:eastAsia="zh-CN"/>
        </w:rPr>
        <w:t>人员安全</w:t>
      </w:r>
      <w:bookmarkEnd w:id="43"/>
      <w:bookmarkEnd w:id="44"/>
    </w:p>
    <w:p w14:paraId="32D7C658">
      <w:pPr>
        <w:bidi w:val="0"/>
        <w:rPr>
          <w:rFonts w:hint="eastAsia"/>
          <w:color w:val="auto"/>
        </w:rPr>
      </w:pPr>
      <w:r>
        <w:rPr>
          <w:rFonts w:hint="eastAsia"/>
          <w:color w:val="auto"/>
        </w:rPr>
        <w:t>安全培训与教育：组织数智工厂员工进行安全培训与教育活动，提高员工的安全意识与安全技能。培训内容包括网络安全知识、数据保护意识、安全操作规程等，使员工了解常见的安全威胁与防范措施，掌握正确的系统操作方法，避免因人为疏忽导致安全事故发生。</w:t>
      </w:r>
    </w:p>
    <w:p w14:paraId="13461EA3">
      <w:pPr>
        <w:bidi w:val="0"/>
        <w:rPr>
          <w:rFonts w:hint="eastAsia"/>
          <w:color w:val="auto"/>
        </w:rPr>
      </w:pPr>
      <w:r>
        <w:rPr>
          <w:rFonts w:hint="eastAsia"/>
          <w:color w:val="auto"/>
        </w:rPr>
        <w:t>人员权限管理：建立完善的人员权限管理制度，对员工的岗位权限进行严格管理与定期审查。根据员工的工作职责与业务需求，合理分配系统操作权限，并在员工岗位变动或离职时，及时调整或收回其相应的权限，防止因人员权限管理不当导致的安全风险。</w:t>
      </w:r>
    </w:p>
    <w:p w14:paraId="324445DF">
      <w:pPr>
        <w:bidi w:val="0"/>
        <w:rPr>
          <w:rFonts w:hint="eastAsia"/>
          <w:color w:val="auto"/>
        </w:rPr>
      </w:pPr>
      <w:r>
        <w:rPr>
          <w:rFonts w:hint="eastAsia"/>
          <w:color w:val="auto"/>
        </w:rPr>
        <w:t>通过以上全面、系统的安全设计，从网络、数据、应用、物理及人员等多个层面构建数智工厂系统的安全防护体系，有效保障数智工厂系统的稳定运行、数据安全及生产连续性，为企业的数字化转型与智能化发展提供坚实的安全保障。</w:t>
      </w:r>
    </w:p>
    <w:p w14:paraId="6EC9579F">
      <w:pPr>
        <w:pStyle w:val="34"/>
        <w:numPr>
          <w:ilvl w:val="1"/>
          <w:numId w:val="6"/>
        </w:numPr>
        <w:wordWrap/>
        <w:overflowPunct/>
        <w:topLinePunct w:val="0"/>
        <w:bidi w:val="0"/>
        <w:snapToGrid w:val="0"/>
        <w:spacing w:before="0" w:beforeLines="0" w:beforeAutospacing="0" w:after="0" w:afterLines="0" w:afterAutospacing="0" w:line="360" w:lineRule="auto"/>
        <w:rPr>
          <w:rFonts w:hint="eastAsia" w:ascii="仿宋_GB2312" w:hAnsi="仿宋_GB2312" w:eastAsia="仿宋_GB2312" w:cs="仿宋_GB2312"/>
          <w:color w:val="auto"/>
          <w:lang w:val="en-US" w:eastAsia="zh-CN"/>
        </w:rPr>
      </w:pPr>
      <w:bookmarkStart w:id="45" w:name="_Toc29615"/>
      <w:bookmarkStart w:id="46" w:name="_Toc193123332"/>
      <w:bookmarkStart w:id="47" w:name="_Toc20894"/>
      <w:bookmarkStart w:id="48" w:name="_Toc7488"/>
      <w:bookmarkStart w:id="49" w:name="_Toc7782"/>
      <w:bookmarkStart w:id="50" w:name="_Toc32044"/>
      <w:bookmarkStart w:id="51" w:name="_Toc22885"/>
      <w:bookmarkStart w:id="52" w:name="_Toc8869"/>
      <w:bookmarkStart w:id="53" w:name="_Toc24865"/>
      <w:bookmarkStart w:id="54" w:name="_Toc12489"/>
      <w:bookmarkStart w:id="55" w:name="_Toc30534"/>
      <w:bookmarkStart w:id="56" w:name="_Toc2992"/>
      <w:bookmarkStart w:id="57" w:name="_Toc195102198"/>
      <w:r>
        <w:rPr>
          <w:rFonts w:hint="eastAsia" w:ascii="仿宋_GB2312" w:hAnsi="仿宋_GB2312" w:eastAsia="仿宋_GB2312" w:cs="仿宋_GB2312"/>
          <w:color w:val="auto"/>
          <w:lang w:val="en-US" w:eastAsia="zh-CN"/>
        </w:rPr>
        <w:t>培训与支持</w:t>
      </w:r>
      <w:bookmarkEnd w:id="45"/>
      <w:bookmarkEnd w:id="46"/>
      <w:bookmarkEnd w:id="47"/>
    </w:p>
    <w:bookmarkEnd w:id="48"/>
    <w:bookmarkEnd w:id="49"/>
    <w:bookmarkEnd w:id="50"/>
    <w:bookmarkEnd w:id="51"/>
    <w:bookmarkEnd w:id="52"/>
    <w:bookmarkEnd w:id="53"/>
    <w:bookmarkEnd w:id="54"/>
    <w:bookmarkEnd w:id="55"/>
    <w:p w14:paraId="0BF20E18">
      <w:pPr>
        <w:pStyle w:val="36"/>
        <w:bidi w:val="0"/>
        <w:rPr>
          <w:rFonts w:hint="eastAsia"/>
          <w:lang w:val="en-US" w:eastAsia="zh-CN"/>
        </w:rPr>
      </w:pPr>
      <w:bookmarkStart w:id="58" w:name="_Toc4861"/>
      <w:bookmarkStart w:id="59" w:name="_Toc13871"/>
      <w:bookmarkStart w:id="60" w:name="_Toc19293"/>
      <w:bookmarkStart w:id="61" w:name="_Toc27464"/>
      <w:bookmarkStart w:id="62" w:name="_Toc26886"/>
      <w:bookmarkStart w:id="63" w:name="_Toc6547"/>
      <w:bookmarkStart w:id="64" w:name="_Toc15682"/>
      <w:r>
        <w:rPr>
          <w:rFonts w:hint="eastAsia"/>
          <w:lang w:val="en-US" w:eastAsia="zh-CN"/>
        </w:rPr>
        <w:t>培训内容与目标</w:t>
      </w:r>
      <w:bookmarkEnd w:id="58"/>
    </w:p>
    <w:bookmarkEnd w:id="59"/>
    <w:bookmarkEnd w:id="60"/>
    <w:bookmarkEnd w:id="61"/>
    <w:bookmarkEnd w:id="62"/>
    <w:bookmarkEnd w:id="63"/>
    <w:bookmarkEnd w:id="64"/>
    <w:p w14:paraId="63729B73">
      <w:pPr>
        <w:pStyle w:val="35"/>
        <w:bidi w:val="0"/>
        <w:rPr>
          <w:rFonts w:hint="eastAsia"/>
          <w:lang w:val="en-US" w:eastAsia="zh-CN"/>
        </w:rPr>
      </w:pPr>
      <w:bookmarkStart w:id="65" w:name="_Toc21748"/>
      <w:bookmarkStart w:id="66" w:name="_Toc13417"/>
      <w:bookmarkStart w:id="67" w:name="_Toc3514"/>
      <w:bookmarkStart w:id="68" w:name="_Toc8423"/>
      <w:bookmarkStart w:id="69" w:name="_Toc31972"/>
      <w:bookmarkStart w:id="70" w:name="_Toc8287"/>
      <w:bookmarkStart w:id="71" w:name="_Toc12580"/>
      <w:r>
        <w:rPr>
          <w:rFonts w:hint="eastAsia"/>
          <w:lang w:val="en-US" w:eastAsia="zh-CN"/>
        </w:rPr>
        <w:t>使用培训</w:t>
      </w:r>
    </w:p>
    <w:p w14:paraId="13338ECB">
      <w:pPr>
        <w:bidi w:val="0"/>
        <w:rPr>
          <w:rFonts w:hint="eastAsia"/>
        </w:rPr>
      </w:pPr>
      <w:r>
        <w:rPr>
          <w:rFonts w:hint="eastAsia"/>
        </w:rPr>
        <w:t>对象：系统使用人员及系统用户。</w:t>
      </w:r>
    </w:p>
    <w:p w14:paraId="0EB966EC">
      <w:pPr>
        <w:bidi w:val="0"/>
        <w:rPr>
          <w:rFonts w:hint="eastAsia"/>
        </w:rPr>
      </w:pPr>
      <w:r>
        <w:rPr>
          <w:rFonts w:hint="eastAsia"/>
        </w:rPr>
        <w:t>目标：为系统使用人员针对系统使用进行使用培训，确保每一位系统使用人员能够独立、熟练地完成操作。</w:t>
      </w:r>
    </w:p>
    <w:bookmarkEnd w:id="65"/>
    <w:bookmarkEnd w:id="66"/>
    <w:bookmarkEnd w:id="67"/>
    <w:bookmarkEnd w:id="68"/>
    <w:bookmarkEnd w:id="69"/>
    <w:bookmarkEnd w:id="70"/>
    <w:bookmarkEnd w:id="71"/>
    <w:p w14:paraId="62D374FD">
      <w:pPr>
        <w:pStyle w:val="35"/>
        <w:bidi w:val="0"/>
        <w:rPr>
          <w:rFonts w:hint="eastAsia"/>
          <w:lang w:val="en-US" w:eastAsia="zh-CN"/>
        </w:rPr>
      </w:pPr>
      <w:bookmarkStart w:id="72" w:name="_Toc18629"/>
      <w:bookmarkStart w:id="73" w:name="_Toc1846"/>
      <w:bookmarkStart w:id="74" w:name="_Toc18115"/>
      <w:bookmarkStart w:id="75" w:name="_Toc20572"/>
      <w:bookmarkStart w:id="76" w:name="_Toc13642"/>
      <w:bookmarkStart w:id="77" w:name="_Toc23687"/>
      <w:bookmarkStart w:id="78" w:name="_Toc9152"/>
      <w:bookmarkStart w:id="79" w:name="_Toc4731"/>
      <w:r>
        <w:rPr>
          <w:rFonts w:hint="eastAsia"/>
          <w:lang w:val="en-US" w:eastAsia="zh-CN"/>
        </w:rPr>
        <w:t>系统培训</w:t>
      </w:r>
    </w:p>
    <w:p w14:paraId="5C02F581">
      <w:pPr>
        <w:bidi w:val="0"/>
        <w:rPr>
          <w:rFonts w:hint="eastAsia"/>
        </w:rPr>
      </w:pPr>
      <w:r>
        <w:rPr>
          <w:rFonts w:hint="eastAsia"/>
        </w:rPr>
        <w:t>对象：系统使用人员</w:t>
      </w:r>
    </w:p>
    <w:p w14:paraId="6BD57392">
      <w:pPr>
        <w:bidi w:val="0"/>
        <w:rPr>
          <w:rFonts w:hint="eastAsia"/>
        </w:rPr>
      </w:pPr>
      <w:r>
        <w:rPr>
          <w:rFonts w:hint="eastAsia"/>
        </w:rPr>
        <w:t>目标：为系统使用人员及运维人员针对本项目中的软硬件系统、网络系统、系统软件、系统应用模块的日常维护、监控管理、操作进行培训，并提供详细的日常维护方法和工作流程及系统故障诊断和处理的预案，确保系统用户能够独立处理软件系统故障和进行简单的功能调整。</w:t>
      </w:r>
    </w:p>
    <w:bookmarkEnd w:id="72"/>
    <w:bookmarkEnd w:id="73"/>
    <w:bookmarkEnd w:id="74"/>
    <w:bookmarkEnd w:id="75"/>
    <w:bookmarkEnd w:id="76"/>
    <w:bookmarkEnd w:id="77"/>
    <w:bookmarkEnd w:id="78"/>
    <w:bookmarkEnd w:id="79"/>
    <w:p w14:paraId="1BFF7AFF">
      <w:pPr>
        <w:pStyle w:val="35"/>
        <w:bidi w:val="0"/>
        <w:rPr>
          <w:rFonts w:hint="eastAsia"/>
          <w:lang w:val="en-US" w:eastAsia="zh-CN"/>
        </w:rPr>
      </w:pPr>
      <w:bookmarkStart w:id="80" w:name="_Toc4280"/>
      <w:bookmarkStart w:id="81" w:name="_Toc17199"/>
      <w:bookmarkStart w:id="82" w:name="_Toc18613"/>
      <w:bookmarkStart w:id="83" w:name="_Toc5937"/>
      <w:bookmarkStart w:id="84" w:name="_Toc6052"/>
      <w:bookmarkStart w:id="85" w:name="_Toc31605"/>
      <w:bookmarkStart w:id="86" w:name="_Toc23289"/>
      <w:bookmarkStart w:id="87" w:name="_Toc26035"/>
      <w:r>
        <w:rPr>
          <w:rFonts w:hint="eastAsia"/>
          <w:lang w:val="en-US" w:eastAsia="zh-CN"/>
        </w:rPr>
        <w:t>培训人数</w:t>
      </w:r>
    </w:p>
    <w:p w14:paraId="488058C1">
      <w:pPr>
        <w:bidi w:val="0"/>
        <w:rPr>
          <w:rFonts w:hint="eastAsia"/>
        </w:rPr>
      </w:pPr>
      <w:r>
        <w:rPr>
          <w:rFonts w:hint="eastAsia"/>
        </w:rPr>
        <w:t>承诺本项目的培训人数不少于20人。</w:t>
      </w:r>
    </w:p>
    <w:bookmarkEnd w:id="80"/>
    <w:bookmarkEnd w:id="81"/>
    <w:bookmarkEnd w:id="82"/>
    <w:bookmarkEnd w:id="83"/>
    <w:bookmarkEnd w:id="84"/>
    <w:bookmarkEnd w:id="85"/>
    <w:bookmarkEnd w:id="86"/>
    <w:bookmarkEnd w:id="87"/>
    <w:p w14:paraId="75B444F2">
      <w:pPr>
        <w:pStyle w:val="35"/>
        <w:bidi w:val="0"/>
        <w:rPr>
          <w:rFonts w:hint="eastAsia"/>
          <w:lang w:val="en-US" w:eastAsia="zh-CN"/>
        </w:rPr>
      </w:pPr>
      <w:bookmarkStart w:id="88" w:name="_Toc490882365"/>
      <w:bookmarkStart w:id="89" w:name="_Toc13877"/>
      <w:bookmarkStart w:id="90" w:name="_Toc30144"/>
      <w:bookmarkStart w:id="91" w:name="_Toc9302"/>
      <w:bookmarkStart w:id="92" w:name="_Toc9345"/>
      <w:bookmarkStart w:id="93" w:name="_Toc3714"/>
      <w:bookmarkStart w:id="94" w:name="_Toc27568"/>
      <w:bookmarkStart w:id="95" w:name="_Toc21897"/>
      <w:bookmarkStart w:id="96" w:name="_Toc7947"/>
      <w:r>
        <w:rPr>
          <w:rFonts w:hint="eastAsia"/>
          <w:lang w:val="en-US" w:eastAsia="zh-CN"/>
        </w:rPr>
        <w:t>培训方式</w:t>
      </w:r>
    </w:p>
    <w:p w14:paraId="4B51B6EA">
      <w:pPr>
        <w:bidi w:val="0"/>
        <w:rPr>
          <w:rFonts w:hint="eastAsia"/>
        </w:rPr>
      </w:pPr>
      <w:r>
        <w:rPr>
          <w:rFonts w:hint="eastAsia"/>
        </w:rPr>
        <w:t>本次培训以</w:t>
      </w:r>
      <w:bookmarkEnd w:id="88"/>
      <w:r>
        <w:rPr>
          <w:rFonts w:hint="eastAsia"/>
        </w:rPr>
        <w:t>集中培训和线上为主，培训前将提交一份详细的培训计划。在现场培训和集中培训过程中的培训讲师将对项目相关软件的使用方法、安装设置调试进行针对性指导；同时也将对操作演示和随机资料的使用方法指导，并对系统进行故障诊断处理以及系统操作等方面的培训。</w:t>
      </w:r>
    </w:p>
    <w:p w14:paraId="4AFDAB4F">
      <w:pPr>
        <w:bidi w:val="0"/>
        <w:rPr>
          <w:rFonts w:hint="eastAsia"/>
        </w:rPr>
      </w:pPr>
      <w:r>
        <w:rPr>
          <w:rFonts w:hint="eastAsia"/>
        </w:rPr>
        <w:t>同时，还将根据工程需要，在现场培训和集中培训的基础上，根据甲方客户的需求灵活增加以下的培训方式：</w:t>
      </w:r>
    </w:p>
    <w:p w14:paraId="6BD3B436">
      <w:pPr>
        <w:bidi w:val="0"/>
        <w:rPr>
          <w:rFonts w:hint="eastAsia"/>
        </w:rPr>
      </w:pPr>
      <w:r>
        <w:rPr>
          <w:rFonts w:hint="eastAsia"/>
        </w:rPr>
        <w:t>交流：由用户方相关人员组织，大家就感兴趣的话题自由发表意见；</w:t>
      </w:r>
    </w:p>
    <w:p w14:paraId="5C37B1B2">
      <w:pPr>
        <w:bidi w:val="0"/>
        <w:rPr>
          <w:rFonts w:hint="eastAsia"/>
        </w:rPr>
      </w:pPr>
      <w:r>
        <w:rPr>
          <w:rFonts w:hint="eastAsia"/>
        </w:rPr>
        <w:t>案例讨论：通过对工作中的实际案例进行讨论及分析，明确工作规则，提高工作技能。</w:t>
      </w:r>
    </w:p>
    <w:bookmarkEnd w:id="89"/>
    <w:bookmarkEnd w:id="90"/>
    <w:bookmarkEnd w:id="91"/>
    <w:bookmarkEnd w:id="92"/>
    <w:bookmarkEnd w:id="93"/>
    <w:bookmarkEnd w:id="94"/>
    <w:bookmarkEnd w:id="95"/>
    <w:bookmarkEnd w:id="96"/>
    <w:p w14:paraId="2C189CBC">
      <w:pPr>
        <w:pStyle w:val="36"/>
        <w:bidi w:val="0"/>
        <w:rPr>
          <w:rFonts w:hint="eastAsia"/>
          <w:lang w:val="en-US" w:eastAsia="zh-CN"/>
        </w:rPr>
      </w:pPr>
      <w:bookmarkStart w:id="97" w:name="_Toc578"/>
      <w:r>
        <w:rPr>
          <w:rFonts w:hint="eastAsia"/>
          <w:lang w:val="en-US" w:eastAsia="zh-CN"/>
        </w:rPr>
        <w:t>培训内容使用培训</w:t>
      </w:r>
      <w:bookmarkEnd w:id="97"/>
    </w:p>
    <w:p w14:paraId="5A1CEFD8">
      <w:pPr>
        <w:pStyle w:val="35"/>
        <w:bidi w:val="0"/>
        <w:rPr>
          <w:rFonts w:hint="eastAsia"/>
          <w:lang w:val="en-US" w:eastAsia="zh-CN"/>
        </w:rPr>
      </w:pPr>
      <w:r>
        <w:rPr>
          <w:rFonts w:hint="eastAsia"/>
          <w:lang w:val="en-US" w:eastAsia="zh-CN"/>
        </w:rPr>
        <w:t>基础培训</w:t>
      </w:r>
    </w:p>
    <w:p w14:paraId="5DC0BE24">
      <w:pPr>
        <w:bidi w:val="0"/>
        <w:rPr>
          <w:rFonts w:hint="eastAsia"/>
        </w:rPr>
      </w:pPr>
      <w:r>
        <w:rPr>
          <w:rFonts w:hint="eastAsia"/>
          <w:lang w:val="en-US" w:eastAsia="zh-CN"/>
        </w:rPr>
        <w:t>软件使用培训：</w:t>
      </w:r>
      <w:r>
        <w:rPr>
          <w:rFonts w:hint="eastAsia"/>
        </w:rPr>
        <w:t>对本项目的核心软件做一个详细介绍与培训，确保用户能独立正确使用系统软件，并能根据日常需求通过软件做到各种数据、各种报表的正确统计与管理。</w:t>
      </w:r>
    </w:p>
    <w:p w14:paraId="4B15C361">
      <w:pPr>
        <w:bidi w:val="0"/>
        <w:rPr>
          <w:rFonts w:hint="eastAsia"/>
        </w:rPr>
      </w:pPr>
      <w:bookmarkStart w:id="98" w:name="_Toc3709"/>
      <w:bookmarkStart w:id="99" w:name="_Toc26407"/>
      <w:bookmarkStart w:id="100" w:name="_Toc8444"/>
      <w:bookmarkStart w:id="101" w:name="_Toc28866"/>
      <w:bookmarkStart w:id="102" w:name="_Toc24118"/>
      <w:bookmarkStart w:id="103" w:name="_Toc14322"/>
      <w:bookmarkStart w:id="104" w:name="_Toc28898"/>
      <w:r>
        <w:rPr>
          <w:rFonts w:hint="eastAsia"/>
          <w:lang w:val="en-US" w:eastAsia="zh-CN"/>
        </w:rPr>
        <w:t>业务流程培训：</w:t>
      </w:r>
      <w:r>
        <w:rPr>
          <w:rFonts w:hint="eastAsia"/>
        </w:rPr>
        <w:t>对系统的服务功能及业务处理流程进行详细培训，确保使用者能正确、熟练地掌握各项服务功能的处理流程和发布机制。</w:t>
      </w:r>
    </w:p>
    <w:bookmarkEnd w:id="98"/>
    <w:bookmarkEnd w:id="99"/>
    <w:bookmarkEnd w:id="100"/>
    <w:bookmarkEnd w:id="101"/>
    <w:bookmarkEnd w:id="102"/>
    <w:bookmarkEnd w:id="103"/>
    <w:bookmarkEnd w:id="104"/>
    <w:p w14:paraId="79A68B4D">
      <w:pPr>
        <w:pStyle w:val="35"/>
        <w:bidi w:val="0"/>
        <w:rPr>
          <w:rFonts w:hint="eastAsia"/>
        </w:rPr>
      </w:pPr>
      <w:r>
        <w:rPr>
          <w:rFonts w:hint="eastAsia"/>
        </w:rPr>
        <w:t>专业培训</w:t>
      </w:r>
    </w:p>
    <w:p w14:paraId="1DFF618E">
      <w:pPr>
        <w:bidi w:val="0"/>
        <w:rPr>
          <w:rFonts w:hint="eastAsia"/>
        </w:rPr>
      </w:pPr>
      <w:r>
        <w:rPr>
          <w:rFonts w:hint="eastAsia"/>
          <w:lang w:val="en-US" w:eastAsia="zh-CN"/>
        </w:rPr>
        <w:t>应用业务系统培训：</w:t>
      </w:r>
      <w:r>
        <w:rPr>
          <w:rFonts w:hint="eastAsia"/>
        </w:rPr>
        <w:t>简要介绍各应用业务系统的构成情况及分布，系统运行注意事项，相关设备运行维护知识。</w:t>
      </w:r>
    </w:p>
    <w:p w14:paraId="04548A86">
      <w:pPr>
        <w:bidi w:val="0"/>
        <w:rPr>
          <w:rFonts w:hint="eastAsia"/>
          <w:color w:val="auto"/>
          <w:lang w:val="en-US" w:eastAsia="zh-CN"/>
        </w:rPr>
      </w:pPr>
      <w:bookmarkStart w:id="105" w:name="_Toc1626"/>
      <w:bookmarkStart w:id="106" w:name="_Toc190436787"/>
      <w:bookmarkStart w:id="107" w:name="_Toc29461"/>
      <w:bookmarkStart w:id="108" w:name="_Toc28839"/>
      <w:bookmarkStart w:id="109" w:name="_Toc14567"/>
      <w:bookmarkStart w:id="110" w:name="_Toc3491"/>
      <w:bookmarkStart w:id="111" w:name="_Toc15306"/>
      <w:bookmarkStart w:id="112" w:name="_Toc1519"/>
      <w:bookmarkStart w:id="113" w:name="_Toc9170"/>
      <w:r>
        <w:rPr>
          <w:rFonts w:hint="eastAsia"/>
          <w:lang w:val="en-US" w:eastAsia="zh-CN"/>
        </w:rPr>
        <w:t>软件参数维护培训：</w:t>
      </w:r>
      <w:r>
        <w:rPr>
          <w:rFonts w:hint="eastAsia"/>
        </w:rPr>
        <w:t>对系统的核心软件参数及运行维护管理做一个详细介绍与培训，确保用户能独立正确对系统软件参数、系统运行配置参数、系统运行日志参数等进行管理和使用。</w:t>
      </w:r>
      <w:bookmarkEnd w:id="105"/>
      <w:bookmarkEnd w:id="106"/>
      <w:bookmarkEnd w:id="107"/>
      <w:bookmarkEnd w:id="108"/>
      <w:bookmarkEnd w:id="109"/>
      <w:bookmarkEnd w:id="110"/>
      <w:bookmarkEnd w:id="111"/>
      <w:bookmarkEnd w:id="112"/>
      <w:bookmarkEnd w:id="113"/>
    </w:p>
    <w:bookmarkEnd w:id="5"/>
    <w:bookmarkEnd w:id="56"/>
    <w:bookmarkEnd w:id="57"/>
    <w:p w14:paraId="1E238E6F">
      <w:pPr>
        <w:pStyle w:val="2"/>
        <w:numPr>
          <w:ilvl w:val="0"/>
          <w:numId w:val="21"/>
        </w:numPr>
        <w:bidi w:val="0"/>
        <w:rPr>
          <w:rFonts w:hint="eastAsia"/>
          <w:color w:val="auto"/>
          <w:lang w:val="en-US" w:eastAsia="zh-CN"/>
        </w:rPr>
      </w:pPr>
      <w:bookmarkStart w:id="114" w:name="_Toc28060"/>
      <w:bookmarkStart w:id="115" w:name="_Toc9754"/>
      <w:r>
        <w:rPr>
          <w:rFonts w:hint="eastAsia"/>
          <w:color w:val="auto"/>
          <w:lang w:val="en-US" w:eastAsia="zh-CN"/>
        </w:rPr>
        <w:t>建设期限和工作</w:t>
      </w:r>
      <w:bookmarkEnd w:id="6"/>
      <w:bookmarkEnd w:id="114"/>
      <w:bookmarkEnd w:id="115"/>
    </w:p>
    <w:p w14:paraId="3F69A56D">
      <w:pPr>
        <w:bidi w:val="0"/>
        <w:rPr>
          <w:rFonts w:hint="eastAsia"/>
          <w:color w:val="auto"/>
          <w:lang w:val="en-US" w:eastAsia="zh-CN"/>
        </w:rPr>
      </w:pPr>
      <w:r>
        <w:rPr>
          <w:rFonts w:hint="eastAsia"/>
          <w:color w:val="auto"/>
          <w:lang w:val="en-US" w:eastAsia="zh-CN"/>
        </w:rPr>
        <w:t>项目工期为自项目启动之日起为5个月</w:t>
      </w:r>
    </w:p>
    <w:p w14:paraId="4C7D2400">
      <w:pPr>
        <w:pStyle w:val="3"/>
        <w:numPr>
          <w:ilvl w:val="1"/>
          <w:numId w:val="21"/>
        </w:numPr>
        <w:bidi w:val="0"/>
        <w:rPr>
          <w:rFonts w:hint="eastAsia"/>
          <w:color w:val="auto"/>
          <w:lang w:val="en-US" w:eastAsia="zh-CN"/>
        </w:rPr>
      </w:pPr>
      <w:bookmarkStart w:id="116" w:name="_Toc23722"/>
      <w:bookmarkStart w:id="117" w:name="_Toc195102199"/>
      <w:bookmarkStart w:id="118" w:name="_Toc4992"/>
      <w:bookmarkStart w:id="119" w:name="_Toc7021"/>
      <w:bookmarkStart w:id="120" w:name="_Toc8374"/>
      <w:bookmarkStart w:id="121" w:name="_Toc19146"/>
      <w:bookmarkStart w:id="122" w:name="_Toc24179"/>
      <w:bookmarkStart w:id="123" w:name="_Toc25176"/>
      <w:bookmarkStart w:id="124" w:name="_Toc3341"/>
      <w:r>
        <w:rPr>
          <w:rFonts w:hint="eastAsia"/>
          <w:color w:val="auto"/>
          <w:lang w:val="en-US" w:eastAsia="zh-CN"/>
        </w:rPr>
        <w:t>调研阶段（共0.5周）</w:t>
      </w:r>
      <w:bookmarkEnd w:id="116"/>
      <w:bookmarkEnd w:id="117"/>
      <w:bookmarkEnd w:id="118"/>
      <w:bookmarkEnd w:id="119"/>
    </w:p>
    <w:p w14:paraId="3CA12F4C">
      <w:pPr>
        <w:bidi w:val="0"/>
        <w:rPr>
          <w:rFonts w:hint="eastAsia"/>
          <w:color w:val="auto"/>
        </w:rPr>
      </w:pPr>
      <w:r>
        <w:rPr>
          <w:rFonts w:hint="eastAsia"/>
          <w:color w:val="auto"/>
        </w:rPr>
        <w:t>现场实地考察：调研团队对生产车间、仓库、设备设施等进行实地走访，观察生产流程、物流走向、设备运行情况等，记录现场发现的问题与潜在需求点。</w:t>
      </w:r>
    </w:p>
    <w:p w14:paraId="4B9E6303">
      <w:pPr>
        <w:bidi w:val="0"/>
        <w:rPr>
          <w:rFonts w:hint="eastAsia"/>
          <w:color w:val="auto"/>
        </w:rPr>
      </w:pPr>
      <w:r>
        <w:rPr>
          <w:rFonts w:hint="eastAsia"/>
          <w:color w:val="auto"/>
        </w:rPr>
        <w:t>多部门访谈：与生产、质量、仓储、设备、安全、行政人事、财务等各部门负责人及一线员工进行一对一或小组访谈。了解各部门日常工作流程、业务痛点、对现有系统的不满之处以及对新系统的期望与需求。</w:t>
      </w:r>
    </w:p>
    <w:p w14:paraId="1845F926">
      <w:pPr>
        <w:bidi w:val="0"/>
        <w:rPr>
          <w:rFonts w:hint="eastAsia"/>
          <w:color w:val="auto"/>
        </w:rPr>
      </w:pPr>
      <w:r>
        <w:rPr>
          <w:rFonts w:hint="eastAsia"/>
          <w:color w:val="auto"/>
        </w:rPr>
        <w:t>收集现有资料：收集生产基地的各类文档资料，如生产工艺文件、质量标准、设备台账、业务报表、组织架构图等，为后续需求分析提供数据支持。</w:t>
      </w:r>
    </w:p>
    <w:p w14:paraId="24642066">
      <w:pPr>
        <w:pStyle w:val="3"/>
        <w:numPr>
          <w:ilvl w:val="1"/>
          <w:numId w:val="21"/>
        </w:numPr>
        <w:bidi w:val="0"/>
        <w:rPr>
          <w:rFonts w:hint="eastAsia"/>
          <w:color w:val="auto"/>
          <w:lang w:val="en-US" w:eastAsia="zh-CN"/>
        </w:rPr>
      </w:pPr>
      <w:bookmarkStart w:id="125" w:name="_Toc17483"/>
      <w:bookmarkStart w:id="126" w:name="_Toc2326"/>
      <w:bookmarkStart w:id="127" w:name="_Toc195102200"/>
      <w:bookmarkStart w:id="128" w:name="_Toc15366"/>
      <w:r>
        <w:rPr>
          <w:rFonts w:hint="eastAsia"/>
          <w:color w:val="auto"/>
          <w:lang w:val="en-US" w:eastAsia="zh-CN"/>
        </w:rPr>
        <w:t>需求沟通阶段（共0.5周）</w:t>
      </w:r>
      <w:bookmarkEnd w:id="125"/>
      <w:bookmarkEnd w:id="126"/>
      <w:bookmarkEnd w:id="127"/>
      <w:bookmarkEnd w:id="128"/>
    </w:p>
    <w:p w14:paraId="494E8079">
      <w:pPr>
        <w:bidi w:val="0"/>
        <w:rPr>
          <w:rFonts w:hint="eastAsia"/>
          <w:color w:val="auto"/>
        </w:rPr>
      </w:pPr>
      <w:r>
        <w:rPr>
          <w:rFonts w:hint="eastAsia"/>
          <w:color w:val="auto"/>
        </w:rPr>
        <w:t>需求梳理与整理：调研团队将收集到的信息进行系统梳理，按照不同业务板块和功能模块，整理出详细的需求清单。对模糊不清或存在争议的需求点，进行标记。</w:t>
      </w:r>
    </w:p>
    <w:p w14:paraId="39676B2F">
      <w:pPr>
        <w:bidi w:val="0"/>
        <w:rPr>
          <w:rFonts w:hint="eastAsia"/>
          <w:color w:val="auto"/>
        </w:rPr>
      </w:pPr>
      <w:r>
        <w:rPr>
          <w:rFonts w:hint="eastAsia"/>
          <w:color w:val="auto"/>
        </w:rPr>
        <w:t>组织需求沟通会议：召集各生产基地相关部门负责人与关键用户，召开需求沟通会议。会上，向参会人员详细讲解整理后的需求清单，针对标记的需求点进行深入讨论，明确需求的具体内容、优先级以及实现方式。</w:t>
      </w:r>
    </w:p>
    <w:p w14:paraId="51341E9A">
      <w:pPr>
        <w:bidi w:val="0"/>
        <w:rPr>
          <w:rFonts w:hint="eastAsia"/>
          <w:color w:val="auto"/>
        </w:rPr>
      </w:pPr>
      <w:r>
        <w:rPr>
          <w:rFonts w:hint="eastAsia"/>
          <w:color w:val="auto"/>
        </w:rPr>
        <w:t>需求确认：经过充分沟通与讨论后，形成最终的需求文档。需求文档需涵盖功能需求、性能需求、安全需求、接口需求等方面内容。各生产基地相关负责人对需求文档进行确认，作为后续产品设计与开发的重要依据。</w:t>
      </w:r>
    </w:p>
    <w:p w14:paraId="1E1EFD17">
      <w:pPr>
        <w:pStyle w:val="3"/>
        <w:numPr>
          <w:ilvl w:val="1"/>
          <w:numId w:val="21"/>
        </w:numPr>
        <w:bidi w:val="0"/>
        <w:rPr>
          <w:rFonts w:hint="eastAsia"/>
          <w:color w:val="auto"/>
          <w:lang w:val="en-US" w:eastAsia="zh-CN"/>
        </w:rPr>
      </w:pPr>
      <w:bookmarkStart w:id="129" w:name="_Toc27344"/>
      <w:bookmarkStart w:id="130" w:name="_Toc19372"/>
      <w:bookmarkStart w:id="131" w:name="_Toc4855"/>
      <w:bookmarkStart w:id="132" w:name="_Toc195102201"/>
      <w:r>
        <w:rPr>
          <w:rFonts w:hint="eastAsia"/>
          <w:color w:val="auto"/>
          <w:lang w:val="en-US" w:eastAsia="zh-CN"/>
        </w:rPr>
        <w:t>产品设计阶段（共1周）</w:t>
      </w:r>
      <w:bookmarkEnd w:id="129"/>
      <w:bookmarkEnd w:id="130"/>
      <w:bookmarkEnd w:id="131"/>
      <w:bookmarkEnd w:id="132"/>
    </w:p>
    <w:p w14:paraId="0CD0BE12">
      <w:pPr>
        <w:bidi w:val="0"/>
        <w:rPr>
          <w:rFonts w:hint="eastAsia"/>
          <w:color w:val="auto"/>
        </w:rPr>
      </w:pPr>
      <w:r>
        <w:rPr>
          <w:rFonts w:hint="eastAsia"/>
          <w:color w:val="auto"/>
        </w:rPr>
        <w:t>系统架构设计：系统架构师根据确认的需求文档，设计数智工厂系统的整体架构，包括技术选型、网络拓扑结构、系统模块划分、数据存储方案等。确保系统架构具备良好的扩展性、稳定性与安全性，能够满足生产基地未来业务发展的需求。</w:t>
      </w:r>
    </w:p>
    <w:p w14:paraId="5FBDA66A">
      <w:pPr>
        <w:bidi w:val="0"/>
        <w:rPr>
          <w:rFonts w:hint="eastAsia"/>
          <w:color w:val="auto"/>
        </w:rPr>
      </w:pPr>
      <w:r>
        <w:rPr>
          <w:rFonts w:hint="eastAsia"/>
          <w:color w:val="auto"/>
        </w:rPr>
        <w:t>功能模块设计：各模块负责人依据系统架构设计，对生产、质量、仓储、设备管理等核心功能模块以及安全、行政人事、财务、任务管理等其他功能模块进行详细设计。绘制功能模块的流程图、界面原型图，定义模块的输入输出、业务逻辑以及与其他模块的交互关系。</w:t>
      </w:r>
    </w:p>
    <w:p w14:paraId="4941E13A">
      <w:pPr>
        <w:bidi w:val="0"/>
        <w:rPr>
          <w:rFonts w:hint="eastAsia"/>
          <w:color w:val="auto"/>
        </w:rPr>
      </w:pPr>
      <w:r>
        <w:rPr>
          <w:rFonts w:hint="eastAsia"/>
          <w:color w:val="auto"/>
        </w:rPr>
        <w:t>数据库设计：数据库管理员根据系统需求与功能模块设计，进行数据库的概念设计、逻辑设计与物理设计。创建数据库表结构，定义字段类型、约束条件、索引等，建立数据之间的关联关系，确保数据库能够高效存储与管理生产基地的各类数据。</w:t>
      </w:r>
    </w:p>
    <w:p w14:paraId="5ECEB797">
      <w:pPr>
        <w:bidi w:val="0"/>
        <w:rPr>
          <w:rFonts w:hint="eastAsia"/>
          <w:color w:val="auto"/>
        </w:rPr>
      </w:pPr>
      <w:r>
        <w:rPr>
          <w:rFonts w:hint="eastAsia"/>
          <w:color w:val="auto"/>
        </w:rPr>
        <w:t>设计评审：组织内部的技术专家、业务骨干对产品设计方案进行评审。从技术可行性、业务合理性、用户体验等多个角度对设计方案进行审查，提出修改意见与建议。设计团队根据评审意见对设计方案进行优化与完善，确保设计方案的质量。</w:t>
      </w:r>
    </w:p>
    <w:p w14:paraId="3F5E4E89">
      <w:pPr>
        <w:pStyle w:val="3"/>
        <w:numPr>
          <w:ilvl w:val="1"/>
          <w:numId w:val="21"/>
        </w:numPr>
        <w:bidi w:val="0"/>
        <w:rPr>
          <w:rFonts w:hint="eastAsia"/>
          <w:color w:val="auto"/>
          <w:lang w:val="en-US" w:eastAsia="zh-CN"/>
        </w:rPr>
      </w:pPr>
      <w:bookmarkStart w:id="133" w:name="_Toc195102202"/>
      <w:bookmarkStart w:id="134" w:name="_Toc463"/>
      <w:bookmarkStart w:id="135" w:name="_Toc16473"/>
      <w:bookmarkStart w:id="136" w:name="_Toc9416"/>
      <w:r>
        <w:rPr>
          <w:rFonts w:hint="eastAsia"/>
          <w:color w:val="auto"/>
          <w:lang w:val="en-US" w:eastAsia="zh-CN"/>
        </w:rPr>
        <w:t>产品开发阶段（共16周）</w:t>
      </w:r>
      <w:bookmarkEnd w:id="133"/>
      <w:bookmarkEnd w:id="134"/>
      <w:bookmarkEnd w:id="135"/>
      <w:bookmarkEnd w:id="136"/>
    </w:p>
    <w:p w14:paraId="2764F837">
      <w:pPr>
        <w:bidi w:val="0"/>
        <w:rPr>
          <w:rFonts w:hint="eastAsia"/>
          <w:color w:val="auto"/>
        </w:rPr>
      </w:pPr>
      <w:r>
        <w:rPr>
          <w:rFonts w:hint="eastAsia"/>
          <w:color w:val="auto"/>
        </w:rPr>
        <w:t>模块开发与编码：开发人员按照功能模块设计与数据库设计方案，进行代码编写与模块开发工作。遵循统一的编码规范与设计原则，确保代码的可读性、可维护性与可扩展性。在开发过程中，注重与其他模块的接口对接与数据交互，及时解决开发过程中出现的技术问题。</w:t>
      </w:r>
    </w:p>
    <w:p w14:paraId="02D7C18E">
      <w:pPr>
        <w:bidi w:val="0"/>
        <w:rPr>
          <w:rFonts w:hint="eastAsia"/>
          <w:color w:val="auto"/>
        </w:rPr>
      </w:pPr>
      <w:r>
        <w:rPr>
          <w:rFonts w:hint="eastAsia"/>
          <w:color w:val="auto"/>
        </w:rPr>
        <w:t>代码审查与质量控制：定期进行代码审查工作，由开发团队成员对编写的代码进行互相审查。检查代码是否符合编码规范、是否存在潜在的安全漏洞、是否实现了设计要求的功能等。对发现的问题及时进行整改，提高代码质量，降低软件缺陷率。</w:t>
      </w:r>
    </w:p>
    <w:p w14:paraId="57E05078">
      <w:pPr>
        <w:bidi w:val="0"/>
        <w:rPr>
          <w:rFonts w:hint="eastAsia"/>
          <w:color w:val="auto"/>
        </w:rPr>
      </w:pPr>
      <w:r>
        <w:rPr>
          <w:rFonts w:hint="eastAsia"/>
          <w:color w:val="auto"/>
        </w:rPr>
        <w:t>持续集成与构建：采用持续集成工具，将开发人员提交的代码定期进行集成与构建。自动检测代码冲突、编译错误等问题，确保各个模块能够正确集成，形成可运行的软件版本。通过持续集成，及时发现并解决模块集成过程中出现的问题，提高开发效率与软件质量。</w:t>
      </w:r>
    </w:p>
    <w:p w14:paraId="4B5790AD">
      <w:pPr>
        <w:pStyle w:val="3"/>
        <w:numPr>
          <w:ilvl w:val="1"/>
          <w:numId w:val="21"/>
        </w:numPr>
        <w:bidi w:val="0"/>
        <w:rPr>
          <w:rFonts w:hint="eastAsia"/>
          <w:color w:val="auto"/>
          <w:lang w:val="en-US" w:eastAsia="zh-CN"/>
        </w:rPr>
      </w:pPr>
      <w:bookmarkStart w:id="137" w:name="_Toc11729"/>
      <w:bookmarkStart w:id="138" w:name="_Toc195102203"/>
      <w:bookmarkStart w:id="139" w:name="_Toc15729"/>
      <w:bookmarkStart w:id="140" w:name="_Toc11309"/>
      <w:r>
        <w:rPr>
          <w:rFonts w:hint="eastAsia"/>
          <w:color w:val="auto"/>
          <w:lang w:val="en-US" w:eastAsia="zh-CN"/>
        </w:rPr>
        <w:t>系统测试阶段（共1周）</w:t>
      </w:r>
      <w:bookmarkEnd w:id="137"/>
      <w:bookmarkEnd w:id="138"/>
      <w:bookmarkEnd w:id="139"/>
      <w:bookmarkEnd w:id="140"/>
    </w:p>
    <w:p w14:paraId="3647118A">
      <w:pPr>
        <w:bidi w:val="0"/>
        <w:rPr>
          <w:rFonts w:hint="eastAsia"/>
          <w:color w:val="auto"/>
        </w:rPr>
      </w:pPr>
      <w:r>
        <w:rPr>
          <w:rFonts w:hint="eastAsia"/>
          <w:color w:val="auto"/>
        </w:rPr>
        <w:t>功能测试：按照测试计划，对系统的各项功能进行逐一测试。验证系统是否满足需求文档中规定的功能要求，检查功能的正确性、完整性与易用性。对发现的功能缺陷进行详细记录，并及时反馈给开发团队进行修复。</w:t>
      </w:r>
    </w:p>
    <w:p w14:paraId="1A6C57AA">
      <w:pPr>
        <w:bidi w:val="0"/>
        <w:rPr>
          <w:rFonts w:hint="eastAsia"/>
          <w:color w:val="auto"/>
        </w:rPr>
      </w:pPr>
      <w:r>
        <w:rPr>
          <w:rFonts w:hint="eastAsia"/>
          <w:color w:val="auto"/>
        </w:rPr>
        <w:t>性能测试：运用性能测试工具，对系统的性能指标进行测试，如系统响应时间、吞吐量、并发用户数、资源利用率等。模拟不同的业务场景与负载情况，测试系统在高并发、大数据量等情况下的性能表现。根据性能测试结果，对系统进行性能优化，如调整数据库查询语句、优化代码算法、增加服务器资源等。</w:t>
      </w:r>
    </w:p>
    <w:p w14:paraId="4BAAD38E">
      <w:pPr>
        <w:bidi w:val="0"/>
        <w:rPr>
          <w:rFonts w:hint="eastAsia"/>
          <w:color w:val="auto"/>
        </w:rPr>
      </w:pPr>
      <w:r>
        <w:rPr>
          <w:rFonts w:hint="eastAsia"/>
          <w:color w:val="auto"/>
        </w:rPr>
        <w:t>安全测试：对系统进行全面的安全测试，包括网络安全测试、数据安全测试、应用安全测试等。检测系统是否存在安全漏洞，如 SQL 注入、跨站脚本攻击、权限管理漏洞等。对发现的安全问题及时进行修复，确保系统的安全性。</w:t>
      </w:r>
    </w:p>
    <w:p w14:paraId="1986EFC1">
      <w:pPr>
        <w:bidi w:val="0"/>
        <w:rPr>
          <w:rFonts w:hint="eastAsia"/>
          <w:color w:val="auto"/>
          <w:lang w:val="en-US" w:eastAsia="zh-CN"/>
        </w:rPr>
      </w:pPr>
      <w:r>
        <w:rPr>
          <w:rFonts w:hint="eastAsia"/>
          <w:color w:val="auto"/>
        </w:rPr>
        <w:t>兼容性测试：在不同的操作系统、浏览器、移动设备等环境下对系统进行兼容性测试。检查系统在不同环境下的运行情况，确保系统能够在各种常见环境下正常工作，为用户提供一致的使用体验。</w:t>
      </w:r>
      <w:bookmarkEnd w:id="120"/>
      <w:bookmarkEnd w:id="121"/>
      <w:bookmarkEnd w:id="122"/>
      <w:bookmarkEnd w:id="123"/>
      <w:bookmarkEnd w:id="124"/>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acds>
    <wne:acd wne:argValue="AgBBADE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0"/>
    <w:family w:val="auto"/>
    <w:pitch w:val="default"/>
    <w:sig w:usb0="00000000" w:usb1="00000000" w:usb2="00000000" w:usb3="00000000" w:csb0="8000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CDC09">
    <w:pPr>
      <w:pStyle w:val="18"/>
      <w:ind w:left="0" w:leftChars="0"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1DDD0">
    <w:pPr>
      <w:pStyle w:val="19"/>
      <w:pBdr>
        <w:top w:val="none" w:color="auto" w:sz="0" w:space="0"/>
        <w:left w:val="none" w:color="auto" w:sz="0" w:space="0"/>
        <w:bottom w:val="none" w:color="auto" w:sz="0" w:space="0"/>
        <w:right w:val="none" w:color="auto" w:sz="0" w:space="0"/>
      </w:pBdr>
      <w:ind w:left="0" w:leftChars="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8CB3A"/>
    <w:multiLevelType w:val="singleLevel"/>
    <w:tmpl w:val="82A8CB3A"/>
    <w:lvl w:ilvl="0" w:tentative="0">
      <w:start w:val="1"/>
      <w:numFmt w:val="bullet"/>
      <w:lvlText w:val=""/>
      <w:lvlJc w:val="left"/>
      <w:pPr>
        <w:ind w:left="420" w:hanging="420"/>
      </w:pPr>
      <w:rPr>
        <w:rFonts w:hint="default" w:ascii="Wingdings" w:hAnsi="Wingdings"/>
      </w:rPr>
    </w:lvl>
  </w:abstractNum>
  <w:abstractNum w:abstractNumId="1">
    <w:nsid w:val="876925ED"/>
    <w:multiLevelType w:val="singleLevel"/>
    <w:tmpl w:val="876925ED"/>
    <w:lvl w:ilvl="0" w:tentative="0">
      <w:start w:val="1"/>
      <w:numFmt w:val="bullet"/>
      <w:lvlText w:val=""/>
      <w:lvlJc w:val="left"/>
      <w:pPr>
        <w:ind w:left="420" w:hanging="420"/>
      </w:pPr>
      <w:rPr>
        <w:rFonts w:hint="default" w:ascii="Wingdings" w:hAnsi="Wingdings"/>
      </w:rPr>
    </w:lvl>
  </w:abstractNum>
  <w:abstractNum w:abstractNumId="2">
    <w:nsid w:val="98C6FF63"/>
    <w:multiLevelType w:val="singleLevel"/>
    <w:tmpl w:val="98C6FF63"/>
    <w:lvl w:ilvl="0" w:tentative="0">
      <w:start w:val="1"/>
      <w:numFmt w:val="decimal"/>
      <w:pStyle w:val="46"/>
      <w:lvlText w:val="表1-%1 "/>
      <w:lvlJc w:val="left"/>
      <w:pPr>
        <w:tabs>
          <w:tab w:val="left" w:pos="312"/>
        </w:tabs>
      </w:pPr>
      <w:rPr>
        <w:rFonts w:hint="default" w:eastAsia="仿宋_GB2312"/>
        <w:sz w:val="28"/>
        <w:szCs w:val="28"/>
      </w:rPr>
    </w:lvl>
  </w:abstractNum>
  <w:abstractNum w:abstractNumId="3">
    <w:nsid w:val="BDFEBD28"/>
    <w:multiLevelType w:val="multilevel"/>
    <w:tmpl w:val="BDFEBD28"/>
    <w:lvl w:ilvl="0" w:tentative="0">
      <w:start w:val="1"/>
      <w:numFmt w:val="chineseCounting"/>
      <w:lvlText w:val="第%1章."/>
      <w:lvlJc w:val="left"/>
      <w:pPr>
        <w:ind w:left="425" w:hanging="425"/>
      </w:pPr>
      <w:rPr>
        <w:rFonts w:hint="eastAsia"/>
      </w:rPr>
    </w:lvl>
    <w:lvl w:ilvl="1" w:tentative="0">
      <w:start w:val="1"/>
      <w:numFmt w:val="decimal"/>
      <w:pStyle w:val="34"/>
      <w:isLgl/>
      <w:lvlText w:val="%1.%2."/>
      <w:lvlJc w:val="left"/>
      <w:pPr>
        <w:ind w:left="567" w:hanging="567"/>
      </w:pPr>
      <w:rPr>
        <w:rFonts w:hint="eastAsia"/>
      </w:rPr>
    </w:lvl>
    <w:lvl w:ilvl="2" w:tentative="0">
      <w:start w:val="1"/>
      <w:numFmt w:val="decimal"/>
      <w:pStyle w:val="36"/>
      <w:isLgl/>
      <w:suff w:val="space"/>
      <w:lvlText w:val="%1.%2.%3."/>
      <w:lvlJc w:val="left"/>
      <w:pPr>
        <w:ind w:left="709" w:hanging="709"/>
      </w:pPr>
      <w:rPr>
        <w:rFonts w:hint="eastAsia"/>
      </w:rPr>
    </w:lvl>
    <w:lvl w:ilvl="3" w:tentative="0">
      <w:start w:val="1"/>
      <w:numFmt w:val="decimal"/>
      <w:pStyle w:val="35"/>
      <w:isLgl/>
      <w:lvlText w:val="%1.%2.%3.%4."/>
      <w:lvlJc w:val="left"/>
      <w:pPr>
        <w:ind w:left="850" w:hanging="850"/>
      </w:pPr>
      <w:rPr>
        <w:rFonts w:hint="eastAsia"/>
      </w:rPr>
    </w:lvl>
    <w:lvl w:ilvl="4" w:tentative="0">
      <w:start w:val="1"/>
      <w:numFmt w:val="decimal"/>
      <w:pStyle w:val="37"/>
      <w:isLgl/>
      <w:lvlText w:val="%1.%2.%3.%4.%5."/>
      <w:lvlJc w:val="left"/>
      <w:pPr>
        <w:ind w:left="991" w:hanging="991"/>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4">
    <w:nsid w:val="C525762D"/>
    <w:multiLevelType w:val="multilevel"/>
    <w:tmpl w:val="C525762D"/>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ascii="仿宋_GB2312" w:hAnsi="仿宋_GB2312" w:eastAsia="仿宋_GB2312" w:cs="仿宋_GB2312"/>
        <w:bCs/>
        <w:sz w:val="32"/>
        <w:szCs w:val="32"/>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5">
    <w:nsid w:val="D73D1F13"/>
    <w:multiLevelType w:val="singleLevel"/>
    <w:tmpl w:val="D73D1F13"/>
    <w:lvl w:ilvl="0" w:tentative="0">
      <w:start w:val="1"/>
      <w:numFmt w:val="bullet"/>
      <w:lvlText w:val=""/>
      <w:lvlJc w:val="left"/>
      <w:pPr>
        <w:ind w:left="420" w:hanging="420"/>
      </w:pPr>
      <w:rPr>
        <w:rFonts w:hint="default" w:ascii="Wingdings" w:hAnsi="Wingdings"/>
      </w:rPr>
    </w:lvl>
  </w:abstractNum>
  <w:abstractNum w:abstractNumId="6">
    <w:nsid w:val="DB456116"/>
    <w:multiLevelType w:val="singleLevel"/>
    <w:tmpl w:val="DB456116"/>
    <w:lvl w:ilvl="0" w:tentative="0">
      <w:start w:val="1"/>
      <w:numFmt w:val="bullet"/>
      <w:lvlText w:val=""/>
      <w:lvlJc w:val="left"/>
      <w:pPr>
        <w:ind w:left="420" w:hanging="420"/>
      </w:pPr>
      <w:rPr>
        <w:rFonts w:hint="default" w:ascii="Wingdings" w:hAnsi="Wingdings"/>
      </w:rPr>
    </w:lvl>
  </w:abstractNum>
  <w:abstractNum w:abstractNumId="7">
    <w:nsid w:val="F2A2E057"/>
    <w:multiLevelType w:val="singleLevel"/>
    <w:tmpl w:val="F2A2E057"/>
    <w:lvl w:ilvl="0" w:tentative="0">
      <w:start w:val="1"/>
      <w:numFmt w:val="bullet"/>
      <w:lvlText w:val=""/>
      <w:lvlJc w:val="left"/>
      <w:pPr>
        <w:ind w:left="420" w:hanging="420"/>
      </w:pPr>
      <w:rPr>
        <w:rFonts w:hint="default" w:ascii="Wingdings" w:hAnsi="Wingdings"/>
      </w:rPr>
    </w:lvl>
  </w:abstractNum>
  <w:abstractNum w:abstractNumId="8">
    <w:nsid w:val="03DAB1B2"/>
    <w:multiLevelType w:val="singleLevel"/>
    <w:tmpl w:val="03DAB1B2"/>
    <w:lvl w:ilvl="0" w:tentative="0">
      <w:start w:val="1"/>
      <w:numFmt w:val="bullet"/>
      <w:lvlText w:val=""/>
      <w:lvlJc w:val="left"/>
      <w:pPr>
        <w:ind w:left="420" w:hanging="420"/>
      </w:pPr>
      <w:rPr>
        <w:rFonts w:hint="default" w:ascii="Wingdings" w:hAnsi="Wingdings"/>
      </w:rPr>
    </w:lvl>
  </w:abstractNum>
  <w:abstractNum w:abstractNumId="9">
    <w:nsid w:val="0E2F59BC"/>
    <w:multiLevelType w:val="singleLevel"/>
    <w:tmpl w:val="0E2F59BC"/>
    <w:lvl w:ilvl="0" w:tentative="0">
      <w:start w:val="1"/>
      <w:numFmt w:val="bullet"/>
      <w:lvlText w:val=""/>
      <w:lvlJc w:val="left"/>
      <w:pPr>
        <w:ind w:left="420" w:hanging="420"/>
      </w:pPr>
      <w:rPr>
        <w:rFonts w:hint="default" w:ascii="Wingdings" w:hAnsi="Wingdings"/>
      </w:rPr>
    </w:lvl>
  </w:abstractNum>
  <w:abstractNum w:abstractNumId="10">
    <w:nsid w:val="0E9CD072"/>
    <w:multiLevelType w:val="singleLevel"/>
    <w:tmpl w:val="0E9CD072"/>
    <w:lvl w:ilvl="0" w:tentative="0">
      <w:start w:val="1"/>
      <w:numFmt w:val="bullet"/>
      <w:lvlText w:val=""/>
      <w:lvlJc w:val="left"/>
      <w:pPr>
        <w:ind w:left="420" w:hanging="420"/>
      </w:pPr>
      <w:rPr>
        <w:rFonts w:hint="default" w:ascii="Wingdings" w:hAnsi="Wingdings"/>
      </w:rPr>
    </w:lvl>
  </w:abstractNum>
  <w:abstractNum w:abstractNumId="11">
    <w:nsid w:val="158267F2"/>
    <w:multiLevelType w:val="singleLevel"/>
    <w:tmpl w:val="158267F2"/>
    <w:lvl w:ilvl="0" w:tentative="0">
      <w:start w:val="1"/>
      <w:numFmt w:val="chineseCounting"/>
      <w:pStyle w:val="24"/>
      <w:suff w:val="nothing"/>
      <w:lvlText w:val="%1、"/>
      <w:lvlJc w:val="left"/>
      <w:pPr>
        <w:ind w:left="0" w:firstLine="420"/>
      </w:pPr>
      <w:rPr>
        <w:rFonts w:hint="eastAsia"/>
      </w:rPr>
    </w:lvl>
  </w:abstractNum>
  <w:abstractNum w:abstractNumId="12">
    <w:nsid w:val="1F27132B"/>
    <w:multiLevelType w:val="singleLevel"/>
    <w:tmpl w:val="1F27132B"/>
    <w:lvl w:ilvl="0" w:tentative="0">
      <w:start w:val="1"/>
      <w:numFmt w:val="bullet"/>
      <w:lvlText w:val=""/>
      <w:lvlJc w:val="left"/>
      <w:pPr>
        <w:ind w:left="420" w:hanging="420"/>
      </w:pPr>
      <w:rPr>
        <w:rFonts w:hint="default" w:ascii="Wingdings" w:hAnsi="Wingdings"/>
      </w:rPr>
    </w:lvl>
  </w:abstractNum>
  <w:abstractNum w:abstractNumId="13">
    <w:nsid w:val="347CB455"/>
    <w:multiLevelType w:val="singleLevel"/>
    <w:tmpl w:val="347CB455"/>
    <w:lvl w:ilvl="0" w:tentative="0">
      <w:start w:val="1"/>
      <w:numFmt w:val="bullet"/>
      <w:lvlText w:val=""/>
      <w:lvlJc w:val="left"/>
      <w:pPr>
        <w:ind w:left="420" w:hanging="420"/>
      </w:pPr>
      <w:rPr>
        <w:rFonts w:hint="default" w:ascii="Wingdings" w:hAnsi="Wingdings"/>
      </w:rPr>
    </w:lvl>
  </w:abstractNum>
  <w:abstractNum w:abstractNumId="14">
    <w:nsid w:val="35A6CD3D"/>
    <w:multiLevelType w:val="singleLevel"/>
    <w:tmpl w:val="35A6CD3D"/>
    <w:lvl w:ilvl="0" w:tentative="0">
      <w:start w:val="1"/>
      <w:numFmt w:val="bullet"/>
      <w:lvlText w:val=""/>
      <w:lvlJc w:val="left"/>
      <w:pPr>
        <w:ind w:left="420" w:hanging="420"/>
      </w:pPr>
      <w:rPr>
        <w:rFonts w:hint="default" w:ascii="Wingdings" w:hAnsi="Wingdings"/>
      </w:rPr>
    </w:lvl>
  </w:abstractNum>
  <w:abstractNum w:abstractNumId="15">
    <w:nsid w:val="4A8E8FF1"/>
    <w:multiLevelType w:val="singleLevel"/>
    <w:tmpl w:val="4A8E8FF1"/>
    <w:lvl w:ilvl="0" w:tentative="0">
      <w:start w:val="1"/>
      <w:numFmt w:val="bullet"/>
      <w:lvlText w:val=""/>
      <w:lvlJc w:val="left"/>
      <w:pPr>
        <w:ind w:left="420" w:hanging="420"/>
      </w:pPr>
      <w:rPr>
        <w:rFonts w:hint="default" w:ascii="Wingdings" w:hAnsi="Wingdings"/>
      </w:rPr>
    </w:lvl>
  </w:abstractNum>
  <w:abstractNum w:abstractNumId="16">
    <w:nsid w:val="69FA0376"/>
    <w:multiLevelType w:val="singleLevel"/>
    <w:tmpl w:val="69FA0376"/>
    <w:lvl w:ilvl="0" w:tentative="0">
      <w:start w:val="1"/>
      <w:numFmt w:val="bullet"/>
      <w:lvlText w:val=""/>
      <w:lvlJc w:val="left"/>
      <w:pPr>
        <w:ind w:left="420" w:hanging="420"/>
      </w:pPr>
      <w:rPr>
        <w:rFonts w:hint="default" w:ascii="Wingdings" w:hAnsi="Wingdings"/>
      </w:rPr>
    </w:lvl>
  </w:abstractNum>
  <w:abstractNum w:abstractNumId="17">
    <w:nsid w:val="741BA98D"/>
    <w:multiLevelType w:val="singleLevel"/>
    <w:tmpl w:val="741BA98D"/>
    <w:lvl w:ilvl="0" w:tentative="0">
      <w:start w:val="1"/>
      <w:numFmt w:val="decimal"/>
      <w:lvlText w:val="(%1)"/>
      <w:lvlJc w:val="left"/>
      <w:pPr>
        <w:ind w:left="425" w:hanging="425"/>
      </w:pPr>
      <w:rPr>
        <w:rFonts w:hint="default"/>
      </w:rPr>
    </w:lvl>
  </w:abstractNum>
  <w:abstractNum w:abstractNumId="18">
    <w:nsid w:val="78E03CDE"/>
    <w:multiLevelType w:val="singleLevel"/>
    <w:tmpl w:val="78E03CDE"/>
    <w:lvl w:ilvl="0" w:tentative="0">
      <w:start w:val="5"/>
      <w:numFmt w:val="decimal"/>
      <w:pStyle w:val="45"/>
      <w:lvlText w:val="图_x0001_-%1 "/>
      <w:lvlJc w:val="left"/>
      <w:pPr>
        <w:tabs>
          <w:tab w:val="left" w:pos="312"/>
        </w:tabs>
      </w:pPr>
      <w:rPr>
        <w:rFonts w:hint="default" w:eastAsia="仿宋_GB2312"/>
        <w:sz w:val="28"/>
      </w:rPr>
    </w:lvl>
  </w:abstractNum>
  <w:num w:numId="1">
    <w:abstractNumId w:val="4"/>
  </w:num>
  <w:num w:numId="2">
    <w:abstractNumId w:val="11"/>
  </w:num>
  <w:num w:numId="3">
    <w:abstractNumId w:val="3"/>
  </w:num>
  <w:num w:numId="4">
    <w:abstractNumId w:val="18"/>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0"/>
  </w:num>
  <w:num w:numId="9">
    <w:abstractNumId w:val="6"/>
  </w:num>
  <w:num w:numId="10">
    <w:abstractNumId w:val="15"/>
  </w:num>
  <w:num w:numId="11">
    <w:abstractNumId w:val="7"/>
  </w:num>
  <w:num w:numId="12">
    <w:abstractNumId w:val="1"/>
  </w:num>
  <w:num w:numId="13">
    <w:abstractNumId w:val="8"/>
  </w:num>
  <w:num w:numId="14">
    <w:abstractNumId w:val="0"/>
  </w:num>
  <w:num w:numId="15">
    <w:abstractNumId w:val="9"/>
  </w:num>
  <w:num w:numId="16">
    <w:abstractNumId w:val="14"/>
  </w:num>
  <w:num w:numId="17">
    <w:abstractNumId w:val="13"/>
  </w:num>
  <w:num w:numId="18">
    <w:abstractNumId w:val="5"/>
  </w:num>
  <w:num w:numId="19">
    <w:abstractNumId w:val="16"/>
  </w:num>
  <w:num w:numId="20">
    <w:abstractNumId w:val="17"/>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mYzJlMTkzZmEwZTdhYzA2MzgwYzQ0YTA2YWRhNmMifQ=="/>
  </w:docVars>
  <w:rsids>
    <w:rsidRoot w:val="00172A27"/>
    <w:rsid w:val="000118A6"/>
    <w:rsid w:val="0002117A"/>
    <w:rsid w:val="001A64C4"/>
    <w:rsid w:val="00237181"/>
    <w:rsid w:val="002C4449"/>
    <w:rsid w:val="002D5EA2"/>
    <w:rsid w:val="00307A95"/>
    <w:rsid w:val="003357D8"/>
    <w:rsid w:val="00337586"/>
    <w:rsid w:val="00443541"/>
    <w:rsid w:val="005539A0"/>
    <w:rsid w:val="00597A6C"/>
    <w:rsid w:val="005A0FB6"/>
    <w:rsid w:val="006154D3"/>
    <w:rsid w:val="00624FD8"/>
    <w:rsid w:val="00675481"/>
    <w:rsid w:val="00775B96"/>
    <w:rsid w:val="007958E0"/>
    <w:rsid w:val="00867C46"/>
    <w:rsid w:val="008B5614"/>
    <w:rsid w:val="008B73C2"/>
    <w:rsid w:val="008F6EB2"/>
    <w:rsid w:val="00975D66"/>
    <w:rsid w:val="009C337D"/>
    <w:rsid w:val="00A77BFD"/>
    <w:rsid w:val="00AB35C0"/>
    <w:rsid w:val="00B46918"/>
    <w:rsid w:val="00BF52BD"/>
    <w:rsid w:val="00C11035"/>
    <w:rsid w:val="00C34DAD"/>
    <w:rsid w:val="00C53DB4"/>
    <w:rsid w:val="00D06161"/>
    <w:rsid w:val="00DF3269"/>
    <w:rsid w:val="00E46AD2"/>
    <w:rsid w:val="00E52F76"/>
    <w:rsid w:val="00E865C2"/>
    <w:rsid w:val="00FA16CA"/>
    <w:rsid w:val="01064C9A"/>
    <w:rsid w:val="010A11BF"/>
    <w:rsid w:val="01227D26"/>
    <w:rsid w:val="01233A9E"/>
    <w:rsid w:val="01276727"/>
    <w:rsid w:val="013637D1"/>
    <w:rsid w:val="0136732D"/>
    <w:rsid w:val="013730A5"/>
    <w:rsid w:val="013B4944"/>
    <w:rsid w:val="0147153B"/>
    <w:rsid w:val="014852B3"/>
    <w:rsid w:val="014F222C"/>
    <w:rsid w:val="01532000"/>
    <w:rsid w:val="01541EA9"/>
    <w:rsid w:val="01545A05"/>
    <w:rsid w:val="01592BA7"/>
    <w:rsid w:val="015E4AD6"/>
    <w:rsid w:val="01607A86"/>
    <w:rsid w:val="01633E9B"/>
    <w:rsid w:val="01761E20"/>
    <w:rsid w:val="017B7436"/>
    <w:rsid w:val="018502B5"/>
    <w:rsid w:val="01853E11"/>
    <w:rsid w:val="019B3634"/>
    <w:rsid w:val="01A91989"/>
    <w:rsid w:val="01B12E58"/>
    <w:rsid w:val="01BC3830"/>
    <w:rsid w:val="01C6253C"/>
    <w:rsid w:val="01CF32DE"/>
    <w:rsid w:val="01D628BE"/>
    <w:rsid w:val="01F176F8"/>
    <w:rsid w:val="02007BB7"/>
    <w:rsid w:val="0204567E"/>
    <w:rsid w:val="020531A4"/>
    <w:rsid w:val="02070CCA"/>
    <w:rsid w:val="020E02AA"/>
    <w:rsid w:val="021D06BE"/>
    <w:rsid w:val="0224362A"/>
    <w:rsid w:val="022E6257"/>
    <w:rsid w:val="02385327"/>
    <w:rsid w:val="023F0464"/>
    <w:rsid w:val="0247556A"/>
    <w:rsid w:val="02493090"/>
    <w:rsid w:val="024B5C25"/>
    <w:rsid w:val="024F794D"/>
    <w:rsid w:val="02532161"/>
    <w:rsid w:val="027C3466"/>
    <w:rsid w:val="027F2F56"/>
    <w:rsid w:val="0281396C"/>
    <w:rsid w:val="0288005D"/>
    <w:rsid w:val="028D5673"/>
    <w:rsid w:val="02A12ECC"/>
    <w:rsid w:val="02A51626"/>
    <w:rsid w:val="02A97FD3"/>
    <w:rsid w:val="02B32C00"/>
    <w:rsid w:val="02B349AE"/>
    <w:rsid w:val="02B96468"/>
    <w:rsid w:val="02BA21E0"/>
    <w:rsid w:val="02BB4F8D"/>
    <w:rsid w:val="02BF3353"/>
    <w:rsid w:val="02C25061"/>
    <w:rsid w:val="02C92423"/>
    <w:rsid w:val="02D0730E"/>
    <w:rsid w:val="02DC5CB3"/>
    <w:rsid w:val="02E37041"/>
    <w:rsid w:val="02ED2D6C"/>
    <w:rsid w:val="02FB6B16"/>
    <w:rsid w:val="030516AD"/>
    <w:rsid w:val="030D3B7D"/>
    <w:rsid w:val="030F1DE7"/>
    <w:rsid w:val="03100052"/>
    <w:rsid w:val="031E62CB"/>
    <w:rsid w:val="03260C0F"/>
    <w:rsid w:val="032A4C70"/>
    <w:rsid w:val="03336550"/>
    <w:rsid w:val="03343D40"/>
    <w:rsid w:val="033E071B"/>
    <w:rsid w:val="034675D0"/>
    <w:rsid w:val="035A307B"/>
    <w:rsid w:val="03661A20"/>
    <w:rsid w:val="03667C72"/>
    <w:rsid w:val="036F4D79"/>
    <w:rsid w:val="0371289F"/>
    <w:rsid w:val="03716D43"/>
    <w:rsid w:val="037C716B"/>
    <w:rsid w:val="03805FE7"/>
    <w:rsid w:val="03822048"/>
    <w:rsid w:val="0390431D"/>
    <w:rsid w:val="039667A9"/>
    <w:rsid w:val="039C3694"/>
    <w:rsid w:val="03A72764"/>
    <w:rsid w:val="03A762C0"/>
    <w:rsid w:val="03AA740D"/>
    <w:rsid w:val="03B804CE"/>
    <w:rsid w:val="03C52BEB"/>
    <w:rsid w:val="03C70711"/>
    <w:rsid w:val="03CC3F79"/>
    <w:rsid w:val="03DA48E8"/>
    <w:rsid w:val="03E30DBA"/>
    <w:rsid w:val="03EA08A3"/>
    <w:rsid w:val="03F139E0"/>
    <w:rsid w:val="0402799B"/>
    <w:rsid w:val="04131BA8"/>
    <w:rsid w:val="041E22FB"/>
    <w:rsid w:val="0422003D"/>
    <w:rsid w:val="042713A0"/>
    <w:rsid w:val="042E69E2"/>
    <w:rsid w:val="04336AC8"/>
    <w:rsid w:val="043B10FF"/>
    <w:rsid w:val="043B4C5B"/>
    <w:rsid w:val="04473600"/>
    <w:rsid w:val="044A30F0"/>
    <w:rsid w:val="04545D1C"/>
    <w:rsid w:val="04583A5F"/>
    <w:rsid w:val="04640655"/>
    <w:rsid w:val="047C774D"/>
    <w:rsid w:val="04874623"/>
    <w:rsid w:val="04930218"/>
    <w:rsid w:val="04A404CB"/>
    <w:rsid w:val="04A46E78"/>
    <w:rsid w:val="04AE6573"/>
    <w:rsid w:val="04BC3FEE"/>
    <w:rsid w:val="04CA6CD1"/>
    <w:rsid w:val="04D56E5D"/>
    <w:rsid w:val="04D70679"/>
    <w:rsid w:val="04E377CC"/>
    <w:rsid w:val="04E672BC"/>
    <w:rsid w:val="04F75026"/>
    <w:rsid w:val="04F84A09"/>
    <w:rsid w:val="04FE63B4"/>
    <w:rsid w:val="04FF037E"/>
    <w:rsid w:val="050339CA"/>
    <w:rsid w:val="05131707"/>
    <w:rsid w:val="051C002D"/>
    <w:rsid w:val="051E0804"/>
    <w:rsid w:val="05216546"/>
    <w:rsid w:val="05263B5D"/>
    <w:rsid w:val="052E45AA"/>
    <w:rsid w:val="052E47BF"/>
    <w:rsid w:val="053578FC"/>
    <w:rsid w:val="05393890"/>
    <w:rsid w:val="05412745"/>
    <w:rsid w:val="05483AD3"/>
    <w:rsid w:val="054D733B"/>
    <w:rsid w:val="0552282F"/>
    <w:rsid w:val="05542478"/>
    <w:rsid w:val="055C757F"/>
    <w:rsid w:val="05654685"/>
    <w:rsid w:val="05687CD1"/>
    <w:rsid w:val="056B77C2"/>
    <w:rsid w:val="05740424"/>
    <w:rsid w:val="057B5C57"/>
    <w:rsid w:val="057F6DC9"/>
    <w:rsid w:val="058368B9"/>
    <w:rsid w:val="058C1932"/>
    <w:rsid w:val="058C7E64"/>
    <w:rsid w:val="058F34B0"/>
    <w:rsid w:val="059211F2"/>
    <w:rsid w:val="05972365"/>
    <w:rsid w:val="059B00A7"/>
    <w:rsid w:val="059C797B"/>
    <w:rsid w:val="05A01219"/>
    <w:rsid w:val="05A351AD"/>
    <w:rsid w:val="05AB7BBE"/>
    <w:rsid w:val="05B607CF"/>
    <w:rsid w:val="05C869C2"/>
    <w:rsid w:val="05D67331"/>
    <w:rsid w:val="05D830A9"/>
    <w:rsid w:val="05E530D0"/>
    <w:rsid w:val="05E80E12"/>
    <w:rsid w:val="05EC26B0"/>
    <w:rsid w:val="05F11A75"/>
    <w:rsid w:val="05F23A3F"/>
    <w:rsid w:val="05F872A7"/>
    <w:rsid w:val="06174FC9"/>
    <w:rsid w:val="062E2CC9"/>
    <w:rsid w:val="062F07EF"/>
    <w:rsid w:val="063858F6"/>
    <w:rsid w:val="064047AA"/>
    <w:rsid w:val="064C7016"/>
    <w:rsid w:val="064F49ED"/>
    <w:rsid w:val="06523DD1"/>
    <w:rsid w:val="065347BE"/>
    <w:rsid w:val="06540256"/>
    <w:rsid w:val="065B3392"/>
    <w:rsid w:val="065E665E"/>
    <w:rsid w:val="066C6FCD"/>
    <w:rsid w:val="06832505"/>
    <w:rsid w:val="0687062B"/>
    <w:rsid w:val="068723D9"/>
    <w:rsid w:val="069074E0"/>
    <w:rsid w:val="069C40D7"/>
    <w:rsid w:val="06A0349B"/>
    <w:rsid w:val="06A411DD"/>
    <w:rsid w:val="06AB256C"/>
    <w:rsid w:val="06B37672"/>
    <w:rsid w:val="06BF7DC5"/>
    <w:rsid w:val="06CC4290"/>
    <w:rsid w:val="06CE1DB6"/>
    <w:rsid w:val="06D33870"/>
    <w:rsid w:val="06E415DA"/>
    <w:rsid w:val="06E710CA"/>
    <w:rsid w:val="06F07F7E"/>
    <w:rsid w:val="06F21F49"/>
    <w:rsid w:val="06F34995"/>
    <w:rsid w:val="06F537E7"/>
    <w:rsid w:val="071579E5"/>
    <w:rsid w:val="07177C01"/>
    <w:rsid w:val="071C6FC5"/>
    <w:rsid w:val="0721282E"/>
    <w:rsid w:val="072145DC"/>
    <w:rsid w:val="07267138"/>
    <w:rsid w:val="072916E2"/>
    <w:rsid w:val="072B545A"/>
    <w:rsid w:val="072C4328"/>
    <w:rsid w:val="072C4F1C"/>
    <w:rsid w:val="07300CC3"/>
    <w:rsid w:val="073F4A62"/>
    <w:rsid w:val="0746139F"/>
    <w:rsid w:val="07464042"/>
    <w:rsid w:val="07553A8C"/>
    <w:rsid w:val="076B1CFB"/>
    <w:rsid w:val="076F17EB"/>
    <w:rsid w:val="078A0DF5"/>
    <w:rsid w:val="07996868"/>
    <w:rsid w:val="079C0106"/>
    <w:rsid w:val="07A33243"/>
    <w:rsid w:val="07A71A5E"/>
    <w:rsid w:val="07AE48F9"/>
    <w:rsid w:val="07B223E3"/>
    <w:rsid w:val="07B25830"/>
    <w:rsid w:val="07B73FBF"/>
    <w:rsid w:val="07BD6D6B"/>
    <w:rsid w:val="07BE007D"/>
    <w:rsid w:val="07C02047"/>
    <w:rsid w:val="07C25B54"/>
    <w:rsid w:val="07C37441"/>
    <w:rsid w:val="07C84A57"/>
    <w:rsid w:val="07D93108"/>
    <w:rsid w:val="07DB3280"/>
    <w:rsid w:val="07E07FF3"/>
    <w:rsid w:val="07E55609"/>
    <w:rsid w:val="07F876A6"/>
    <w:rsid w:val="08114650"/>
    <w:rsid w:val="0817778D"/>
    <w:rsid w:val="081952B3"/>
    <w:rsid w:val="08197AC6"/>
    <w:rsid w:val="081B102B"/>
    <w:rsid w:val="081D2FF5"/>
    <w:rsid w:val="08236132"/>
    <w:rsid w:val="08283748"/>
    <w:rsid w:val="082C4FE6"/>
    <w:rsid w:val="0831084F"/>
    <w:rsid w:val="08386072"/>
    <w:rsid w:val="08397703"/>
    <w:rsid w:val="083B347B"/>
    <w:rsid w:val="083E4D1A"/>
    <w:rsid w:val="084C7436"/>
    <w:rsid w:val="085409E1"/>
    <w:rsid w:val="085D7896"/>
    <w:rsid w:val="086A1FB2"/>
    <w:rsid w:val="086E3851"/>
    <w:rsid w:val="08730E67"/>
    <w:rsid w:val="088C3CD7"/>
    <w:rsid w:val="08935065"/>
    <w:rsid w:val="0895702F"/>
    <w:rsid w:val="089E3A0A"/>
    <w:rsid w:val="08A234FA"/>
    <w:rsid w:val="08A44182"/>
    <w:rsid w:val="08A6123D"/>
    <w:rsid w:val="08B33959"/>
    <w:rsid w:val="08B66FA6"/>
    <w:rsid w:val="08BF5E5A"/>
    <w:rsid w:val="08C16076"/>
    <w:rsid w:val="08D00067"/>
    <w:rsid w:val="08D00E36"/>
    <w:rsid w:val="08D631A4"/>
    <w:rsid w:val="08E20019"/>
    <w:rsid w:val="08E3490A"/>
    <w:rsid w:val="08E51639"/>
    <w:rsid w:val="08F33D56"/>
    <w:rsid w:val="09095327"/>
    <w:rsid w:val="09130409"/>
    <w:rsid w:val="091B5B83"/>
    <w:rsid w:val="091C32AD"/>
    <w:rsid w:val="091F2D9D"/>
    <w:rsid w:val="0922463B"/>
    <w:rsid w:val="09293C1C"/>
    <w:rsid w:val="09297E40"/>
    <w:rsid w:val="092C7268"/>
    <w:rsid w:val="0932487E"/>
    <w:rsid w:val="093C394F"/>
    <w:rsid w:val="09420839"/>
    <w:rsid w:val="09442803"/>
    <w:rsid w:val="09456E73"/>
    <w:rsid w:val="094B5940"/>
    <w:rsid w:val="095073FA"/>
    <w:rsid w:val="096E7880"/>
    <w:rsid w:val="098A46BA"/>
    <w:rsid w:val="099E1F14"/>
    <w:rsid w:val="09A03EDE"/>
    <w:rsid w:val="09AD03A9"/>
    <w:rsid w:val="09B2776D"/>
    <w:rsid w:val="09B81054"/>
    <w:rsid w:val="09B90AFC"/>
    <w:rsid w:val="09C53944"/>
    <w:rsid w:val="09CD45A7"/>
    <w:rsid w:val="09D04097"/>
    <w:rsid w:val="09D75426"/>
    <w:rsid w:val="09FB7366"/>
    <w:rsid w:val="0A03621B"/>
    <w:rsid w:val="0A0A75A9"/>
    <w:rsid w:val="0A1C108A"/>
    <w:rsid w:val="0A2368BD"/>
    <w:rsid w:val="0A243CD8"/>
    <w:rsid w:val="0A312D88"/>
    <w:rsid w:val="0A3E36F7"/>
    <w:rsid w:val="0A48362B"/>
    <w:rsid w:val="0A4C1970"/>
    <w:rsid w:val="0A4E0284"/>
    <w:rsid w:val="0A5F3317"/>
    <w:rsid w:val="0A650C83"/>
    <w:rsid w:val="0A652A31"/>
    <w:rsid w:val="0A656ED5"/>
    <w:rsid w:val="0A6D7B38"/>
    <w:rsid w:val="0A7113D6"/>
    <w:rsid w:val="0A742C74"/>
    <w:rsid w:val="0A747118"/>
    <w:rsid w:val="0A7C0731"/>
    <w:rsid w:val="0A7E5DA1"/>
    <w:rsid w:val="0A8A693C"/>
    <w:rsid w:val="0A8C7FBE"/>
    <w:rsid w:val="0A981059"/>
    <w:rsid w:val="0A9B28F7"/>
    <w:rsid w:val="0AAC26AE"/>
    <w:rsid w:val="0AAF1EFF"/>
    <w:rsid w:val="0AB94B2B"/>
    <w:rsid w:val="0ACC10B3"/>
    <w:rsid w:val="0ACE4A7B"/>
    <w:rsid w:val="0AD35BED"/>
    <w:rsid w:val="0AD55E09"/>
    <w:rsid w:val="0AD6392F"/>
    <w:rsid w:val="0ADB7197"/>
    <w:rsid w:val="0AEE0C79"/>
    <w:rsid w:val="0AF53DB5"/>
    <w:rsid w:val="0AFA761E"/>
    <w:rsid w:val="0B043FF8"/>
    <w:rsid w:val="0B0C140B"/>
    <w:rsid w:val="0B0F14CD"/>
    <w:rsid w:val="0B1526A9"/>
    <w:rsid w:val="0B220FAB"/>
    <w:rsid w:val="0B325009"/>
    <w:rsid w:val="0B4B2331"/>
    <w:rsid w:val="0B50723E"/>
    <w:rsid w:val="0B510EC7"/>
    <w:rsid w:val="0B5F3925"/>
    <w:rsid w:val="0B6832EE"/>
    <w:rsid w:val="0B70168E"/>
    <w:rsid w:val="0B7373D0"/>
    <w:rsid w:val="0B772A1C"/>
    <w:rsid w:val="0B8909A2"/>
    <w:rsid w:val="0B8E7D66"/>
    <w:rsid w:val="0B996E37"/>
    <w:rsid w:val="0B9A670B"/>
    <w:rsid w:val="0BAE0408"/>
    <w:rsid w:val="0BB7550F"/>
    <w:rsid w:val="0BB974D9"/>
    <w:rsid w:val="0BBC5392"/>
    <w:rsid w:val="0BBF2615"/>
    <w:rsid w:val="0BC24561"/>
    <w:rsid w:val="0BD55995"/>
    <w:rsid w:val="0BDC72AF"/>
    <w:rsid w:val="0BE107DE"/>
    <w:rsid w:val="0BE34556"/>
    <w:rsid w:val="0BE856C8"/>
    <w:rsid w:val="0BEF4CA9"/>
    <w:rsid w:val="0BFA514F"/>
    <w:rsid w:val="0C030754"/>
    <w:rsid w:val="0C2C216E"/>
    <w:rsid w:val="0C434FF4"/>
    <w:rsid w:val="0C4D7C21"/>
    <w:rsid w:val="0C545E07"/>
    <w:rsid w:val="0C57284E"/>
    <w:rsid w:val="0C6A07D3"/>
    <w:rsid w:val="0C781676"/>
    <w:rsid w:val="0C796C68"/>
    <w:rsid w:val="0C7B29E0"/>
    <w:rsid w:val="0C83522E"/>
    <w:rsid w:val="0C8E2713"/>
    <w:rsid w:val="0C965124"/>
    <w:rsid w:val="0C9C2B88"/>
    <w:rsid w:val="0CA05FA3"/>
    <w:rsid w:val="0CAD246E"/>
    <w:rsid w:val="0CB16402"/>
    <w:rsid w:val="0CB33F28"/>
    <w:rsid w:val="0CC46135"/>
    <w:rsid w:val="0CC51EAD"/>
    <w:rsid w:val="0CCA1272"/>
    <w:rsid w:val="0CD36378"/>
    <w:rsid w:val="0CD520F0"/>
    <w:rsid w:val="0CD8573D"/>
    <w:rsid w:val="0CDD71F7"/>
    <w:rsid w:val="0CDF2F6F"/>
    <w:rsid w:val="0CE00A95"/>
    <w:rsid w:val="0CE57E5A"/>
    <w:rsid w:val="0CF07E8B"/>
    <w:rsid w:val="0CF87B8D"/>
    <w:rsid w:val="0CFD0FB1"/>
    <w:rsid w:val="0D0504FC"/>
    <w:rsid w:val="0D1F336B"/>
    <w:rsid w:val="0D215336"/>
    <w:rsid w:val="0D295F98"/>
    <w:rsid w:val="0D31541E"/>
    <w:rsid w:val="0D397896"/>
    <w:rsid w:val="0D3B3F1D"/>
    <w:rsid w:val="0D3D30EB"/>
    <w:rsid w:val="0D470B14"/>
    <w:rsid w:val="0D5A25F6"/>
    <w:rsid w:val="0D6671EC"/>
    <w:rsid w:val="0D841421"/>
    <w:rsid w:val="0D857E27"/>
    <w:rsid w:val="0D870F11"/>
    <w:rsid w:val="0D896C30"/>
    <w:rsid w:val="0D9F44AC"/>
    <w:rsid w:val="0DA90E87"/>
    <w:rsid w:val="0DB07F22"/>
    <w:rsid w:val="0DB640B9"/>
    <w:rsid w:val="0DBA12E6"/>
    <w:rsid w:val="0DC108C7"/>
    <w:rsid w:val="0DC7755F"/>
    <w:rsid w:val="0DD405FA"/>
    <w:rsid w:val="0DD95C10"/>
    <w:rsid w:val="0DDC300B"/>
    <w:rsid w:val="0DDE4FD5"/>
    <w:rsid w:val="0DEB5944"/>
    <w:rsid w:val="0DED346A"/>
    <w:rsid w:val="0DFA16E3"/>
    <w:rsid w:val="0DFC545B"/>
    <w:rsid w:val="0E0D1416"/>
    <w:rsid w:val="0E121122"/>
    <w:rsid w:val="0E2826F4"/>
    <w:rsid w:val="0E2844A2"/>
    <w:rsid w:val="0E2B3F92"/>
    <w:rsid w:val="0E320E7D"/>
    <w:rsid w:val="0E39045D"/>
    <w:rsid w:val="0E464928"/>
    <w:rsid w:val="0E490FE6"/>
    <w:rsid w:val="0E5139F9"/>
    <w:rsid w:val="0E611762"/>
    <w:rsid w:val="0E76520D"/>
    <w:rsid w:val="0E990EFC"/>
    <w:rsid w:val="0E99786C"/>
    <w:rsid w:val="0E9D4E90"/>
    <w:rsid w:val="0EA01AE1"/>
    <w:rsid w:val="0ECA4B48"/>
    <w:rsid w:val="0ED14B39"/>
    <w:rsid w:val="0EDB1768"/>
    <w:rsid w:val="0EDC7D76"/>
    <w:rsid w:val="0EEC3721"/>
    <w:rsid w:val="0EED3B7D"/>
    <w:rsid w:val="0EEF0CA6"/>
    <w:rsid w:val="0EFE3455"/>
    <w:rsid w:val="0F0847B9"/>
    <w:rsid w:val="0F0A1DF9"/>
    <w:rsid w:val="0F102B00"/>
    <w:rsid w:val="0F135152"/>
    <w:rsid w:val="0F1634F0"/>
    <w:rsid w:val="0F1669F0"/>
    <w:rsid w:val="0F1D38DB"/>
    <w:rsid w:val="0F22538D"/>
    <w:rsid w:val="0F225395"/>
    <w:rsid w:val="0F2A5FF8"/>
    <w:rsid w:val="0F2F1860"/>
    <w:rsid w:val="0F2F360E"/>
    <w:rsid w:val="0F333741"/>
    <w:rsid w:val="0F380715"/>
    <w:rsid w:val="0F3D04B7"/>
    <w:rsid w:val="0F4642CC"/>
    <w:rsid w:val="0F4E1CE6"/>
    <w:rsid w:val="0F5372FC"/>
    <w:rsid w:val="0F712210"/>
    <w:rsid w:val="0F7A0D2D"/>
    <w:rsid w:val="0F7B4AA5"/>
    <w:rsid w:val="0F84504C"/>
    <w:rsid w:val="0F8B4CE8"/>
    <w:rsid w:val="0F8D6973"/>
    <w:rsid w:val="0F8E06AE"/>
    <w:rsid w:val="0F8E6586"/>
    <w:rsid w:val="0F9D4A1B"/>
    <w:rsid w:val="0FA83AEC"/>
    <w:rsid w:val="0FA85BC5"/>
    <w:rsid w:val="0FAC2EB1"/>
    <w:rsid w:val="0FCD5301"/>
    <w:rsid w:val="0FCE72CB"/>
    <w:rsid w:val="0FD52407"/>
    <w:rsid w:val="0FD85A54"/>
    <w:rsid w:val="0FEE34C9"/>
    <w:rsid w:val="0FF31714"/>
    <w:rsid w:val="0FF7237E"/>
    <w:rsid w:val="0FF9631D"/>
    <w:rsid w:val="0FFA1E6E"/>
    <w:rsid w:val="0FFF7484"/>
    <w:rsid w:val="10066A65"/>
    <w:rsid w:val="1008458B"/>
    <w:rsid w:val="101051ED"/>
    <w:rsid w:val="10156CA8"/>
    <w:rsid w:val="102659DB"/>
    <w:rsid w:val="102956BA"/>
    <w:rsid w:val="102B64CB"/>
    <w:rsid w:val="10392996"/>
    <w:rsid w:val="103B664A"/>
    <w:rsid w:val="103C5FE2"/>
    <w:rsid w:val="103E61FE"/>
    <w:rsid w:val="104430E9"/>
    <w:rsid w:val="10463305"/>
    <w:rsid w:val="104B091B"/>
    <w:rsid w:val="10572E8C"/>
    <w:rsid w:val="105772C0"/>
    <w:rsid w:val="105C48D7"/>
    <w:rsid w:val="10611EED"/>
    <w:rsid w:val="10615A49"/>
    <w:rsid w:val="106317C1"/>
    <w:rsid w:val="10686DD7"/>
    <w:rsid w:val="106A1358"/>
    <w:rsid w:val="106B68C8"/>
    <w:rsid w:val="10797237"/>
    <w:rsid w:val="107C0AD5"/>
    <w:rsid w:val="109127D2"/>
    <w:rsid w:val="10953945"/>
    <w:rsid w:val="10961B97"/>
    <w:rsid w:val="10A84CBF"/>
    <w:rsid w:val="10AF4A06"/>
    <w:rsid w:val="10B22749"/>
    <w:rsid w:val="10CA7A92"/>
    <w:rsid w:val="10CD52E9"/>
    <w:rsid w:val="10D80401"/>
    <w:rsid w:val="10E548CC"/>
    <w:rsid w:val="10E741A0"/>
    <w:rsid w:val="10EA5A3E"/>
    <w:rsid w:val="10EC5C5A"/>
    <w:rsid w:val="10F16DCD"/>
    <w:rsid w:val="10F44B0F"/>
    <w:rsid w:val="1109680C"/>
    <w:rsid w:val="110E3E23"/>
    <w:rsid w:val="111725AC"/>
    <w:rsid w:val="11196324"/>
    <w:rsid w:val="1122342A"/>
    <w:rsid w:val="11274EE5"/>
    <w:rsid w:val="112A22DF"/>
    <w:rsid w:val="112C6057"/>
    <w:rsid w:val="11401B02"/>
    <w:rsid w:val="115630D4"/>
    <w:rsid w:val="115A0E16"/>
    <w:rsid w:val="116C6C34"/>
    <w:rsid w:val="116C6D9B"/>
    <w:rsid w:val="11731ED8"/>
    <w:rsid w:val="117A285D"/>
    <w:rsid w:val="118B5473"/>
    <w:rsid w:val="118B5DC3"/>
    <w:rsid w:val="118E6D12"/>
    <w:rsid w:val="11916802"/>
    <w:rsid w:val="11943BFC"/>
    <w:rsid w:val="1198193E"/>
    <w:rsid w:val="119D6F55"/>
    <w:rsid w:val="11A007F3"/>
    <w:rsid w:val="11A30A08"/>
    <w:rsid w:val="11A622AD"/>
    <w:rsid w:val="11A976A8"/>
    <w:rsid w:val="11B20C52"/>
    <w:rsid w:val="11B76268"/>
    <w:rsid w:val="11B85B3D"/>
    <w:rsid w:val="11BA3663"/>
    <w:rsid w:val="11C4082E"/>
    <w:rsid w:val="11D34725"/>
    <w:rsid w:val="11D90AD7"/>
    <w:rsid w:val="11E332CA"/>
    <w:rsid w:val="11EB4164"/>
    <w:rsid w:val="11F254F3"/>
    <w:rsid w:val="11F502B0"/>
    <w:rsid w:val="11F50B3F"/>
    <w:rsid w:val="11F56D91"/>
    <w:rsid w:val="11FC0C39"/>
    <w:rsid w:val="11FF376C"/>
    <w:rsid w:val="12062D4C"/>
    <w:rsid w:val="1212349F"/>
    <w:rsid w:val="121E0096"/>
    <w:rsid w:val="121F3E0E"/>
    <w:rsid w:val="121F4D1B"/>
    <w:rsid w:val="12250024"/>
    <w:rsid w:val="12296A3A"/>
    <w:rsid w:val="123478B9"/>
    <w:rsid w:val="12380A2C"/>
    <w:rsid w:val="123E4294"/>
    <w:rsid w:val="12435D4E"/>
    <w:rsid w:val="12631F4C"/>
    <w:rsid w:val="12633CFA"/>
    <w:rsid w:val="12687563"/>
    <w:rsid w:val="12696E37"/>
    <w:rsid w:val="127952CC"/>
    <w:rsid w:val="127E28E2"/>
    <w:rsid w:val="12816876"/>
    <w:rsid w:val="128E689D"/>
    <w:rsid w:val="12977E48"/>
    <w:rsid w:val="1299596E"/>
    <w:rsid w:val="129C0FBA"/>
    <w:rsid w:val="12A165D1"/>
    <w:rsid w:val="12A87D6D"/>
    <w:rsid w:val="12B409FA"/>
    <w:rsid w:val="12B427A8"/>
    <w:rsid w:val="12BF111A"/>
    <w:rsid w:val="12C0739F"/>
    <w:rsid w:val="12C20C77"/>
    <w:rsid w:val="12C66037"/>
    <w:rsid w:val="12CA5B28"/>
    <w:rsid w:val="12D76496"/>
    <w:rsid w:val="12F17558"/>
    <w:rsid w:val="12F2507E"/>
    <w:rsid w:val="12F928B1"/>
    <w:rsid w:val="13021765"/>
    <w:rsid w:val="13086650"/>
    <w:rsid w:val="13113756"/>
    <w:rsid w:val="13236B26"/>
    <w:rsid w:val="132F0080"/>
    <w:rsid w:val="13373D29"/>
    <w:rsid w:val="133D09EF"/>
    <w:rsid w:val="134C29E0"/>
    <w:rsid w:val="13581549"/>
    <w:rsid w:val="13627152"/>
    <w:rsid w:val="13641842"/>
    <w:rsid w:val="136E0BA9"/>
    <w:rsid w:val="136F4921"/>
    <w:rsid w:val="137161E0"/>
    <w:rsid w:val="13743CE5"/>
    <w:rsid w:val="137C7839"/>
    <w:rsid w:val="137D0DEC"/>
    <w:rsid w:val="13871C6A"/>
    <w:rsid w:val="13AE369B"/>
    <w:rsid w:val="13B80076"/>
    <w:rsid w:val="13BA2040"/>
    <w:rsid w:val="13BC5DB8"/>
    <w:rsid w:val="13C4759E"/>
    <w:rsid w:val="13C47604"/>
    <w:rsid w:val="13CA4FBE"/>
    <w:rsid w:val="13CC3B21"/>
    <w:rsid w:val="13D36C5E"/>
    <w:rsid w:val="13E0137B"/>
    <w:rsid w:val="13E946D3"/>
    <w:rsid w:val="13EC7D20"/>
    <w:rsid w:val="13F53078"/>
    <w:rsid w:val="13FC4407"/>
    <w:rsid w:val="13FC61B5"/>
    <w:rsid w:val="14073C92"/>
    <w:rsid w:val="14076907"/>
    <w:rsid w:val="140D6614"/>
    <w:rsid w:val="14101C60"/>
    <w:rsid w:val="141334FE"/>
    <w:rsid w:val="141352AC"/>
    <w:rsid w:val="14184FB8"/>
    <w:rsid w:val="141D25CF"/>
    <w:rsid w:val="142179C9"/>
    <w:rsid w:val="14237BE5"/>
    <w:rsid w:val="14294AD0"/>
    <w:rsid w:val="142B4CEC"/>
    <w:rsid w:val="14357918"/>
    <w:rsid w:val="14424DC6"/>
    <w:rsid w:val="14531B4D"/>
    <w:rsid w:val="145A2EDB"/>
    <w:rsid w:val="145E6E6F"/>
    <w:rsid w:val="146124BC"/>
    <w:rsid w:val="146401FE"/>
    <w:rsid w:val="1468384A"/>
    <w:rsid w:val="146855F8"/>
    <w:rsid w:val="1469645E"/>
    <w:rsid w:val="14887A48"/>
    <w:rsid w:val="1489000B"/>
    <w:rsid w:val="14891A12"/>
    <w:rsid w:val="149363ED"/>
    <w:rsid w:val="149A3C1F"/>
    <w:rsid w:val="14B338CD"/>
    <w:rsid w:val="14B7657F"/>
    <w:rsid w:val="14C36CD2"/>
    <w:rsid w:val="14D1667B"/>
    <w:rsid w:val="14DC7D94"/>
    <w:rsid w:val="14DF1B51"/>
    <w:rsid w:val="14E07884"/>
    <w:rsid w:val="14F275B8"/>
    <w:rsid w:val="14F7697C"/>
    <w:rsid w:val="14FB46BE"/>
    <w:rsid w:val="14FC3F92"/>
    <w:rsid w:val="15063063"/>
    <w:rsid w:val="150D2643"/>
    <w:rsid w:val="150D43F1"/>
    <w:rsid w:val="150F0169"/>
    <w:rsid w:val="15107A3E"/>
    <w:rsid w:val="151B08BC"/>
    <w:rsid w:val="15325C06"/>
    <w:rsid w:val="15363948"/>
    <w:rsid w:val="153674A4"/>
    <w:rsid w:val="15451DDD"/>
    <w:rsid w:val="154D47EE"/>
    <w:rsid w:val="154F4A0A"/>
    <w:rsid w:val="155344FA"/>
    <w:rsid w:val="155C3CBE"/>
    <w:rsid w:val="156404B5"/>
    <w:rsid w:val="1573694A"/>
    <w:rsid w:val="15783F61"/>
    <w:rsid w:val="157D3325"/>
    <w:rsid w:val="158C17BA"/>
    <w:rsid w:val="159266A5"/>
    <w:rsid w:val="15940DD0"/>
    <w:rsid w:val="1594152E"/>
    <w:rsid w:val="15962639"/>
    <w:rsid w:val="159B37AB"/>
    <w:rsid w:val="159E470D"/>
    <w:rsid w:val="15A563D8"/>
    <w:rsid w:val="15A765F4"/>
    <w:rsid w:val="15AB60E4"/>
    <w:rsid w:val="15AF7257"/>
    <w:rsid w:val="15B50D11"/>
    <w:rsid w:val="15BB4A22"/>
    <w:rsid w:val="15C745A0"/>
    <w:rsid w:val="15D57E51"/>
    <w:rsid w:val="15E038B4"/>
    <w:rsid w:val="15E6711C"/>
    <w:rsid w:val="15FA2BC8"/>
    <w:rsid w:val="15FA677C"/>
    <w:rsid w:val="16041350"/>
    <w:rsid w:val="160E21CF"/>
    <w:rsid w:val="161377E5"/>
    <w:rsid w:val="16161084"/>
    <w:rsid w:val="16260CA4"/>
    <w:rsid w:val="162E2871"/>
    <w:rsid w:val="163836F0"/>
    <w:rsid w:val="163A2FC4"/>
    <w:rsid w:val="163C4F8E"/>
    <w:rsid w:val="163C6D3C"/>
    <w:rsid w:val="163D4862"/>
    <w:rsid w:val="16582624"/>
    <w:rsid w:val="16585B40"/>
    <w:rsid w:val="165B7F9E"/>
    <w:rsid w:val="16612C47"/>
    <w:rsid w:val="166F47AE"/>
    <w:rsid w:val="16726C02"/>
    <w:rsid w:val="167F30CD"/>
    <w:rsid w:val="168626AD"/>
    <w:rsid w:val="168E3310"/>
    <w:rsid w:val="16915345"/>
    <w:rsid w:val="16930926"/>
    <w:rsid w:val="16A20B69"/>
    <w:rsid w:val="16A3500D"/>
    <w:rsid w:val="16B03286"/>
    <w:rsid w:val="16BC60CF"/>
    <w:rsid w:val="16BC7E7D"/>
    <w:rsid w:val="16C1371A"/>
    <w:rsid w:val="16C64858"/>
    <w:rsid w:val="16ED44DA"/>
    <w:rsid w:val="16FB4F43"/>
    <w:rsid w:val="17141A67"/>
    <w:rsid w:val="172123D6"/>
    <w:rsid w:val="17361246"/>
    <w:rsid w:val="17377504"/>
    <w:rsid w:val="1739327C"/>
    <w:rsid w:val="17435EA8"/>
    <w:rsid w:val="174A5489"/>
    <w:rsid w:val="175207E1"/>
    <w:rsid w:val="175977D3"/>
    <w:rsid w:val="175B4A52"/>
    <w:rsid w:val="175C51BC"/>
    <w:rsid w:val="17604CAC"/>
    <w:rsid w:val="176302F9"/>
    <w:rsid w:val="17821E6F"/>
    <w:rsid w:val="1782733C"/>
    <w:rsid w:val="1787048B"/>
    <w:rsid w:val="17942BA8"/>
    <w:rsid w:val="17AC02EB"/>
    <w:rsid w:val="17B15508"/>
    <w:rsid w:val="17B40B54"/>
    <w:rsid w:val="17BA0860"/>
    <w:rsid w:val="17D363F7"/>
    <w:rsid w:val="17EE02BE"/>
    <w:rsid w:val="17F81389"/>
    <w:rsid w:val="18137F71"/>
    <w:rsid w:val="181D494B"/>
    <w:rsid w:val="182B52BA"/>
    <w:rsid w:val="183425B0"/>
    <w:rsid w:val="18357EE7"/>
    <w:rsid w:val="183C74C7"/>
    <w:rsid w:val="183D3240"/>
    <w:rsid w:val="18441ED8"/>
    <w:rsid w:val="18574301"/>
    <w:rsid w:val="18597DC9"/>
    <w:rsid w:val="185D11EC"/>
    <w:rsid w:val="18622CA6"/>
    <w:rsid w:val="18624A54"/>
    <w:rsid w:val="1864257A"/>
    <w:rsid w:val="186802BC"/>
    <w:rsid w:val="18716A45"/>
    <w:rsid w:val="187529D9"/>
    <w:rsid w:val="187622AE"/>
    <w:rsid w:val="18786026"/>
    <w:rsid w:val="187F1162"/>
    <w:rsid w:val="187F3411"/>
    <w:rsid w:val="188350F6"/>
    <w:rsid w:val="18842C1C"/>
    <w:rsid w:val="18871757"/>
    <w:rsid w:val="18876269"/>
    <w:rsid w:val="18980476"/>
    <w:rsid w:val="18A1732B"/>
    <w:rsid w:val="18AE1A47"/>
    <w:rsid w:val="18C67773"/>
    <w:rsid w:val="18E81697"/>
    <w:rsid w:val="18F2402A"/>
    <w:rsid w:val="191C10A7"/>
    <w:rsid w:val="192F0DDA"/>
    <w:rsid w:val="193208CA"/>
    <w:rsid w:val="19394701"/>
    <w:rsid w:val="193B777F"/>
    <w:rsid w:val="194303E2"/>
    <w:rsid w:val="194523AC"/>
    <w:rsid w:val="19461C80"/>
    <w:rsid w:val="194859F8"/>
    <w:rsid w:val="1949053F"/>
    <w:rsid w:val="194C6281"/>
    <w:rsid w:val="19526877"/>
    <w:rsid w:val="195C14A3"/>
    <w:rsid w:val="1973708C"/>
    <w:rsid w:val="197B401F"/>
    <w:rsid w:val="197B520E"/>
    <w:rsid w:val="198033E4"/>
    <w:rsid w:val="198F7ACB"/>
    <w:rsid w:val="19A625A3"/>
    <w:rsid w:val="19B4308D"/>
    <w:rsid w:val="19CF2F48"/>
    <w:rsid w:val="19D01A27"/>
    <w:rsid w:val="19D11E91"/>
    <w:rsid w:val="19D35C0A"/>
    <w:rsid w:val="19D63948"/>
    <w:rsid w:val="19DF40F0"/>
    <w:rsid w:val="19FA779B"/>
    <w:rsid w:val="19FB2A6A"/>
    <w:rsid w:val="1A04443B"/>
    <w:rsid w:val="1A0F29BA"/>
    <w:rsid w:val="1A116732"/>
    <w:rsid w:val="1A163D48"/>
    <w:rsid w:val="1A18186E"/>
    <w:rsid w:val="1A200723"/>
    <w:rsid w:val="1A352420"/>
    <w:rsid w:val="1A3B37AF"/>
    <w:rsid w:val="1A4268EB"/>
    <w:rsid w:val="1A4563DB"/>
    <w:rsid w:val="1A473F02"/>
    <w:rsid w:val="1A516B2E"/>
    <w:rsid w:val="1A5F3E44"/>
    <w:rsid w:val="1A69031C"/>
    <w:rsid w:val="1A7A42D7"/>
    <w:rsid w:val="1A82318C"/>
    <w:rsid w:val="1A930EF5"/>
    <w:rsid w:val="1A952EBF"/>
    <w:rsid w:val="1A9D6217"/>
    <w:rsid w:val="1A9F7386"/>
    <w:rsid w:val="1AA255DC"/>
    <w:rsid w:val="1AAD645B"/>
    <w:rsid w:val="1AB71087"/>
    <w:rsid w:val="1ABC33D0"/>
    <w:rsid w:val="1ABC48F0"/>
    <w:rsid w:val="1ABD2416"/>
    <w:rsid w:val="1ABD41C4"/>
    <w:rsid w:val="1AC90DBB"/>
    <w:rsid w:val="1ACB4B33"/>
    <w:rsid w:val="1AED2CFB"/>
    <w:rsid w:val="1AFA5418"/>
    <w:rsid w:val="1AFD0A64"/>
    <w:rsid w:val="1B0B3181"/>
    <w:rsid w:val="1B1738D4"/>
    <w:rsid w:val="1B283D33"/>
    <w:rsid w:val="1B291859"/>
    <w:rsid w:val="1B2919C9"/>
    <w:rsid w:val="1B2A0D10"/>
    <w:rsid w:val="1B2A7AAB"/>
    <w:rsid w:val="1B2B55D1"/>
    <w:rsid w:val="1B3A3A66"/>
    <w:rsid w:val="1B3C158C"/>
    <w:rsid w:val="1B414DF5"/>
    <w:rsid w:val="1B4949CD"/>
    <w:rsid w:val="1B617245"/>
    <w:rsid w:val="1B6A60FA"/>
    <w:rsid w:val="1B6C00C4"/>
    <w:rsid w:val="1B7A20B5"/>
    <w:rsid w:val="1B7C7BDB"/>
    <w:rsid w:val="1B8A22F8"/>
    <w:rsid w:val="1B9E3FF5"/>
    <w:rsid w:val="1BA3785E"/>
    <w:rsid w:val="1BA84E74"/>
    <w:rsid w:val="1BAA5EC4"/>
    <w:rsid w:val="1BBA7156"/>
    <w:rsid w:val="1BC670A8"/>
    <w:rsid w:val="1BC752FA"/>
    <w:rsid w:val="1BD417C5"/>
    <w:rsid w:val="1BD47A17"/>
    <w:rsid w:val="1BD96DDB"/>
    <w:rsid w:val="1BDB0DA5"/>
    <w:rsid w:val="1BDD4B1E"/>
    <w:rsid w:val="1BDE2644"/>
    <w:rsid w:val="1BE0460E"/>
    <w:rsid w:val="1BEA548C"/>
    <w:rsid w:val="1BEE0A55"/>
    <w:rsid w:val="1BF34341"/>
    <w:rsid w:val="1BF41E67"/>
    <w:rsid w:val="1BF63E31"/>
    <w:rsid w:val="1BF83465"/>
    <w:rsid w:val="1BFA05BD"/>
    <w:rsid w:val="1C055E22"/>
    <w:rsid w:val="1C0C71B1"/>
    <w:rsid w:val="1C0D5CB5"/>
    <w:rsid w:val="1C19367C"/>
    <w:rsid w:val="1C2E5379"/>
    <w:rsid w:val="1C2F4C4D"/>
    <w:rsid w:val="1C312A90"/>
    <w:rsid w:val="1C35495A"/>
    <w:rsid w:val="1C3E30E2"/>
    <w:rsid w:val="1C44694B"/>
    <w:rsid w:val="1C485242"/>
    <w:rsid w:val="1C4E5A1B"/>
    <w:rsid w:val="1C5823F6"/>
    <w:rsid w:val="1C5A1B35"/>
    <w:rsid w:val="1C626DD1"/>
    <w:rsid w:val="1C632B49"/>
    <w:rsid w:val="1C662D65"/>
    <w:rsid w:val="1C8B27CB"/>
    <w:rsid w:val="1C8C20A0"/>
    <w:rsid w:val="1C901B90"/>
    <w:rsid w:val="1C940F54"/>
    <w:rsid w:val="1C9A2A0F"/>
    <w:rsid w:val="1C9B0535"/>
    <w:rsid w:val="1C9F6277"/>
    <w:rsid w:val="1CB05D8E"/>
    <w:rsid w:val="1CB17D58"/>
    <w:rsid w:val="1CB2219C"/>
    <w:rsid w:val="1CD83537"/>
    <w:rsid w:val="1CE41EA1"/>
    <w:rsid w:val="1CEA33EA"/>
    <w:rsid w:val="1CEE4B08"/>
    <w:rsid w:val="1CFF6D16"/>
    <w:rsid w:val="1D022362"/>
    <w:rsid w:val="1D047E88"/>
    <w:rsid w:val="1D063C00"/>
    <w:rsid w:val="1D083E1C"/>
    <w:rsid w:val="1D0B56BA"/>
    <w:rsid w:val="1D197650"/>
    <w:rsid w:val="1D37200B"/>
    <w:rsid w:val="1D3C1D18"/>
    <w:rsid w:val="1D4027FB"/>
    <w:rsid w:val="1D4604A0"/>
    <w:rsid w:val="1D4D5CD3"/>
    <w:rsid w:val="1D4F5500"/>
    <w:rsid w:val="1D542101"/>
    <w:rsid w:val="1D572BE1"/>
    <w:rsid w:val="1D6E17A5"/>
    <w:rsid w:val="1D7B2840"/>
    <w:rsid w:val="1D7C2114"/>
    <w:rsid w:val="1D8F0099"/>
    <w:rsid w:val="1D902354"/>
    <w:rsid w:val="1DA63635"/>
    <w:rsid w:val="1DAB6BCE"/>
    <w:rsid w:val="1DBA2C3C"/>
    <w:rsid w:val="1DCF4116"/>
    <w:rsid w:val="1DD618BD"/>
    <w:rsid w:val="1DD957B9"/>
    <w:rsid w:val="1DD97567"/>
    <w:rsid w:val="1DE40974"/>
    <w:rsid w:val="1DE81558"/>
    <w:rsid w:val="1DEA3522"/>
    <w:rsid w:val="1DEA52D0"/>
    <w:rsid w:val="1DED4DC0"/>
    <w:rsid w:val="1DF20628"/>
    <w:rsid w:val="1DF261E4"/>
    <w:rsid w:val="1DF443A0"/>
    <w:rsid w:val="1DF75C3F"/>
    <w:rsid w:val="1DFA7E83"/>
    <w:rsid w:val="1DFB572F"/>
    <w:rsid w:val="1DFC5003"/>
    <w:rsid w:val="1E0740D4"/>
    <w:rsid w:val="1E0A5972"/>
    <w:rsid w:val="1E0B5246"/>
    <w:rsid w:val="1E114F52"/>
    <w:rsid w:val="1E124827"/>
    <w:rsid w:val="1E162569"/>
    <w:rsid w:val="1E1C321D"/>
    <w:rsid w:val="1E1C7453"/>
    <w:rsid w:val="1E222CBC"/>
    <w:rsid w:val="1E311151"/>
    <w:rsid w:val="1E396257"/>
    <w:rsid w:val="1E4075E6"/>
    <w:rsid w:val="1E472722"/>
    <w:rsid w:val="1E4946EC"/>
    <w:rsid w:val="1E4C5F8A"/>
    <w:rsid w:val="1E560BB7"/>
    <w:rsid w:val="1E5F5CBE"/>
    <w:rsid w:val="1E661761"/>
    <w:rsid w:val="1E696B3C"/>
    <w:rsid w:val="1E6C2189"/>
    <w:rsid w:val="1E6D663A"/>
    <w:rsid w:val="1E77039E"/>
    <w:rsid w:val="1E8170BF"/>
    <w:rsid w:val="1E827BFE"/>
    <w:rsid w:val="1E8A0861"/>
    <w:rsid w:val="1E8A260F"/>
    <w:rsid w:val="1E8D375E"/>
    <w:rsid w:val="1E8E20FF"/>
    <w:rsid w:val="1E912400"/>
    <w:rsid w:val="1E9A4F48"/>
    <w:rsid w:val="1EAE454F"/>
    <w:rsid w:val="1EB37DB8"/>
    <w:rsid w:val="1EB83620"/>
    <w:rsid w:val="1EBA2EF4"/>
    <w:rsid w:val="1EC21DA9"/>
    <w:rsid w:val="1ECC70CB"/>
    <w:rsid w:val="1ED41ADC"/>
    <w:rsid w:val="1EE241F9"/>
    <w:rsid w:val="1EE77A61"/>
    <w:rsid w:val="1EFA0440"/>
    <w:rsid w:val="1F0028D1"/>
    <w:rsid w:val="1F02489B"/>
    <w:rsid w:val="1F073C5F"/>
    <w:rsid w:val="1F091FF2"/>
    <w:rsid w:val="1F0B19A2"/>
    <w:rsid w:val="1F0C322D"/>
    <w:rsid w:val="1F104283"/>
    <w:rsid w:val="1F115DA4"/>
    <w:rsid w:val="1F227FC8"/>
    <w:rsid w:val="1F240952"/>
    <w:rsid w:val="1F282554"/>
    <w:rsid w:val="1F2E38E2"/>
    <w:rsid w:val="1F301408"/>
    <w:rsid w:val="1F3233D2"/>
    <w:rsid w:val="1F325180"/>
    <w:rsid w:val="1F3F5AEF"/>
    <w:rsid w:val="1F43738D"/>
    <w:rsid w:val="1F472339"/>
    <w:rsid w:val="1F487E1A"/>
    <w:rsid w:val="1F4E188E"/>
    <w:rsid w:val="1F5C21FD"/>
    <w:rsid w:val="1F5F1CED"/>
    <w:rsid w:val="1F5F584A"/>
    <w:rsid w:val="1F6115C2"/>
    <w:rsid w:val="1F6D7F66"/>
    <w:rsid w:val="1F72557D"/>
    <w:rsid w:val="1F737B21"/>
    <w:rsid w:val="1F751511"/>
    <w:rsid w:val="1F7C6250"/>
    <w:rsid w:val="1F7D3F22"/>
    <w:rsid w:val="1F8D685B"/>
    <w:rsid w:val="1F8E612F"/>
    <w:rsid w:val="1F941997"/>
    <w:rsid w:val="1F953961"/>
    <w:rsid w:val="1F971487"/>
    <w:rsid w:val="1F9A4AD4"/>
    <w:rsid w:val="1F9D6372"/>
    <w:rsid w:val="1F9E45C4"/>
    <w:rsid w:val="1F9F1A13"/>
    <w:rsid w:val="1FAF67D1"/>
    <w:rsid w:val="1FB65DB1"/>
    <w:rsid w:val="1FBB33C8"/>
    <w:rsid w:val="1FC13108"/>
    <w:rsid w:val="1FC169AD"/>
    <w:rsid w:val="1FCF29CF"/>
    <w:rsid w:val="1FE346CD"/>
    <w:rsid w:val="1FE8583F"/>
    <w:rsid w:val="1FFC578E"/>
    <w:rsid w:val="200545EF"/>
    <w:rsid w:val="200A1C59"/>
    <w:rsid w:val="200B777F"/>
    <w:rsid w:val="200F54C2"/>
    <w:rsid w:val="201C5A4A"/>
    <w:rsid w:val="20216FA3"/>
    <w:rsid w:val="2039253E"/>
    <w:rsid w:val="20474C5B"/>
    <w:rsid w:val="20542ED4"/>
    <w:rsid w:val="2058313A"/>
    <w:rsid w:val="206155F1"/>
    <w:rsid w:val="206D12E3"/>
    <w:rsid w:val="206E043A"/>
    <w:rsid w:val="206F7D0E"/>
    <w:rsid w:val="20767191"/>
    <w:rsid w:val="207A2CDB"/>
    <w:rsid w:val="20847C5E"/>
    <w:rsid w:val="20971013"/>
    <w:rsid w:val="209B4FA7"/>
    <w:rsid w:val="20A43E5C"/>
    <w:rsid w:val="20B61DE1"/>
    <w:rsid w:val="20B6593D"/>
    <w:rsid w:val="20CE712B"/>
    <w:rsid w:val="20D766DB"/>
    <w:rsid w:val="20DD736E"/>
    <w:rsid w:val="20E029BA"/>
    <w:rsid w:val="20E406FC"/>
    <w:rsid w:val="20EF0E4F"/>
    <w:rsid w:val="20F36B91"/>
    <w:rsid w:val="20F754EC"/>
    <w:rsid w:val="20FD356C"/>
    <w:rsid w:val="21004E0A"/>
    <w:rsid w:val="210112AE"/>
    <w:rsid w:val="21026DD4"/>
    <w:rsid w:val="210448FA"/>
    <w:rsid w:val="2107263D"/>
    <w:rsid w:val="210B5C89"/>
    <w:rsid w:val="2110329F"/>
    <w:rsid w:val="211865F8"/>
    <w:rsid w:val="21294361"/>
    <w:rsid w:val="212C5BFF"/>
    <w:rsid w:val="212E1977"/>
    <w:rsid w:val="213571AA"/>
    <w:rsid w:val="21366A7E"/>
    <w:rsid w:val="213F1DD6"/>
    <w:rsid w:val="213F5933"/>
    <w:rsid w:val="21464F13"/>
    <w:rsid w:val="21472CE9"/>
    <w:rsid w:val="215C64E4"/>
    <w:rsid w:val="215F5FD5"/>
    <w:rsid w:val="21711C44"/>
    <w:rsid w:val="217A696B"/>
    <w:rsid w:val="21863561"/>
    <w:rsid w:val="2197751D"/>
    <w:rsid w:val="219A0DBB"/>
    <w:rsid w:val="219A700D"/>
    <w:rsid w:val="219F4623"/>
    <w:rsid w:val="21A0740D"/>
    <w:rsid w:val="21A165ED"/>
    <w:rsid w:val="21A36214"/>
    <w:rsid w:val="21A97250"/>
    <w:rsid w:val="21B17FE2"/>
    <w:rsid w:val="21B225A8"/>
    <w:rsid w:val="21B52099"/>
    <w:rsid w:val="21C546AF"/>
    <w:rsid w:val="21D523DE"/>
    <w:rsid w:val="21D73DBD"/>
    <w:rsid w:val="21E32762"/>
    <w:rsid w:val="21E50F2A"/>
    <w:rsid w:val="21E64000"/>
    <w:rsid w:val="21E93AF0"/>
    <w:rsid w:val="21ED538F"/>
    <w:rsid w:val="21EE1107"/>
    <w:rsid w:val="21FF50C2"/>
    <w:rsid w:val="22001566"/>
    <w:rsid w:val="22001928"/>
    <w:rsid w:val="22002BCF"/>
    <w:rsid w:val="220C2760"/>
    <w:rsid w:val="22160D89"/>
    <w:rsid w:val="221943D6"/>
    <w:rsid w:val="22250FCC"/>
    <w:rsid w:val="2228286B"/>
    <w:rsid w:val="222A213F"/>
    <w:rsid w:val="222D7E81"/>
    <w:rsid w:val="222F450C"/>
    <w:rsid w:val="22327245"/>
    <w:rsid w:val="2234120F"/>
    <w:rsid w:val="22364F87"/>
    <w:rsid w:val="223A67A6"/>
    <w:rsid w:val="22460F43"/>
    <w:rsid w:val="22475EA3"/>
    <w:rsid w:val="22590C76"/>
    <w:rsid w:val="225B2C40"/>
    <w:rsid w:val="22632F8C"/>
    <w:rsid w:val="226338A3"/>
    <w:rsid w:val="2265761B"/>
    <w:rsid w:val="226715E5"/>
    <w:rsid w:val="22717D6E"/>
    <w:rsid w:val="22745AB0"/>
    <w:rsid w:val="228850B7"/>
    <w:rsid w:val="22896455"/>
    <w:rsid w:val="228A52D3"/>
    <w:rsid w:val="228C104B"/>
    <w:rsid w:val="22965A26"/>
    <w:rsid w:val="2297354C"/>
    <w:rsid w:val="229E6566"/>
    <w:rsid w:val="229E7268"/>
    <w:rsid w:val="22A30143"/>
    <w:rsid w:val="22AA3280"/>
    <w:rsid w:val="22AA7723"/>
    <w:rsid w:val="22B02E93"/>
    <w:rsid w:val="22B365D8"/>
    <w:rsid w:val="22BD1205"/>
    <w:rsid w:val="22C32593"/>
    <w:rsid w:val="22CA3922"/>
    <w:rsid w:val="22E713D0"/>
    <w:rsid w:val="22F97D63"/>
    <w:rsid w:val="23072FE5"/>
    <w:rsid w:val="23076924"/>
    <w:rsid w:val="23081905"/>
    <w:rsid w:val="230E380E"/>
    <w:rsid w:val="231860A1"/>
    <w:rsid w:val="231A6657"/>
    <w:rsid w:val="23270D74"/>
    <w:rsid w:val="232748D0"/>
    <w:rsid w:val="232B5C53"/>
    <w:rsid w:val="232E2103"/>
    <w:rsid w:val="233139A1"/>
    <w:rsid w:val="233A4603"/>
    <w:rsid w:val="2342170A"/>
    <w:rsid w:val="23476D20"/>
    <w:rsid w:val="23492A98"/>
    <w:rsid w:val="234A4691"/>
    <w:rsid w:val="23517B9F"/>
    <w:rsid w:val="23696C97"/>
    <w:rsid w:val="23763EEC"/>
    <w:rsid w:val="23810484"/>
    <w:rsid w:val="23827D58"/>
    <w:rsid w:val="238D507B"/>
    <w:rsid w:val="2393640A"/>
    <w:rsid w:val="23952182"/>
    <w:rsid w:val="23973225"/>
    <w:rsid w:val="23A203FB"/>
    <w:rsid w:val="23A221A9"/>
    <w:rsid w:val="23A44173"/>
    <w:rsid w:val="23A61C99"/>
    <w:rsid w:val="23A83C63"/>
    <w:rsid w:val="23B00D6A"/>
    <w:rsid w:val="23B14AC1"/>
    <w:rsid w:val="23B702F0"/>
    <w:rsid w:val="23C30DB2"/>
    <w:rsid w:val="23CE11F0"/>
    <w:rsid w:val="23DA7B95"/>
    <w:rsid w:val="23E9602A"/>
    <w:rsid w:val="23FC5D5D"/>
    <w:rsid w:val="23FF584D"/>
    <w:rsid w:val="240370EB"/>
    <w:rsid w:val="240D1D18"/>
    <w:rsid w:val="2412732E"/>
    <w:rsid w:val="24172B97"/>
    <w:rsid w:val="241E3F25"/>
    <w:rsid w:val="241F1A4B"/>
    <w:rsid w:val="241F37F9"/>
    <w:rsid w:val="242A0B1C"/>
    <w:rsid w:val="242B4894"/>
    <w:rsid w:val="24392B0D"/>
    <w:rsid w:val="243A0633"/>
    <w:rsid w:val="24457704"/>
    <w:rsid w:val="244F0582"/>
    <w:rsid w:val="245416F5"/>
    <w:rsid w:val="245931AF"/>
    <w:rsid w:val="245C67FB"/>
    <w:rsid w:val="24617C97"/>
    <w:rsid w:val="24644151"/>
    <w:rsid w:val="2472601F"/>
    <w:rsid w:val="24831FDA"/>
    <w:rsid w:val="248A15BB"/>
    <w:rsid w:val="249266C1"/>
    <w:rsid w:val="249308BB"/>
    <w:rsid w:val="24A26B44"/>
    <w:rsid w:val="24A87C93"/>
    <w:rsid w:val="24B2466D"/>
    <w:rsid w:val="24B30B11"/>
    <w:rsid w:val="24B86128"/>
    <w:rsid w:val="24B959FC"/>
    <w:rsid w:val="24BE1264"/>
    <w:rsid w:val="24C06D8A"/>
    <w:rsid w:val="24CC3981"/>
    <w:rsid w:val="24CE594B"/>
    <w:rsid w:val="24D9609E"/>
    <w:rsid w:val="24DB5972"/>
    <w:rsid w:val="24E32A79"/>
    <w:rsid w:val="24EA7087"/>
    <w:rsid w:val="24ED38F7"/>
    <w:rsid w:val="24FB7246"/>
    <w:rsid w:val="2500362B"/>
    <w:rsid w:val="250273A3"/>
    <w:rsid w:val="250C32D2"/>
    <w:rsid w:val="251946ED"/>
    <w:rsid w:val="2524556B"/>
    <w:rsid w:val="25396B3D"/>
    <w:rsid w:val="25445C0D"/>
    <w:rsid w:val="25461985"/>
    <w:rsid w:val="254A31F2"/>
    <w:rsid w:val="25537BFE"/>
    <w:rsid w:val="25553977"/>
    <w:rsid w:val="25587FAA"/>
    <w:rsid w:val="25643BBA"/>
    <w:rsid w:val="25695674"/>
    <w:rsid w:val="256C6F12"/>
    <w:rsid w:val="25900E53"/>
    <w:rsid w:val="259B3353"/>
    <w:rsid w:val="25A37440"/>
    <w:rsid w:val="25A42208"/>
    <w:rsid w:val="25A91F14"/>
    <w:rsid w:val="25C64874"/>
    <w:rsid w:val="25D32D3D"/>
    <w:rsid w:val="25D56865"/>
    <w:rsid w:val="25DC5E46"/>
    <w:rsid w:val="25DD396C"/>
    <w:rsid w:val="25EC3BAF"/>
    <w:rsid w:val="25ED0053"/>
    <w:rsid w:val="25F3318F"/>
    <w:rsid w:val="25F413E1"/>
    <w:rsid w:val="25FC3DF2"/>
    <w:rsid w:val="2604539D"/>
    <w:rsid w:val="26047794"/>
    <w:rsid w:val="26086C3B"/>
    <w:rsid w:val="260E3B25"/>
    <w:rsid w:val="2610789E"/>
    <w:rsid w:val="26160CB4"/>
    <w:rsid w:val="2617492B"/>
    <w:rsid w:val="26213859"/>
    <w:rsid w:val="26235823"/>
    <w:rsid w:val="26282E39"/>
    <w:rsid w:val="262B0B7B"/>
    <w:rsid w:val="26307F40"/>
    <w:rsid w:val="26345C82"/>
    <w:rsid w:val="263537A8"/>
    <w:rsid w:val="263A1C3A"/>
    <w:rsid w:val="264F6618"/>
    <w:rsid w:val="265359DC"/>
    <w:rsid w:val="265A6D6B"/>
    <w:rsid w:val="265C0D35"/>
    <w:rsid w:val="265E7BA5"/>
    <w:rsid w:val="26681488"/>
    <w:rsid w:val="266F2816"/>
    <w:rsid w:val="2672726E"/>
    <w:rsid w:val="26793695"/>
    <w:rsid w:val="267E6EFD"/>
    <w:rsid w:val="268A58A2"/>
    <w:rsid w:val="26964247"/>
    <w:rsid w:val="26977FBF"/>
    <w:rsid w:val="269A360B"/>
    <w:rsid w:val="26AD7CED"/>
    <w:rsid w:val="26AF355A"/>
    <w:rsid w:val="26B4291F"/>
    <w:rsid w:val="26B9340C"/>
    <w:rsid w:val="26BB5A5B"/>
    <w:rsid w:val="26BE19EF"/>
    <w:rsid w:val="26CC5EBA"/>
    <w:rsid w:val="26D22DA5"/>
    <w:rsid w:val="26E66850"/>
    <w:rsid w:val="26EA6341"/>
    <w:rsid w:val="26F947D6"/>
    <w:rsid w:val="26F96584"/>
    <w:rsid w:val="26F966EB"/>
    <w:rsid w:val="27025F4B"/>
    <w:rsid w:val="27076EF2"/>
    <w:rsid w:val="270D202F"/>
    <w:rsid w:val="271C2272"/>
    <w:rsid w:val="27231EB3"/>
    <w:rsid w:val="273267B3"/>
    <w:rsid w:val="27351CB2"/>
    <w:rsid w:val="27484E85"/>
    <w:rsid w:val="2749750B"/>
    <w:rsid w:val="274F0899"/>
    <w:rsid w:val="27532138"/>
    <w:rsid w:val="275579B7"/>
    <w:rsid w:val="275A1718"/>
    <w:rsid w:val="2762237B"/>
    <w:rsid w:val="27651E6B"/>
    <w:rsid w:val="277327DA"/>
    <w:rsid w:val="27750300"/>
    <w:rsid w:val="27860B7F"/>
    <w:rsid w:val="278A3680"/>
    <w:rsid w:val="278C564A"/>
    <w:rsid w:val="27933CD9"/>
    <w:rsid w:val="27942577"/>
    <w:rsid w:val="27A11A46"/>
    <w:rsid w:val="27B0758A"/>
    <w:rsid w:val="27BB1A8B"/>
    <w:rsid w:val="27BF77CD"/>
    <w:rsid w:val="27C546B8"/>
    <w:rsid w:val="27C6290A"/>
    <w:rsid w:val="27C70430"/>
    <w:rsid w:val="27C748D4"/>
    <w:rsid w:val="27CC1D08"/>
    <w:rsid w:val="27D00F92"/>
    <w:rsid w:val="27DF1C1D"/>
    <w:rsid w:val="27E014F2"/>
    <w:rsid w:val="27F4323D"/>
    <w:rsid w:val="27F7527A"/>
    <w:rsid w:val="27FE6547"/>
    <w:rsid w:val="2803518E"/>
    <w:rsid w:val="28041684"/>
    <w:rsid w:val="28096C9A"/>
    <w:rsid w:val="2813470D"/>
    <w:rsid w:val="281713B7"/>
    <w:rsid w:val="28180C8B"/>
    <w:rsid w:val="28186EDD"/>
    <w:rsid w:val="281D44F4"/>
    <w:rsid w:val="28215D92"/>
    <w:rsid w:val="2822617A"/>
    <w:rsid w:val="282B09BF"/>
    <w:rsid w:val="28302479"/>
    <w:rsid w:val="283D6944"/>
    <w:rsid w:val="286C45FB"/>
    <w:rsid w:val="28773C04"/>
    <w:rsid w:val="28810F26"/>
    <w:rsid w:val="28845678"/>
    <w:rsid w:val="28893937"/>
    <w:rsid w:val="28A013AD"/>
    <w:rsid w:val="28B906C0"/>
    <w:rsid w:val="28B9421C"/>
    <w:rsid w:val="28C76B60"/>
    <w:rsid w:val="28CA4B7F"/>
    <w:rsid w:val="28CE2953"/>
    <w:rsid w:val="28D23530"/>
    <w:rsid w:val="28E55011"/>
    <w:rsid w:val="28F17E5A"/>
    <w:rsid w:val="28F9286B"/>
    <w:rsid w:val="28FD5E5B"/>
    <w:rsid w:val="2900009D"/>
    <w:rsid w:val="290556B4"/>
    <w:rsid w:val="290C6A42"/>
    <w:rsid w:val="29177195"/>
    <w:rsid w:val="291D29FD"/>
    <w:rsid w:val="2921742A"/>
    <w:rsid w:val="2923185C"/>
    <w:rsid w:val="29363ABF"/>
    <w:rsid w:val="2939535D"/>
    <w:rsid w:val="293D522B"/>
    <w:rsid w:val="29491A44"/>
    <w:rsid w:val="294C5091"/>
    <w:rsid w:val="294E0E09"/>
    <w:rsid w:val="294E705B"/>
    <w:rsid w:val="295201CD"/>
    <w:rsid w:val="295310F3"/>
    <w:rsid w:val="296879F1"/>
    <w:rsid w:val="29745A9F"/>
    <w:rsid w:val="29767018"/>
    <w:rsid w:val="297B5976"/>
    <w:rsid w:val="29802F8C"/>
    <w:rsid w:val="29820AB2"/>
    <w:rsid w:val="29891E41"/>
    <w:rsid w:val="299802D6"/>
    <w:rsid w:val="299A31C8"/>
    <w:rsid w:val="29AA3D41"/>
    <w:rsid w:val="29AE4114"/>
    <w:rsid w:val="29BD7D3C"/>
    <w:rsid w:val="29CA4207"/>
    <w:rsid w:val="29CC7F7F"/>
    <w:rsid w:val="29D60DFE"/>
    <w:rsid w:val="29D86924"/>
    <w:rsid w:val="29DF4157"/>
    <w:rsid w:val="29DF5F05"/>
    <w:rsid w:val="29E90B31"/>
    <w:rsid w:val="29EC0622"/>
    <w:rsid w:val="29F64FFC"/>
    <w:rsid w:val="29F86FC6"/>
    <w:rsid w:val="2A047719"/>
    <w:rsid w:val="2A0833B4"/>
    <w:rsid w:val="2A176DA0"/>
    <w:rsid w:val="2A181417"/>
    <w:rsid w:val="2A187669"/>
    <w:rsid w:val="2A1A6F3D"/>
    <w:rsid w:val="2A1E2702"/>
    <w:rsid w:val="2A281838"/>
    <w:rsid w:val="2A363B85"/>
    <w:rsid w:val="2A4468E8"/>
    <w:rsid w:val="2A4E308A"/>
    <w:rsid w:val="2A510485"/>
    <w:rsid w:val="2A587A65"/>
    <w:rsid w:val="2A612DBE"/>
    <w:rsid w:val="2A622692"/>
    <w:rsid w:val="2A685EFA"/>
    <w:rsid w:val="2A6876A8"/>
    <w:rsid w:val="2A6C52BE"/>
    <w:rsid w:val="2A7F1496"/>
    <w:rsid w:val="2A8820F8"/>
    <w:rsid w:val="2A976B6E"/>
    <w:rsid w:val="2A9860B3"/>
    <w:rsid w:val="2A9C2048"/>
    <w:rsid w:val="2AA8279A"/>
    <w:rsid w:val="2AAD7DB1"/>
    <w:rsid w:val="2AB1106E"/>
    <w:rsid w:val="2AB4710F"/>
    <w:rsid w:val="2AC11AAE"/>
    <w:rsid w:val="2AC44873"/>
    <w:rsid w:val="2ACA2711"/>
    <w:rsid w:val="2AD0584D"/>
    <w:rsid w:val="2AD417E1"/>
    <w:rsid w:val="2AD6555A"/>
    <w:rsid w:val="2ADA66CC"/>
    <w:rsid w:val="2ADE61BC"/>
    <w:rsid w:val="2AF459E0"/>
    <w:rsid w:val="2AF552B4"/>
    <w:rsid w:val="2B0025D7"/>
    <w:rsid w:val="2B013C59"/>
    <w:rsid w:val="2B033E75"/>
    <w:rsid w:val="2B0D6AA1"/>
    <w:rsid w:val="2B25408D"/>
    <w:rsid w:val="2B2C517A"/>
    <w:rsid w:val="2B2D0EF2"/>
    <w:rsid w:val="2B314DBC"/>
    <w:rsid w:val="2B33475A"/>
    <w:rsid w:val="2B367DA6"/>
    <w:rsid w:val="2B400C25"/>
    <w:rsid w:val="2B482EBD"/>
    <w:rsid w:val="2B4D5F26"/>
    <w:rsid w:val="2B522706"/>
    <w:rsid w:val="2B560448"/>
    <w:rsid w:val="2B595843"/>
    <w:rsid w:val="2B5B15BB"/>
    <w:rsid w:val="2B5E72FD"/>
    <w:rsid w:val="2B606BD1"/>
    <w:rsid w:val="2B65068C"/>
    <w:rsid w:val="2B65243A"/>
    <w:rsid w:val="2B6761B2"/>
    <w:rsid w:val="2B734DC5"/>
    <w:rsid w:val="2B735A8E"/>
    <w:rsid w:val="2B7B1A56"/>
    <w:rsid w:val="2B7B5151"/>
    <w:rsid w:val="2B7E52A9"/>
    <w:rsid w:val="2B804C92"/>
    <w:rsid w:val="2B8F74B6"/>
    <w:rsid w:val="2B960845"/>
    <w:rsid w:val="2BB60EE7"/>
    <w:rsid w:val="2BBB1CE1"/>
    <w:rsid w:val="2BCE7FDF"/>
    <w:rsid w:val="2BD22280"/>
    <w:rsid w:val="2BDA2E28"/>
    <w:rsid w:val="2BE27F2E"/>
    <w:rsid w:val="2BE710A1"/>
    <w:rsid w:val="2BE772F2"/>
    <w:rsid w:val="2BF11F1F"/>
    <w:rsid w:val="2BF35C97"/>
    <w:rsid w:val="2BF67536"/>
    <w:rsid w:val="2BF76EE4"/>
    <w:rsid w:val="2BFD2672"/>
    <w:rsid w:val="2BFD6B16"/>
    <w:rsid w:val="2C057779"/>
    <w:rsid w:val="2C0E033F"/>
    <w:rsid w:val="2C1764C2"/>
    <w:rsid w:val="2C271DE5"/>
    <w:rsid w:val="2C293467"/>
    <w:rsid w:val="2C297706"/>
    <w:rsid w:val="2C3122B9"/>
    <w:rsid w:val="2C33078A"/>
    <w:rsid w:val="2C355CA9"/>
    <w:rsid w:val="2C3A5674"/>
    <w:rsid w:val="2C4B162F"/>
    <w:rsid w:val="2C4C7E2E"/>
    <w:rsid w:val="2C4D6C15"/>
    <w:rsid w:val="2C4E7372"/>
    <w:rsid w:val="2C504E98"/>
    <w:rsid w:val="2C5A7AC4"/>
    <w:rsid w:val="2C5D75B5"/>
    <w:rsid w:val="2C611110"/>
    <w:rsid w:val="2C6B4037"/>
    <w:rsid w:val="2C6D3C9C"/>
    <w:rsid w:val="2C6D55CB"/>
    <w:rsid w:val="2C6E17C2"/>
    <w:rsid w:val="2C752B50"/>
    <w:rsid w:val="2C762092"/>
    <w:rsid w:val="2C864D5D"/>
    <w:rsid w:val="2C884632"/>
    <w:rsid w:val="2C92725E"/>
    <w:rsid w:val="2C9F197B"/>
    <w:rsid w:val="2CAA34BC"/>
    <w:rsid w:val="2CAF6062"/>
    <w:rsid w:val="2CB01DDA"/>
    <w:rsid w:val="2CB262C6"/>
    <w:rsid w:val="2CB43679"/>
    <w:rsid w:val="2CCE400E"/>
    <w:rsid w:val="2CE028C6"/>
    <w:rsid w:val="2CE314EB"/>
    <w:rsid w:val="2CF00429"/>
    <w:rsid w:val="2CF55A3F"/>
    <w:rsid w:val="2D012636"/>
    <w:rsid w:val="2D0A773C"/>
    <w:rsid w:val="2D0B7011"/>
    <w:rsid w:val="2D1060E5"/>
    <w:rsid w:val="2D1144F2"/>
    <w:rsid w:val="2D1934DC"/>
    <w:rsid w:val="2D216834"/>
    <w:rsid w:val="2D26209C"/>
    <w:rsid w:val="2D265FD0"/>
    <w:rsid w:val="2D3622E0"/>
    <w:rsid w:val="2D3E73E6"/>
    <w:rsid w:val="2D4A18E7"/>
    <w:rsid w:val="2D4F33A1"/>
    <w:rsid w:val="2D5717A7"/>
    <w:rsid w:val="2D5B7F98"/>
    <w:rsid w:val="2D5E5392"/>
    <w:rsid w:val="2D5E5B3B"/>
    <w:rsid w:val="2D630BFB"/>
    <w:rsid w:val="2D742E08"/>
    <w:rsid w:val="2D7470F9"/>
    <w:rsid w:val="2D8017AD"/>
    <w:rsid w:val="2D825525"/>
    <w:rsid w:val="2D870D8D"/>
    <w:rsid w:val="2D9139BA"/>
    <w:rsid w:val="2D920C67"/>
    <w:rsid w:val="2D945258"/>
    <w:rsid w:val="2DB43204"/>
    <w:rsid w:val="2DB44560"/>
    <w:rsid w:val="2DBE4083"/>
    <w:rsid w:val="2DC01BA9"/>
    <w:rsid w:val="2DF45CF7"/>
    <w:rsid w:val="2DF53F49"/>
    <w:rsid w:val="2DFD104F"/>
    <w:rsid w:val="2E026666"/>
    <w:rsid w:val="2E04418C"/>
    <w:rsid w:val="2E0E0B66"/>
    <w:rsid w:val="2E1343CF"/>
    <w:rsid w:val="2E1F0FC6"/>
    <w:rsid w:val="2E271C28"/>
    <w:rsid w:val="2E277E7A"/>
    <w:rsid w:val="2E381381"/>
    <w:rsid w:val="2E383E35"/>
    <w:rsid w:val="2E385BE3"/>
    <w:rsid w:val="2E3C1B78"/>
    <w:rsid w:val="2E3D3BC8"/>
    <w:rsid w:val="2E3F3DC3"/>
    <w:rsid w:val="2E405253"/>
    <w:rsid w:val="2E474078"/>
    <w:rsid w:val="2E514EF7"/>
    <w:rsid w:val="2E5549E7"/>
    <w:rsid w:val="2E5C5D76"/>
    <w:rsid w:val="2E5F2A84"/>
    <w:rsid w:val="2E6469D8"/>
    <w:rsid w:val="2E6E5AA9"/>
    <w:rsid w:val="2E734E6D"/>
    <w:rsid w:val="2E7806D6"/>
    <w:rsid w:val="2E786928"/>
    <w:rsid w:val="2E8B77F8"/>
    <w:rsid w:val="2E8F0D4A"/>
    <w:rsid w:val="2E9574DA"/>
    <w:rsid w:val="2E960B5C"/>
    <w:rsid w:val="2E9848D4"/>
    <w:rsid w:val="2EA65243"/>
    <w:rsid w:val="2EB322DB"/>
    <w:rsid w:val="2EB72FAC"/>
    <w:rsid w:val="2EBF4557"/>
    <w:rsid w:val="2EC1207D"/>
    <w:rsid w:val="2EC47989"/>
    <w:rsid w:val="2EC67693"/>
    <w:rsid w:val="2EC8340B"/>
    <w:rsid w:val="2ECD6C74"/>
    <w:rsid w:val="2ED10AFD"/>
    <w:rsid w:val="2ED173BC"/>
    <w:rsid w:val="2ED55B28"/>
    <w:rsid w:val="2EDD678B"/>
    <w:rsid w:val="2EF064BE"/>
    <w:rsid w:val="2EFA10EB"/>
    <w:rsid w:val="2F097580"/>
    <w:rsid w:val="2F0B154A"/>
    <w:rsid w:val="2F2B0540"/>
    <w:rsid w:val="2F2B399A"/>
    <w:rsid w:val="2F300FB0"/>
    <w:rsid w:val="2F364819"/>
    <w:rsid w:val="2F391C13"/>
    <w:rsid w:val="2F462582"/>
    <w:rsid w:val="2F4F1437"/>
    <w:rsid w:val="2F5702EB"/>
    <w:rsid w:val="2F5C3B54"/>
    <w:rsid w:val="2F7013AD"/>
    <w:rsid w:val="2F725125"/>
    <w:rsid w:val="2F7862E5"/>
    <w:rsid w:val="2F794705"/>
    <w:rsid w:val="2FB15C0F"/>
    <w:rsid w:val="2FB67708"/>
    <w:rsid w:val="2FBC62A5"/>
    <w:rsid w:val="2FBE480E"/>
    <w:rsid w:val="2FC02334"/>
    <w:rsid w:val="2FC71915"/>
    <w:rsid w:val="2FCA31B3"/>
    <w:rsid w:val="2FD162F0"/>
    <w:rsid w:val="2FD61B58"/>
    <w:rsid w:val="2FD7142C"/>
    <w:rsid w:val="2FD951A4"/>
    <w:rsid w:val="2FE222AB"/>
    <w:rsid w:val="2FE9188B"/>
    <w:rsid w:val="2FEA5603"/>
    <w:rsid w:val="2FEE50F3"/>
    <w:rsid w:val="2FEE6EA1"/>
    <w:rsid w:val="2FF3536E"/>
    <w:rsid w:val="300761B5"/>
    <w:rsid w:val="3025663B"/>
    <w:rsid w:val="302C5C1C"/>
    <w:rsid w:val="302D7D87"/>
    <w:rsid w:val="302E2703"/>
    <w:rsid w:val="3037780B"/>
    <w:rsid w:val="30424B3B"/>
    <w:rsid w:val="3062163D"/>
    <w:rsid w:val="30640F12"/>
    <w:rsid w:val="3071362F"/>
    <w:rsid w:val="30731155"/>
    <w:rsid w:val="307C0AB8"/>
    <w:rsid w:val="307F73DA"/>
    <w:rsid w:val="308275EA"/>
    <w:rsid w:val="30874C00"/>
    <w:rsid w:val="30890978"/>
    <w:rsid w:val="308E2433"/>
    <w:rsid w:val="30901D07"/>
    <w:rsid w:val="30907771"/>
    <w:rsid w:val="3095556F"/>
    <w:rsid w:val="309E0C66"/>
    <w:rsid w:val="30AA1EBC"/>
    <w:rsid w:val="30BA4FD6"/>
    <w:rsid w:val="30BC0D4E"/>
    <w:rsid w:val="30BD0622"/>
    <w:rsid w:val="30C419B0"/>
    <w:rsid w:val="30CD2F5B"/>
    <w:rsid w:val="30D05D96"/>
    <w:rsid w:val="30D2151E"/>
    <w:rsid w:val="30D51E0F"/>
    <w:rsid w:val="30D77936"/>
    <w:rsid w:val="30E738F1"/>
    <w:rsid w:val="30EE1123"/>
    <w:rsid w:val="30F1651D"/>
    <w:rsid w:val="30F73B34"/>
    <w:rsid w:val="30FA1876"/>
    <w:rsid w:val="31093867"/>
    <w:rsid w:val="310A38A1"/>
    <w:rsid w:val="312D1C4B"/>
    <w:rsid w:val="312D39F9"/>
    <w:rsid w:val="3140533A"/>
    <w:rsid w:val="314174A5"/>
    <w:rsid w:val="31456F95"/>
    <w:rsid w:val="315076E8"/>
    <w:rsid w:val="31520047"/>
    <w:rsid w:val="31576CC8"/>
    <w:rsid w:val="315C42DF"/>
    <w:rsid w:val="3161109D"/>
    <w:rsid w:val="31660CB9"/>
    <w:rsid w:val="316E7B6E"/>
    <w:rsid w:val="31723B02"/>
    <w:rsid w:val="318002C1"/>
    <w:rsid w:val="31857392"/>
    <w:rsid w:val="31905D36"/>
    <w:rsid w:val="3198627F"/>
    <w:rsid w:val="31A17F44"/>
    <w:rsid w:val="31A31F0E"/>
    <w:rsid w:val="31A67308"/>
    <w:rsid w:val="31AA6DF8"/>
    <w:rsid w:val="31B71515"/>
    <w:rsid w:val="31C53C32"/>
    <w:rsid w:val="31CA113F"/>
    <w:rsid w:val="31CA56EC"/>
    <w:rsid w:val="31CE34E0"/>
    <w:rsid w:val="31E0281A"/>
    <w:rsid w:val="31E11635"/>
    <w:rsid w:val="31E16592"/>
    <w:rsid w:val="31E247E4"/>
    <w:rsid w:val="31E92154"/>
    <w:rsid w:val="31EA5447"/>
    <w:rsid w:val="31EC5663"/>
    <w:rsid w:val="31EC5EE1"/>
    <w:rsid w:val="31F46669"/>
    <w:rsid w:val="31FB7654"/>
    <w:rsid w:val="31FE5396"/>
    <w:rsid w:val="320C360F"/>
    <w:rsid w:val="3212499D"/>
    <w:rsid w:val="322272D6"/>
    <w:rsid w:val="322E7A29"/>
    <w:rsid w:val="323E5792"/>
    <w:rsid w:val="32430FFB"/>
    <w:rsid w:val="324616E0"/>
    <w:rsid w:val="324E1E79"/>
    <w:rsid w:val="32572665"/>
    <w:rsid w:val="325B4596"/>
    <w:rsid w:val="326351F9"/>
    <w:rsid w:val="3268280F"/>
    <w:rsid w:val="327A0EC0"/>
    <w:rsid w:val="32805DAB"/>
    <w:rsid w:val="32892EB1"/>
    <w:rsid w:val="328C29A2"/>
    <w:rsid w:val="32AC3044"/>
    <w:rsid w:val="32B048E2"/>
    <w:rsid w:val="32C51A10"/>
    <w:rsid w:val="32C739DA"/>
    <w:rsid w:val="32CC2D9E"/>
    <w:rsid w:val="32CE2FBA"/>
    <w:rsid w:val="32D04A0E"/>
    <w:rsid w:val="32D06D32"/>
    <w:rsid w:val="32D33A39"/>
    <w:rsid w:val="32D61E6F"/>
    <w:rsid w:val="32D63C1D"/>
    <w:rsid w:val="32E41DED"/>
    <w:rsid w:val="32EE0F67"/>
    <w:rsid w:val="32F12805"/>
    <w:rsid w:val="32F3657D"/>
    <w:rsid w:val="32FC7B27"/>
    <w:rsid w:val="32FD11AA"/>
    <w:rsid w:val="32FE389F"/>
    <w:rsid w:val="330A3B0F"/>
    <w:rsid w:val="330B428C"/>
    <w:rsid w:val="33162750"/>
    <w:rsid w:val="331C1F78"/>
    <w:rsid w:val="331D184C"/>
    <w:rsid w:val="33274478"/>
    <w:rsid w:val="332826CA"/>
    <w:rsid w:val="332901F1"/>
    <w:rsid w:val="33371696"/>
    <w:rsid w:val="33380434"/>
    <w:rsid w:val="33386686"/>
    <w:rsid w:val="333A23FE"/>
    <w:rsid w:val="33407ADC"/>
    <w:rsid w:val="33435756"/>
    <w:rsid w:val="3353631D"/>
    <w:rsid w:val="33576B0C"/>
    <w:rsid w:val="336B25B7"/>
    <w:rsid w:val="336B6A5B"/>
    <w:rsid w:val="336E3E55"/>
    <w:rsid w:val="336F02F9"/>
    <w:rsid w:val="337376BE"/>
    <w:rsid w:val="337A0A4C"/>
    <w:rsid w:val="33802506"/>
    <w:rsid w:val="33811DDB"/>
    <w:rsid w:val="338E7DF8"/>
    <w:rsid w:val="33900270"/>
    <w:rsid w:val="3392223A"/>
    <w:rsid w:val="33A00474"/>
    <w:rsid w:val="33A309C5"/>
    <w:rsid w:val="33A361F5"/>
    <w:rsid w:val="33A44E48"/>
    <w:rsid w:val="33A855B9"/>
    <w:rsid w:val="33AD497E"/>
    <w:rsid w:val="33B26438"/>
    <w:rsid w:val="33BC1065"/>
    <w:rsid w:val="33D22636"/>
    <w:rsid w:val="33D95773"/>
    <w:rsid w:val="33D97E69"/>
    <w:rsid w:val="33E12879"/>
    <w:rsid w:val="33F97BC3"/>
    <w:rsid w:val="33FD3B57"/>
    <w:rsid w:val="34052A0C"/>
    <w:rsid w:val="340A1DD0"/>
    <w:rsid w:val="34296EAD"/>
    <w:rsid w:val="342A06C4"/>
    <w:rsid w:val="343155AF"/>
    <w:rsid w:val="34321327"/>
    <w:rsid w:val="34351D28"/>
    <w:rsid w:val="34374FCF"/>
    <w:rsid w:val="34474DD2"/>
    <w:rsid w:val="344C4197"/>
    <w:rsid w:val="34515C51"/>
    <w:rsid w:val="34533777"/>
    <w:rsid w:val="345D5DF6"/>
    <w:rsid w:val="346C2A8B"/>
    <w:rsid w:val="34722831"/>
    <w:rsid w:val="347528E2"/>
    <w:rsid w:val="347E456C"/>
    <w:rsid w:val="34831B82"/>
    <w:rsid w:val="348A1D66"/>
    <w:rsid w:val="348C6C89"/>
    <w:rsid w:val="348E0C53"/>
    <w:rsid w:val="34943D90"/>
    <w:rsid w:val="34993154"/>
    <w:rsid w:val="349E076A"/>
    <w:rsid w:val="34A02734"/>
    <w:rsid w:val="34B54432"/>
    <w:rsid w:val="34B8182C"/>
    <w:rsid w:val="34BF0E0C"/>
    <w:rsid w:val="34CC52D7"/>
    <w:rsid w:val="34D348B8"/>
    <w:rsid w:val="34DF325D"/>
    <w:rsid w:val="34E24AFB"/>
    <w:rsid w:val="34F75D34"/>
    <w:rsid w:val="3502519D"/>
    <w:rsid w:val="350C7DCA"/>
    <w:rsid w:val="3518676F"/>
    <w:rsid w:val="351C000D"/>
    <w:rsid w:val="35286008"/>
    <w:rsid w:val="352C6531"/>
    <w:rsid w:val="352E5F92"/>
    <w:rsid w:val="353115DE"/>
    <w:rsid w:val="35325A82"/>
    <w:rsid w:val="35431A3E"/>
    <w:rsid w:val="35496928"/>
    <w:rsid w:val="354B08F2"/>
    <w:rsid w:val="354E3242"/>
    <w:rsid w:val="35563D07"/>
    <w:rsid w:val="355A4DC1"/>
    <w:rsid w:val="355E6877"/>
    <w:rsid w:val="35632B01"/>
    <w:rsid w:val="35633E8E"/>
    <w:rsid w:val="35690D78"/>
    <w:rsid w:val="3569521C"/>
    <w:rsid w:val="3579545F"/>
    <w:rsid w:val="357B225F"/>
    <w:rsid w:val="357D65D2"/>
    <w:rsid w:val="357E0CC8"/>
    <w:rsid w:val="358B7C19"/>
    <w:rsid w:val="359F0C3E"/>
    <w:rsid w:val="35A34E37"/>
    <w:rsid w:val="35A61FCC"/>
    <w:rsid w:val="35A63D7A"/>
    <w:rsid w:val="35B069A7"/>
    <w:rsid w:val="35B33080"/>
    <w:rsid w:val="35BD0548"/>
    <w:rsid w:val="35BE7316"/>
    <w:rsid w:val="35C506A4"/>
    <w:rsid w:val="35C81F43"/>
    <w:rsid w:val="35D46B3A"/>
    <w:rsid w:val="35D52E6A"/>
    <w:rsid w:val="35D5640E"/>
    <w:rsid w:val="35DE565D"/>
    <w:rsid w:val="35E14EF6"/>
    <w:rsid w:val="35EF74CF"/>
    <w:rsid w:val="35F03248"/>
    <w:rsid w:val="35F42D38"/>
    <w:rsid w:val="35F83DBA"/>
    <w:rsid w:val="35FA5E74"/>
    <w:rsid w:val="360016CD"/>
    <w:rsid w:val="360311CD"/>
    <w:rsid w:val="360D5BA8"/>
    <w:rsid w:val="36150687"/>
    <w:rsid w:val="362C0724"/>
    <w:rsid w:val="362D0E30"/>
    <w:rsid w:val="36323860"/>
    <w:rsid w:val="36370E76"/>
    <w:rsid w:val="363A71EF"/>
    <w:rsid w:val="364D41F6"/>
    <w:rsid w:val="365B7EC0"/>
    <w:rsid w:val="36625EF3"/>
    <w:rsid w:val="36681030"/>
    <w:rsid w:val="3676374D"/>
    <w:rsid w:val="367B0D63"/>
    <w:rsid w:val="368340BC"/>
    <w:rsid w:val="36853990"/>
    <w:rsid w:val="368A544A"/>
    <w:rsid w:val="368A71F8"/>
    <w:rsid w:val="36910587"/>
    <w:rsid w:val="369462C9"/>
    <w:rsid w:val="3699743B"/>
    <w:rsid w:val="369B1405"/>
    <w:rsid w:val="369E4A52"/>
    <w:rsid w:val="36AC716F"/>
    <w:rsid w:val="36B85B13"/>
    <w:rsid w:val="36C4095C"/>
    <w:rsid w:val="36C721FA"/>
    <w:rsid w:val="36CC7811"/>
    <w:rsid w:val="36CE2DB3"/>
    <w:rsid w:val="36D641EB"/>
    <w:rsid w:val="36F32FEF"/>
    <w:rsid w:val="36FA437E"/>
    <w:rsid w:val="37023232"/>
    <w:rsid w:val="37031712"/>
    <w:rsid w:val="37060F75"/>
    <w:rsid w:val="37135440"/>
    <w:rsid w:val="37146B1C"/>
    <w:rsid w:val="371B42F4"/>
    <w:rsid w:val="371D006C"/>
    <w:rsid w:val="372D232C"/>
    <w:rsid w:val="37335AE2"/>
    <w:rsid w:val="373A6E70"/>
    <w:rsid w:val="37405B09"/>
    <w:rsid w:val="374E0226"/>
    <w:rsid w:val="374E46CA"/>
    <w:rsid w:val="375A4E1C"/>
    <w:rsid w:val="376143FD"/>
    <w:rsid w:val="3767221E"/>
    <w:rsid w:val="37702892"/>
    <w:rsid w:val="37714080"/>
    <w:rsid w:val="3772660A"/>
    <w:rsid w:val="37737C8C"/>
    <w:rsid w:val="377F2AD5"/>
    <w:rsid w:val="37841E99"/>
    <w:rsid w:val="3787198A"/>
    <w:rsid w:val="379426EC"/>
    <w:rsid w:val="37982A83"/>
    <w:rsid w:val="379876F3"/>
    <w:rsid w:val="379F0A81"/>
    <w:rsid w:val="37AE6F16"/>
    <w:rsid w:val="37B01EA4"/>
    <w:rsid w:val="37B3452D"/>
    <w:rsid w:val="37BF1123"/>
    <w:rsid w:val="37C3625C"/>
    <w:rsid w:val="37C87FD8"/>
    <w:rsid w:val="37CA561C"/>
    <w:rsid w:val="37D56B99"/>
    <w:rsid w:val="37D7504F"/>
    <w:rsid w:val="37E64902"/>
    <w:rsid w:val="37E666B0"/>
    <w:rsid w:val="37F232A7"/>
    <w:rsid w:val="37FE39FA"/>
    <w:rsid w:val="38064FA4"/>
    <w:rsid w:val="380A4A95"/>
    <w:rsid w:val="380B6117"/>
    <w:rsid w:val="381F1BC2"/>
    <w:rsid w:val="3821593A"/>
    <w:rsid w:val="382673F4"/>
    <w:rsid w:val="384358B1"/>
    <w:rsid w:val="38477E80"/>
    <w:rsid w:val="3848736B"/>
    <w:rsid w:val="38547A46"/>
    <w:rsid w:val="38606463"/>
    <w:rsid w:val="38637D01"/>
    <w:rsid w:val="386F2B4A"/>
    <w:rsid w:val="386F48F8"/>
    <w:rsid w:val="386F66A6"/>
    <w:rsid w:val="38795776"/>
    <w:rsid w:val="38797524"/>
    <w:rsid w:val="388008B3"/>
    <w:rsid w:val="3881462B"/>
    <w:rsid w:val="388C36FB"/>
    <w:rsid w:val="388D1222"/>
    <w:rsid w:val="38975BFC"/>
    <w:rsid w:val="38AC5B4C"/>
    <w:rsid w:val="38AD3105"/>
    <w:rsid w:val="38B4055C"/>
    <w:rsid w:val="38C033A5"/>
    <w:rsid w:val="38C22C79"/>
    <w:rsid w:val="38C8225A"/>
    <w:rsid w:val="38D96215"/>
    <w:rsid w:val="38DF1EBC"/>
    <w:rsid w:val="38DF7CCF"/>
    <w:rsid w:val="38E250CA"/>
    <w:rsid w:val="38E47094"/>
    <w:rsid w:val="38E70932"/>
    <w:rsid w:val="38EA0422"/>
    <w:rsid w:val="38EA6674"/>
    <w:rsid w:val="38F17A02"/>
    <w:rsid w:val="38F35173"/>
    <w:rsid w:val="38F60B75"/>
    <w:rsid w:val="38F8063F"/>
    <w:rsid w:val="38FF67FB"/>
    <w:rsid w:val="390A2872"/>
    <w:rsid w:val="390C65EA"/>
    <w:rsid w:val="390E2362"/>
    <w:rsid w:val="3911775D"/>
    <w:rsid w:val="391B15A6"/>
    <w:rsid w:val="39234F84"/>
    <w:rsid w:val="39273424"/>
    <w:rsid w:val="392E030F"/>
    <w:rsid w:val="392F4087"/>
    <w:rsid w:val="3930052B"/>
    <w:rsid w:val="39305703"/>
    <w:rsid w:val="393618B9"/>
    <w:rsid w:val="393D67A4"/>
    <w:rsid w:val="3942200C"/>
    <w:rsid w:val="39445032"/>
    <w:rsid w:val="394E275F"/>
    <w:rsid w:val="39650654"/>
    <w:rsid w:val="39693A3D"/>
    <w:rsid w:val="39737051"/>
    <w:rsid w:val="397A3554"/>
    <w:rsid w:val="397D3044"/>
    <w:rsid w:val="398B750F"/>
    <w:rsid w:val="398E0DAD"/>
    <w:rsid w:val="3991089E"/>
    <w:rsid w:val="3995213C"/>
    <w:rsid w:val="39981C2C"/>
    <w:rsid w:val="399F2FBB"/>
    <w:rsid w:val="39A405D1"/>
    <w:rsid w:val="39AC56D7"/>
    <w:rsid w:val="39B12CEE"/>
    <w:rsid w:val="39B65203"/>
    <w:rsid w:val="39B76556"/>
    <w:rsid w:val="39BC1C49"/>
    <w:rsid w:val="39C649EB"/>
    <w:rsid w:val="39C66799"/>
    <w:rsid w:val="39CE1E5B"/>
    <w:rsid w:val="39D4535A"/>
    <w:rsid w:val="39D8471E"/>
    <w:rsid w:val="39DA4199"/>
    <w:rsid w:val="39DA66B4"/>
    <w:rsid w:val="39DC420F"/>
    <w:rsid w:val="39E3559D"/>
    <w:rsid w:val="39E55A1A"/>
    <w:rsid w:val="39E92488"/>
    <w:rsid w:val="39F33306"/>
    <w:rsid w:val="39F41558"/>
    <w:rsid w:val="39F82064"/>
    <w:rsid w:val="39FB720A"/>
    <w:rsid w:val="39FC21BB"/>
    <w:rsid w:val="3A1478AA"/>
    <w:rsid w:val="3A192D6D"/>
    <w:rsid w:val="3A257964"/>
    <w:rsid w:val="3A3312D0"/>
    <w:rsid w:val="3A331955"/>
    <w:rsid w:val="3A371445"/>
    <w:rsid w:val="3A43428E"/>
    <w:rsid w:val="3A4837A7"/>
    <w:rsid w:val="3A4914A3"/>
    <w:rsid w:val="3A4B228D"/>
    <w:rsid w:val="3A4B3142"/>
    <w:rsid w:val="3A4D6EBA"/>
    <w:rsid w:val="3A502507"/>
    <w:rsid w:val="3A5162F8"/>
    <w:rsid w:val="3A654204"/>
    <w:rsid w:val="3A7A7584"/>
    <w:rsid w:val="3A824DB6"/>
    <w:rsid w:val="3A995C5C"/>
    <w:rsid w:val="3AA34D2C"/>
    <w:rsid w:val="3AB605BC"/>
    <w:rsid w:val="3AB64A60"/>
    <w:rsid w:val="3ABB02C8"/>
    <w:rsid w:val="3ACF78CF"/>
    <w:rsid w:val="3AE0388B"/>
    <w:rsid w:val="3AEF3ACE"/>
    <w:rsid w:val="3AF13CEA"/>
    <w:rsid w:val="3AF410E4"/>
    <w:rsid w:val="3B070E17"/>
    <w:rsid w:val="3B0A6C0E"/>
    <w:rsid w:val="3B0F23C2"/>
    <w:rsid w:val="3B1F4044"/>
    <w:rsid w:val="3B20012B"/>
    <w:rsid w:val="3B2F65C0"/>
    <w:rsid w:val="3B304812"/>
    <w:rsid w:val="3B3B6D13"/>
    <w:rsid w:val="3B491430"/>
    <w:rsid w:val="3B5322AF"/>
    <w:rsid w:val="3B567FF1"/>
    <w:rsid w:val="3B5879B5"/>
    <w:rsid w:val="3B5D4EDB"/>
    <w:rsid w:val="3B5F50F7"/>
    <w:rsid w:val="3B604C5A"/>
    <w:rsid w:val="3B651FE2"/>
    <w:rsid w:val="3B6B584A"/>
    <w:rsid w:val="3B6C15C2"/>
    <w:rsid w:val="3B842468"/>
    <w:rsid w:val="3B871F58"/>
    <w:rsid w:val="3BA23236"/>
    <w:rsid w:val="3BA32EBA"/>
    <w:rsid w:val="3BB4653A"/>
    <w:rsid w:val="3BB865B6"/>
    <w:rsid w:val="3BBF7944"/>
    <w:rsid w:val="3BCB0097"/>
    <w:rsid w:val="3BD258C9"/>
    <w:rsid w:val="3BDF7FE6"/>
    <w:rsid w:val="3BEB24E7"/>
    <w:rsid w:val="3BEE0229"/>
    <w:rsid w:val="3BF03FA1"/>
    <w:rsid w:val="3BF10DE2"/>
    <w:rsid w:val="3BF27D19"/>
    <w:rsid w:val="3BF515B8"/>
    <w:rsid w:val="3BF53366"/>
    <w:rsid w:val="3BFA4E20"/>
    <w:rsid w:val="3C02537B"/>
    <w:rsid w:val="3C157564"/>
    <w:rsid w:val="3C1A7270"/>
    <w:rsid w:val="3C1D522E"/>
    <w:rsid w:val="3C2679C3"/>
    <w:rsid w:val="3C277297"/>
    <w:rsid w:val="3C29300F"/>
    <w:rsid w:val="3C3E01CB"/>
    <w:rsid w:val="3C432323"/>
    <w:rsid w:val="3C4542ED"/>
    <w:rsid w:val="3C526A0A"/>
    <w:rsid w:val="3C5E53AF"/>
    <w:rsid w:val="3C5F3DF0"/>
    <w:rsid w:val="3C601127"/>
    <w:rsid w:val="3C65673D"/>
    <w:rsid w:val="3C6B7ACC"/>
    <w:rsid w:val="3C6D114E"/>
    <w:rsid w:val="3C6E4D87"/>
    <w:rsid w:val="3C7050E2"/>
    <w:rsid w:val="3C7E77FF"/>
    <w:rsid w:val="3C8D17F0"/>
    <w:rsid w:val="3C97441D"/>
    <w:rsid w:val="3C9A5EEE"/>
    <w:rsid w:val="3C9F32D2"/>
    <w:rsid w:val="3CA37266"/>
    <w:rsid w:val="3CA408E8"/>
    <w:rsid w:val="3CAE0AD9"/>
    <w:rsid w:val="3CB61DED"/>
    <w:rsid w:val="3CB7686D"/>
    <w:rsid w:val="3CB914B2"/>
    <w:rsid w:val="3CB925E5"/>
    <w:rsid w:val="3CBA010B"/>
    <w:rsid w:val="3CBE0C38"/>
    <w:rsid w:val="3CC03974"/>
    <w:rsid w:val="3CC10251"/>
    <w:rsid w:val="3CC35237"/>
    <w:rsid w:val="3CCA034E"/>
    <w:rsid w:val="3CCD2CF9"/>
    <w:rsid w:val="3CCF3BB7"/>
    <w:rsid w:val="3CDB50AA"/>
    <w:rsid w:val="3CDC1FC3"/>
    <w:rsid w:val="3CE5162C"/>
    <w:rsid w:val="3CEB6517"/>
    <w:rsid w:val="3CF60435"/>
    <w:rsid w:val="3CF63839"/>
    <w:rsid w:val="3CF87C80"/>
    <w:rsid w:val="3CFB34F3"/>
    <w:rsid w:val="3CFD4BC8"/>
    <w:rsid w:val="3D033860"/>
    <w:rsid w:val="3D033FB9"/>
    <w:rsid w:val="3D073351"/>
    <w:rsid w:val="3D1C4922"/>
    <w:rsid w:val="3D281519"/>
    <w:rsid w:val="3D29758D"/>
    <w:rsid w:val="3D332398"/>
    <w:rsid w:val="3D4445A5"/>
    <w:rsid w:val="3D4C00E4"/>
    <w:rsid w:val="3D4F2F4A"/>
    <w:rsid w:val="3D634CE0"/>
    <w:rsid w:val="3D6469F5"/>
    <w:rsid w:val="3D6D4830"/>
    <w:rsid w:val="3D711112"/>
    <w:rsid w:val="3D7A7FC6"/>
    <w:rsid w:val="3D826E7B"/>
    <w:rsid w:val="3D864BBD"/>
    <w:rsid w:val="3D9646D4"/>
    <w:rsid w:val="3D9D3CB5"/>
    <w:rsid w:val="3D9D5A63"/>
    <w:rsid w:val="3D9F17DB"/>
    <w:rsid w:val="3DA07301"/>
    <w:rsid w:val="3DA167F8"/>
    <w:rsid w:val="3DA94A83"/>
    <w:rsid w:val="3DAE5EC2"/>
    <w:rsid w:val="3DAF29D3"/>
    <w:rsid w:val="3DB35286"/>
    <w:rsid w:val="3DBC05DF"/>
    <w:rsid w:val="3DBD4357"/>
    <w:rsid w:val="3DCA425B"/>
    <w:rsid w:val="3DD1570D"/>
    <w:rsid w:val="3DD27E02"/>
    <w:rsid w:val="3DD408C3"/>
    <w:rsid w:val="3DD86A9B"/>
    <w:rsid w:val="3DDC47DD"/>
    <w:rsid w:val="3DDF42CD"/>
    <w:rsid w:val="3DE05FE2"/>
    <w:rsid w:val="3DE9514C"/>
    <w:rsid w:val="3DEE2762"/>
    <w:rsid w:val="3DFE0BF8"/>
    <w:rsid w:val="3DFF227A"/>
    <w:rsid w:val="3E045AE2"/>
    <w:rsid w:val="3E063608"/>
    <w:rsid w:val="3E0C2BE9"/>
    <w:rsid w:val="3E13092F"/>
    <w:rsid w:val="3E18158D"/>
    <w:rsid w:val="3E210442"/>
    <w:rsid w:val="3E285C74"/>
    <w:rsid w:val="3E2B7513"/>
    <w:rsid w:val="3E3363C7"/>
    <w:rsid w:val="3E391C30"/>
    <w:rsid w:val="3E3A7756"/>
    <w:rsid w:val="3E3C34CE"/>
    <w:rsid w:val="3E426AC0"/>
    <w:rsid w:val="3E612F34"/>
    <w:rsid w:val="3E6447D3"/>
    <w:rsid w:val="3E691DE9"/>
    <w:rsid w:val="3E6A003B"/>
    <w:rsid w:val="3E740EBA"/>
    <w:rsid w:val="3E78202C"/>
    <w:rsid w:val="3E7B3A17"/>
    <w:rsid w:val="3E7E7642"/>
    <w:rsid w:val="3E8135D7"/>
    <w:rsid w:val="3E8D412D"/>
    <w:rsid w:val="3E904E16"/>
    <w:rsid w:val="3E924036"/>
    <w:rsid w:val="3E9E7CE5"/>
    <w:rsid w:val="3EA03A5D"/>
    <w:rsid w:val="3EAC2B6C"/>
    <w:rsid w:val="3EAE1E22"/>
    <w:rsid w:val="3EBC460F"/>
    <w:rsid w:val="3EBF0F87"/>
    <w:rsid w:val="3ECD2378"/>
    <w:rsid w:val="3ECF4342"/>
    <w:rsid w:val="3ED41958"/>
    <w:rsid w:val="3ED74FA5"/>
    <w:rsid w:val="3EDE6333"/>
    <w:rsid w:val="3EEA117C"/>
    <w:rsid w:val="3EF73899"/>
    <w:rsid w:val="3F033FEC"/>
    <w:rsid w:val="3F121720"/>
    <w:rsid w:val="3F15023A"/>
    <w:rsid w:val="3F1528D7"/>
    <w:rsid w:val="3F2C52F0"/>
    <w:rsid w:val="3F3423F7"/>
    <w:rsid w:val="3F3E40F9"/>
    <w:rsid w:val="3F4A1C1A"/>
    <w:rsid w:val="3F4A39C9"/>
    <w:rsid w:val="3F4C0AAE"/>
    <w:rsid w:val="3F4E170B"/>
    <w:rsid w:val="3F5220BF"/>
    <w:rsid w:val="3F591E5E"/>
    <w:rsid w:val="3F5E1222"/>
    <w:rsid w:val="3F631D44"/>
    <w:rsid w:val="3F7171A7"/>
    <w:rsid w:val="3F746C97"/>
    <w:rsid w:val="3F7722E4"/>
    <w:rsid w:val="3F7B0026"/>
    <w:rsid w:val="3F9C5EC5"/>
    <w:rsid w:val="3FAF7CCF"/>
    <w:rsid w:val="3FB84944"/>
    <w:rsid w:val="3FBD063E"/>
    <w:rsid w:val="3FC7326B"/>
    <w:rsid w:val="3FCF2120"/>
    <w:rsid w:val="3FD31C10"/>
    <w:rsid w:val="3FE1257F"/>
    <w:rsid w:val="3FFA719D"/>
    <w:rsid w:val="400224F5"/>
    <w:rsid w:val="400A4965"/>
    <w:rsid w:val="400E0926"/>
    <w:rsid w:val="40104C12"/>
    <w:rsid w:val="40131507"/>
    <w:rsid w:val="40152228"/>
    <w:rsid w:val="40167D4F"/>
    <w:rsid w:val="40183AC7"/>
    <w:rsid w:val="401F09B1"/>
    <w:rsid w:val="401F30A7"/>
    <w:rsid w:val="40204729"/>
    <w:rsid w:val="40224945"/>
    <w:rsid w:val="403501D5"/>
    <w:rsid w:val="403A1C8F"/>
    <w:rsid w:val="403D52DB"/>
    <w:rsid w:val="40493C80"/>
    <w:rsid w:val="404C551E"/>
    <w:rsid w:val="404D5D77"/>
    <w:rsid w:val="404E573A"/>
    <w:rsid w:val="40503261"/>
    <w:rsid w:val="40572841"/>
    <w:rsid w:val="405F34A4"/>
    <w:rsid w:val="40646D0C"/>
    <w:rsid w:val="406665E0"/>
    <w:rsid w:val="406960D0"/>
    <w:rsid w:val="407231D7"/>
    <w:rsid w:val="4077259B"/>
    <w:rsid w:val="408829FA"/>
    <w:rsid w:val="408E3D89"/>
    <w:rsid w:val="408F46DB"/>
    <w:rsid w:val="4093314D"/>
    <w:rsid w:val="40B25CC9"/>
    <w:rsid w:val="40B973D8"/>
    <w:rsid w:val="40BA4B7E"/>
    <w:rsid w:val="40BC08F6"/>
    <w:rsid w:val="40C31C84"/>
    <w:rsid w:val="40C335CB"/>
    <w:rsid w:val="40C41559"/>
    <w:rsid w:val="40C813CB"/>
    <w:rsid w:val="40CB294D"/>
    <w:rsid w:val="40CD2B03"/>
    <w:rsid w:val="40D43E92"/>
    <w:rsid w:val="40DE0554"/>
    <w:rsid w:val="40E165AE"/>
    <w:rsid w:val="40E24800"/>
    <w:rsid w:val="40E63BC5"/>
    <w:rsid w:val="40F167F2"/>
    <w:rsid w:val="40F97454"/>
    <w:rsid w:val="40FC0CF2"/>
    <w:rsid w:val="41016309"/>
    <w:rsid w:val="41036525"/>
    <w:rsid w:val="410A5B2E"/>
    <w:rsid w:val="410B7187"/>
    <w:rsid w:val="411058C0"/>
    <w:rsid w:val="41180544"/>
    <w:rsid w:val="412546ED"/>
    <w:rsid w:val="412A1D04"/>
    <w:rsid w:val="412A2C1A"/>
    <w:rsid w:val="412D686F"/>
    <w:rsid w:val="41344E77"/>
    <w:rsid w:val="413D1A37"/>
    <w:rsid w:val="41483F38"/>
    <w:rsid w:val="415E375B"/>
    <w:rsid w:val="41652D3C"/>
    <w:rsid w:val="41662610"/>
    <w:rsid w:val="417116E0"/>
    <w:rsid w:val="41717932"/>
    <w:rsid w:val="4178424B"/>
    <w:rsid w:val="418105AD"/>
    <w:rsid w:val="41832DCB"/>
    <w:rsid w:val="41881755"/>
    <w:rsid w:val="418A27A2"/>
    <w:rsid w:val="418F7530"/>
    <w:rsid w:val="418F7DB9"/>
    <w:rsid w:val="41984EBF"/>
    <w:rsid w:val="41AA4BF2"/>
    <w:rsid w:val="41B25855"/>
    <w:rsid w:val="41B4781F"/>
    <w:rsid w:val="41BD6276"/>
    <w:rsid w:val="41C55588"/>
    <w:rsid w:val="41CD07B6"/>
    <w:rsid w:val="41CE268F"/>
    <w:rsid w:val="41D659E7"/>
    <w:rsid w:val="41D73D12"/>
    <w:rsid w:val="41E72FC5"/>
    <w:rsid w:val="41EA4FEF"/>
    <w:rsid w:val="41F320F5"/>
    <w:rsid w:val="421A3B26"/>
    <w:rsid w:val="421A58D4"/>
    <w:rsid w:val="422C1AAB"/>
    <w:rsid w:val="422E5823"/>
    <w:rsid w:val="42311903"/>
    <w:rsid w:val="42386BE7"/>
    <w:rsid w:val="423D7815"/>
    <w:rsid w:val="4253528A"/>
    <w:rsid w:val="425F3C2F"/>
    <w:rsid w:val="42621029"/>
    <w:rsid w:val="4269685C"/>
    <w:rsid w:val="42711572"/>
    <w:rsid w:val="42786A9F"/>
    <w:rsid w:val="427C1FAA"/>
    <w:rsid w:val="427E044B"/>
    <w:rsid w:val="42937435"/>
    <w:rsid w:val="42976F25"/>
    <w:rsid w:val="42A47894"/>
    <w:rsid w:val="42B21FB1"/>
    <w:rsid w:val="42B86E9B"/>
    <w:rsid w:val="42BF022A"/>
    <w:rsid w:val="42C615B8"/>
    <w:rsid w:val="42C85330"/>
    <w:rsid w:val="42C8712B"/>
    <w:rsid w:val="42D55C9F"/>
    <w:rsid w:val="42ED123B"/>
    <w:rsid w:val="42EE0B61"/>
    <w:rsid w:val="42F04887"/>
    <w:rsid w:val="42FC76D0"/>
    <w:rsid w:val="42FE6FA4"/>
    <w:rsid w:val="43002288"/>
    <w:rsid w:val="43036368"/>
    <w:rsid w:val="43293A80"/>
    <w:rsid w:val="432A08FD"/>
    <w:rsid w:val="432B3B11"/>
    <w:rsid w:val="432E715D"/>
    <w:rsid w:val="433854F2"/>
    <w:rsid w:val="4346094B"/>
    <w:rsid w:val="434846C3"/>
    <w:rsid w:val="434F15AD"/>
    <w:rsid w:val="435B43F6"/>
    <w:rsid w:val="43607C5E"/>
    <w:rsid w:val="43657023"/>
    <w:rsid w:val="436F7EA2"/>
    <w:rsid w:val="437445E4"/>
    <w:rsid w:val="43851473"/>
    <w:rsid w:val="43AC2EA4"/>
    <w:rsid w:val="43B104BA"/>
    <w:rsid w:val="43B92ECB"/>
    <w:rsid w:val="43C006FD"/>
    <w:rsid w:val="43C04259"/>
    <w:rsid w:val="43CA7AC6"/>
    <w:rsid w:val="43DB05D0"/>
    <w:rsid w:val="43DE6DD5"/>
    <w:rsid w:val="43E22422"/>
    <w:rsid w:val="43E50164"/>
    <w:rsid w:val="43E53CC0"/>
    <w:rsid w:val="43E75C8A"/>
    <w:rsid w:val="43E97C54"/>
    <w:rsid w:val="43EC504E"/>
    <w:rsid w:val="43F14D5A"/>
    <w:rsid w:val="43F403A7"/>
    <w:rsid w:val="43F81C45"/>
    <w:rsid w:val="43F9776B"/>
    <w:rsid w:val="44006D4C"/>
    <w:rsid w:val="4404182E"/>
    <w:rsid w:val="440920A4"/>
    <w:rsid w:val="440C56F0"/>
    <w:rsid w:val="441B5933"/>
    <w:rsid w:val="44242FCC"/>
    <w:rsid w:val="442D124B"/>
    <w:rsid w:val="44354C47"/>
    <w:rsid w:val="444529B0"/>
    <w:rsid w:val="444E7AB7"/>
    <w:rsid w:val="44615A3C"/>
    <w:rsid w:val="44627A06"/>
    <w:rsid w:val="446E63AB"/>
    <w:rsid w:val="447A1390"/>
    <w:rsid w:val="447A6AFE"/>
    <w:rsid w:val="447F5EC2"/>
    <w:rsid w:val="44814542"/>
    <w:rsid w:val="44815866"/>
    <w:rsid w:val="4497145E"/>
    <w:rsid w:val="44A771C7"/>
    <w:rsid w:val="44B26298"/>
    <w:rsid w:val="44B813D4"/>
    <w:rsid w:val="44BC7116"/>
    <w:rsid w:val="44C935E1"/>
    <w:rsid w:val="44D206E8"/>
    <w:rsid w:val="44DF2E05"/>
    <w:rsid w:val="44E4666D"/>
    <w:rsid w:val="44E87F0C"/>
    <w:rsid w:val="44ED72D0"/>
    <w:rsid w:val="44F620F7"/>
    <w:rsid w:val="44FC5765"/>
    <w:rsid w:val="44FF7003"/>
    <w:rsid w:val="45060392"/>
    <w:rsid w:val="45125A5A"/>
    <w:rsid w:val="45195625"/>
    <w:rsid w:val="451C1963"/>
    <w:rsid w:val="451D1F61"/>
    <w:rsid w:val="451E392D"/>
    <w:rsid w:val="45350C77"/>
    <w:rsid w:val="453E5D7D"/>
    <w:rsid w:val="4541761C"/>
    <w:rsid w:val="454964D0"/>
    <w:rsid w:val="455A06DD"/>
    <w:rsid w:val="45634460"/>
    <w:rsid w:val="45660E30"/>
    <w:rsid w:val="4566742C"/>
    <w:rsid w:val="456D21BF"/>
    <w:rsid w:val="45701CAF"/>
    <w:rsid w:val="45763769"/>
    <w:rsid w:val="45782BBA"/>
    <w:rsid w:val="457E261E"/>
    <w:rsid w:val="457E749F"/>
    <w:rsid w:val="457F1EF2"/>
    <w:rsid w:val="45800144"/>
    <w:rsid w:val="459E4A6E"/>
    <w:rsid w:val="45A007E6"/>
    <w:rsid w:val="45A114B4"/>
    <w:rsid w:val="45A2455E"/>
    <w:rsid w:val="45A32084"/>
    <w:rsid w:val="45A81449"/>
    <w:rsid w:val="45AB0FF2"/>
    <w:rsid w:val="45AD2F03"/>
    <w:rsid w:val="45B24076"/>
    <w:rsid w:val="45B7168C"/>
    <w:rsid w:val="45B84F62"/>
    <w:rsid w:val="45C04D0F"/>
    <w:rsid w:val="45C73FC5"/>
    <w:rsid w:val="45CA720B"/>
    <w:rsid w:val="45E85CE9"/>
    <w:rsid w:val="45EA7CB3"/>
    <w:rsid w:val="45F60406"/>
    <w:rsid w:val="46001285"/>
    <w:rsid w:val="46004D73"/>
    <w:rsid w:val="461A0599"/>
    <w:rsid w:val="461E5035"/>
    <w:rsid w:val="462036D5"/>
    <w:rsid w:val="46207231"/>
    <w:rsid w:val="462D04F5"/>
    <w:rsid w:val="464949DA"/>
    <w:rsid w:val="46496788"/>
    <w:rsid w:val="46560EA5"/>
    <w:rsid w:val="46582E6F"/>
    <w:rsid w:val="465A6BE7"/>
    <w:rsid w:val="46687A77"/>
    <w:rsid w:val="46690BD8"/>
    <w:rsid w:val="467D4684"/>
    <w:rsid w:val="467F03FC"/>
    <w:rsid w:val="46875502"/>
    <w:rsid w:val="469519CD"/>
    <w:rsid w:val="46976927"/>
    <w:rsid w:val="46987409"/>
    <w:rsid w:val="469B0FAE"/>
    <w:rsid w:val="469B6188"/>
    <w:rsid w:val="469D6AD4"/>
    <w:rsid w:val="46AF462C"/>
    <w:rsid w:val="46B02CAB"/>
    <w:rsid w:val="46B81B60"/>
    <w:rsid w:val="46BA1434"/>
    <w:rsid w:val="46BA58D8"/>
    <w:rsid w:val="46BD7176"/>
    <w:rsid w:val="46CC1167"/>
    <w:rsid w:val="46DC75FC"/>
    <w:rsid w:val="46E14A18"/>
    <w:rsid w:val="46E14C12"/>
    <w:rsid w:val="46ED3578"/>
    <w:rsid w:val="46F26E20"/>
    <w:rsid w:val="46FA3F26"/>
    <w:rsid w:val="46FC7C9E"/>
    <w:rsid w:val="46FF153C"/>
    <w:rsid w:val="4706325F"/>
    <w:rsid w:val="470B7EE1"/>
    <w:rsid w:val="47150D60"/>
    <w:rsid w:val="47170634"/>
    <w:rsid w:val="473016F6"/>
    <w:rsid w:val="47372A84"/>
    <w:rsid w:val="47376F28"/>
    <w:rsid w:val="473A07C7"/>
    <w:rsid w:val="473F1CAF"/>
    <w:rsid w:val="473F5DDD"/>
    <w:rsid w:val="474653BD"/>
    <w:rsid w:val="47507FEA"/>
    <w:rsid w:val="47596E9F"/>
    <w:rsid w:val="475E44B5"/>
    <w:rsid w:val="476870E2"/>
    <w:rsid w:val="476903F0"/>
    <w:rsid w:val="476D294A"/>
    <w:rsid w:val="4771702F"/>
    <w:rsid w:val="47723ABC"/>
    <w:rsid w:val="477261B2"/>
    <w:rsid w:val="47737835"/>
    <w:rsid w:val="47745A86"/>
    <w:rsid w:val="477C3C98"/>
    <w:rsid w:val="478A52AA"/>
    <w:rsid w:val="478B2DD0"/>
    <w:rsid w:val="478D4D9A"/>
    <w:rsid w:val="478F0B12"/>
    <w:rsid w:val="479D2AFD"/>
    <w:rsid w:val="47A3011A"/>
    <w:rsid w:val="47A45C40"/>
    <w:rsid w:val="47B70069"/>
    <w:rsid w:val="47B73BC5"/>
    <w:rsid w:val="47B95B8F"/>
    <w:rsid w:val="47CF53B3"/>
    <w:rsid w:val="47D44777"/>
    <w:rsid w:val="47EA5D49"/>
    <w:rsid w:val="47EF15B1"/>
    <w:rsid w:val="47F60B91"/>
    <w:rsid w:val="47F646ED"/>
    <w:rsid w:val="48054931"/>
    <w:rsid w:val="48074B4D"/>
    <w:rsid w:val="480908C5"/>
    <w:rsid w:val="4819662E"/>
    <w:rsid w:val="481D7ECC"/>
    <w:rsid w:val="4820176A"/>
    <w:rsid w:val="48272AF9"/>
    <w:rsid w:val="48387027"/>
    <w:rsid w:val="483D40CA"/>
    <w:rsid w:val="484511D1"/>
    <w:rsid w:val="484D62D8"/>
    <w:rsid w:val="48561630"/>
    <w:rsid w:val="485760FA"/>
    <w:rsid w:val="48586611"/>
    <w:rsid w:val="485B09F4"/>
    <w:rsid w:val="486024AF"/>
    <w:rsid w:val="48651873"/>
    <w:rsid w:val="486F624E"/>
    <w:rsid w:val="4876582E"/>
    <w:rsid w:val="487D6BBD"/>
    <w:rsid w:val="48855A71"/>
    <w:rsid w:val="488F069E"/>
    <w:rsid w:val="48904B42"/>
    <w:rsid w:val="48965ED0"/>
    <w:rsid w:val="48A405ED"/>
    <w:rsid w:val="48A979B2"/>
    <w:rsid w:val="48AA54D8"/>
    <w:rsid w:val="48B06F92"/>
    <w:rsid w:val="48B12D0A"/>
    <w:rsid w:val="48B14AB8"/>
    <w:rsid w:val="48BA396D"/>
    <w:rsid w:val="48BF71D5"/>
    <w:rsid w:val="48C52312"/>
    <w:rsid w:val="48C53D36"/>
    <w:rsid w:val="48CB3DCC"/>
    <w:rsid w:val="48D6451F"/>
    <w:rsid w:val="48E56510"/>
    <w:rsid w:val="48E7672C"/>
    <w:rsid w:val="48E924A4"/>
    <w:rsid w:val="48E96000"/>
    <w:rsid w:val="48EE1869"/>
    <w:rsid w:val="48EE6DB8"/>
    <w:rsid w:val="48F36ECE"/>
    <w:rsid w:val="48F86243"/>
    <w:rsid w:val="48FD5F50"/>
    <w:rsid w:val="49080B7C"/>
    <w:rsid w:val="4910358D"/>
    <w:rsid w:val="49177011"/>
    <w:rsid w:val="49247038"/>
    <w:rsid w:val="49262DB0"/>
    <w:rsid w:val="49290AF3"/>
    <w:rsid w:val="492B6619"/>
    <w:rsid w:val="49351245"/>
    <w:rsid w:val="493C25D4"/>
    <w:rsid w:val="493C6A78"/>
    <w:rsid w:val="493D5513"/>
    <w:rsid w:val="49584F34"/>
    <w:rsid w:val="495E69EE"/>
    <w:rsid w:val="49641B2B"/>
    <w:rsid w:val="49647D7D"/>
    <w:rsid w:val="49675177"/>
    <w:rsid w:val="496F0BFB"/>
    <w:rsid w:val="497C50C6"/>
    <w:rsid w:val="497F0713"/>
    <w:rsid w:val="498126DD"/>
    <w:rsid w:val="49861AA1"/>
    <w:rsid w:val="498A77E3"/>
    <w:rsid w:val="498E0956"/>
    <w:rsid w:val="49935F6C"/>
    <w:rsid w:val="499441BE"/>
    <w:rsid w:val="499E26DE"/>
    <w:rsid w:val="49A34401"/>
    <w:rsid w:val="49AA39E1"/>
    <w:rsid w:val="49B72B37"/>
    <w:rsid w:val="49BD69A9"/>
    <w:rsid w:val="49BF6D61"/>
    <w:rsid w:val="49C36851"/>
    <w:rsid w:val="49CD147E"/>
    <w:rsid w:val="49D22F38"/>
    <w:rsid w:val="49D4280C"/>
    <w:rsid w:val="49D547D7"/>
    <w:rsid w:val="49D942C7"/>
    <w:rsid w:val="49DE368B"/>
    <w:rsid w:val="49E8450A"/>
    <w:rsid w:val="49EA0282"/>
    <w:rsid w:val="49EB1A27"/>
    <w:rsid w:val="49EC3FFA"/>
    <w:rsid w:val="49ED7D72"/>
    <w:rsid w:val="49F7299F"/>
    <w:rsid w:val="4A0A5B7F"/>
    <w:rsid w:val="4A0E735C"/>
    <w:rsid w:val="4A1B043B"/>
    <w:rsid w:val="4A1E7F2C"/>
    <w:rsid w:val="4A264C7E"/>
    <w:rsid w:val="4A280DAA"/>
    <w:rsid w:val="4A2D63C1"/>
    <w:rsid w:val="4A2F038B"/>
    <w:rsid w:val="4A381B21"/>
    <w:rsid w:val="4A4554B8"/>
    <w:rsid w:val="4A5334F5"/>
    <w:rsid w:val="4A58343D"/>
    <w:rsid w:val="4A5D0A54"/>
    <w:rsid w:val="4A7140CA"/>
    <w:rsid w:val="4A7144FF"/>
    <w:rsid w:val="4A857FAB"/>
    <w:rsid w:val="4A8634EA"/>
    <w:rsid w:val="4A955329"/>
    <w:rsid w:val="4A965D14"/>
    <w:rsid w:val="4AAA17BF"/>
    <w:rsid w:val="4AB368C6"/>
    <w:rsid w:val="4AB663B6"/>
    <w:rsid w:val="4AC00FE3"/>
    <w:rsid w:val="4AC72371"/>
    <w:rsid w:val="4AC9433B"/>
    <w:rsid w:val="4AD827D0"/>
    <w:rsid w:val="4AD93E52"/>
    <w:rsid w:val="4ADB7BCB"/>
    <w:rsid w:val="4AE178D7"/>
    <w:rsid w:val="4AE42F23"/>
    <w:rsid w:val="4AE61A39"/>
    <w:rsid w:val="4AEE78FE"/>
    <w:rsid w:val="4B007631"/>
    <w:rsid w:val="4B0C4228"/>
    <w:rsid w:val="4B0C5FD6"/>
    <w:rsid w:val="4B0E1D4E"/>
    <w:rsid w:val="4B26353C"/>
    <w:rsid w:val="4B2772B4"/>
    <w:rsid w:val="4B332897"/>
    <w:rsid w:val="4B337A07"/>
    <w:rsid w:val="4B534ADE"/>
    <w:rsid w:val="4B5727FA"/>
    <w:rsid w:val="4B5D4A84"/>
    <w:rsid w:val="4B614574"/>
    <w:rsid w:val="4B62209A"/>
    <w:rsid w:val="4B663938"/>
    <w:rsid w:val="4B6E0A3F"/>
    <w:rsid w:val="4B7324F9"/>
    <w:rsid w:val="4B756271"/>
    <w:rsid w:val="4B865D88"/>
    <w:rsid w:val="4B8E10E1"/>
    <w:rsid w:val="4B9A1834"/>
    <w:rsid w:val="4B9F32EE"/>
    <w:rsid w:val="4BB548C0"/>
    <w:rsid w:val="4BB70638"/>
    <w:rsid w:val="4BD74836"/>
    <w:rsid w:val="4BDB2578"/>
    <w:rsid w:val="4C003D8D"/>
    <w:rsid w:val="4C080E93"/>
    <w:rsid w:val="4C143394"/>
    <w:rsid w:val="4C193AAC"/>
    <w:rsid w:val="4C2D26A8"/>
    <w:rsid w:val="4C362151"/>
    <w:rsid w:val="4C453E95"/>
    <w:rsid w:val="4C481290"/>
    <w:rsid w:val="4C4E5380"/>
    <w:rsid w:val="4C545E87"/>
    <w:rsid w:val="4C673E0C"/>
    <w:rsid w:val="4C6D519A"/>
    <w:rsid w:val="4C6D65BB"/>
    <w:rsid w:val="4C6F0F12"/>
    <w:rsid w:val="4C6F310B"/>
    <w:rsid w:val="4C762EFF"/>
    <w:rsid w:val="4C786019"/>
    <w:rsid w:val="4C8449BE"/>
    <w:rsid w:val="4C871DB8"/>
    <w:rsid w:val="4C8C5620"/>
    <w:rsid w:val="4C8C73CE"/>
    <w:rsid w:val="4C9925D5"/>
    <w:rsid w:val="4C9A62ED"/>
    <w:rsid w:val="4C9E35A6"/>
    <w:rsid w:val="4CA4769D"/>
    <w:rsid w:val="4CA6114E"/>
    <w:rsid w:val="4CAF57B3"/>
    <w:rsid w:val="4CB64249"/>
    <w:rsid w:val="4CBA03DF"/>
    <w:rsid w:val="4CC2475B"/>
    <w:rsid w:val="4CCB7A88"/>
    <w:rsid w:val="4CCF375F"/>
    <w:rsid w:val="4CDB6A43"/>
    <w:rsid w:val="4CE01D17"/>
    <w:rsid w:val="4CE865CF"/>
    <w:rsid w:val="4CFA5B21"/>
    <w:rsid w:val="4CFA6A2E"/>
    <w:rsid w:val="4D096C71"/>
    <w:rsid w:val="4D1D271C"/>
    <w:rsid w:val="4D292E6F"/>
    <w:rsid w:val="4D3017F6"/>
    <w:rsid w:val="4D331F40"/>
    <w:rsid w:val="4D551EB6"/>
    <w:rsid w:val="4D573E80"/>
    <w:rsid w:val="4D6363BA"/>
    <w:rsid w:val="4D77007F"/>
    <w:rsid w:val="4D7F5185"/>
    <w:rsid w:val="4D8D78A2"/>
    <w:rsid w:val="4D8F3AA5"/>
    <w:rsid w:val="4D9724CF"/>
    <w:rsid w:val="4D9965A1"/>
    <w:rsid w:val="4D9A5B1B"/>
    <w:rsid w:val="4D9F1383"/>
    <w:rsid w:val="4D9F5F4F"/>
    <w:rsid w:val="4DC332C4"/>
    <w:rsid w:val="4DCA28A4"/>
    <w:rsid w:val="4DCB2178"/>
    <w:rsid w:val="4DCD4142"/>
    <w:rsid w:val="4DD70B1D"/>
    <w:rsid w:val="4DDC4386"/>
    <w:rsid w:val="4DDE00FE"/>
    <w:rsid w:val="4DE2449F"/>
    <w:rsid w:val="4DEE5E67"/>
    <w:rsid w:val="4DEF230B"/>
    <w:rsid w:val="4DF74D1B"/>
    <w:rsid w:val="4E0C363C"/>
    <w:rsid w:val="4E10402F"/>
    <w:rsid w:val="4E116B08"/>
    <w:rsid w:val="4E141D71"/>
    <w:rsid w:val="4E165AE9"/>
    <w:rsid w:val="4E1C6E78"/>
    <w:rsid w:val="4E2E4192"/>
    <w:rsid w:val="4E2F4715"/>
    <w:rsid w:val="4E30647F"/>
    <w:rsid w:val="4E3E6DEE"/>
    <w:rsid w:val="4E434405"/>
    <w:rsid w:val="4E473EF5"/>
    <w:rsid w:val="4E5B174E"/>
    <w:rsid w:val="4E6A1991"/>
    <w:rsid w:val="4E6E1136"/>
    <w:rsid w:val="4E796078"/>
    <w:rsid w:val="4E7D3959"/>
    <w:rsid w:val="4E834801"/>
    <w:rsid w:val="4E88341A"/>
    <w:rsid w:val="4E8F13F8"/>
    <w:rsid w:val="4EA931C9"/>
    <w:rsid w:val="4EAC1FAA"/>
    <w:rsid w:val="4EB259BC"/>
    <w:rsid w:val="4EC15329"/>
    <w:rsid w:val="4ECA0682"/>
    <w:rsid w:val="4ECA68D4"/>
    <w:rsid w:val="4ED141EC"/>
    <w:rsid w:val="4EE51018"/>
    <w:rsid w:val="4EFB6A76"/>
    <w:rsid w:val="4EFE032C"/>
    <w:rsid w:val="4F0A6CD0"/>
    <w:rsid w:val="4F0D6D60"/>
    <w:rsid w:val="4F0F2539"/>
    <w:rsid w:val="4F113781"/>
    <w:rsid w:val="4F1162B1"/>
    <w:rsid w:val="4F1B0EDE"/>
    <w:rsid w:val="4F2064F4"/>
    <w:rsid w:val="4F22401A"/>
    <w:rsid w:val="4F2C6C47"/>
    <w:rsid w:val="4F2F6737"/>
    <w:rsid w:val="4F302BDB"/>
    <w:rsid w:val="4F391364"/>
    <w:rsid w:val="4F3D70A6"/>
    <w:rsid w:val="4F3F4BCC"/>
    <w:rsid w:val="4F42646A"/>
    <w:rsid w:val="4F457D08"/>
    <w:rsid w:val="4F4915A7"/>
    <w:rsid w:val="4F4E4E0F"/>
    <w:rsid w:val="4F5543EF"/>
    <w:rsid w:val="4F610DE0"/>
    <w:rsid w:val="4F642884"/>
    <w:rsid w:val="4F702FD7"/>
    <w:rsid w:val="4F7C7BCE"/>
    <w:rsid w:val="4F870321"/>
    <w:rsid w:val="4F8C6496"/>
    <w:rsid w:val="4F8E345D"/>
    <w:rsid w:val="4F9273F2"/>
    <w:rsid w:val="4F93316A"/>
    <w:rsid w:val="4FA55A32"/>
    <w:rsid w:val="4FBF5D0D"/>
    <w:rsid w:val="4FCE7CFE"/>
    <w:rsid w:val="4FD74E04"/>
    <w:rsid w:val="4FDE5BC3"/>
    <w:rsid w:val="4FF00280"/>
    <w:rsid w:val="50047BC4"/>
    <w:rsid w:val="500951DA"/>
    <w:rsid w:val="500E459E"/>
    <w:rsid w:val="501473D3"/>
    <w:rsid w:val="5018507A"/>
    <w:rsid w:val="501E6ED7"/>
    <w:rsid w:val="5032019A"/>
    <w:rsid w:val="503B7275"/>
    <w:rsid w:val="50540069"/>
    <w:rsid w:val="505521CD"/>
    <w:rsid w:val="50577CF3"/>
    <w:rsid w:val="5074270E"/>
    <w:rsid w:val="50795EBC"/>
    <w:rsid w:val="507E7976"/>
    <w:rsid w:val="50800F93"/>
    <w:rsid w:val="50884351"/>
    <w:rsid w:val="50937498"/>
    <w:rsid w:val="509727E6"/>
    <w:rsid w:val="509C048A"/>
    <w:rsid w:val="50A56CB1"/>
    <w:rsid w:val="50AA2519"/>
    <w:rsid w:val="50AD025B"/>
    <w:rsid w:val="50B52C6C"/>
    <w:rsid w:val="50B60EBE"/>
    <w:rsid w:val="50B96C00"/>
    <w:rsid w:val="50BC224C"/>
    <w:rsid w:val="50BE5FC4"/>
    <w:rsid w:val="50C07F8E"/>
    <w:rsid w:val="50C35389"/>
    <w:rsid w:val="50C86E43"/>
    <w:rsid w:val="50CF1F80"/>
    <w:rsid w:val="50D37CC2"/>
    <w:rsid w:val="50D92DFE"/>
    <w:rsid w:val="50DB26D2"/>
    <w:rsid w:val="50EC48E0"/>
    <w:rsid w:val="50EE4AFC"/>
    <w:rsid w:val="50F10148"/>
    <w:rsid w:val="50FE4613"/>
    <w:rsid w:val="51037E7B"/>
    <w:rsid w:val="510A67DD"/>
    <w:rsid w:val="510F337D"/>
    <w:rsid w:val="511033E7"/>
    <w:rsid w:val="51165E00"/>
    <w:rsid w:val="511A0490"/>
    <w:rsid w:val="511D0F3D"/>
    <w:rsid w:val="511E4CB5"/>
    <w:rsid w:val="51234079"/>
    <w:rsid w:val="512A5408"/>
    <w:rsid w:val="512C73D2"/>
    <w:rsid w:val="512F6EC2"/>
    <w:rsid w:val="5139389D"/>
    <w:rsid w:val="51404C2B"/>
    <w:rsid w:val="5149325D"/>
    <w:rsid w:val="51497F84"/>
    <w:rsid w:val="514C1822"/>
    <w:rsid w:val="5153495F"/>
    <w:rsid w:val="51600E2A"/>
    <w:rsid w:val="51621046"/>
    <w:rsid w:val="516528E4"/>
    <w:rsid w:val="51703763"/>
    <w:rsid w:val="518017CE"/>
    <w:rsid w:val="51816421"/>
    <w:rsid w:val="518B5E73"/>
    <w:rsid w:val="518C7E71"/>
    <w:rsid w:val="51907961"/>
    <w:rsid w:val="51976F41"/>
    <w:rsid w:val="519A1675"/>
    <w:rsid w:val="519D207E"/>
    <w:rsid w:val="51A258E6"/>
    <w:rsid w:val="51A37951"/>
    <w:rsid w:val="51A74CAA"/>
    <w:rsid w:val="51AE428B"/>
    <w:rsid w:val="51B31176"/>
    <w:rsid w:val="51C615D4"/>
    <w:rsid w:val="51D535C6"/>
    <w:rsid w:val="51EB103B"/>
    <w:rsid w:val="51F021AD"/>
    <w:rsid w:val="51F83758"/>
    <w:rsid w:val="52045C59"/>
    <w:rsid w:val="52065E75"/>
    <w:rsid w:val="520C748A"/>
    <w:rsid w:val="520E4D2A"/>
    <w:rsid w:val="521265C8"/>
    <w:rsid w:val="521D4F6D"/>
    <w:rsid w:val="52224331"/>
    <w:rsid w:val="522352FD"/>
    <w:rsid w:val="52291B63"/>
    <w:rsid w:val="522D519C"/>
    <w:rsid w:val="522E717A"/>
    <w:rsid w:val="52302EF2"/>
    <w:rsid w:val="52391DA6"/>
    <w:rsid w:val="523A5B1F"/>
    <w:rsid w:val="523C1897"/>
    <w:rsid w:val="52416EAD"/>
    <w:rsid w:val="524424F9"/>
    <w:rsid w:val="52481FEA"/>
    <w:rsid w:val="5248342C"/>
    <w:rsid w:val="524C3BDA"/>
    <w:rsid w:val="524D5852"/>
    <w:rsid w:val="525564B4"/>
    <w:rsid w:val="525C7843"/>
    <w:rsid w:val="52642B9B"/>
    <w:rsid w:val="52666914"/>
    <w:rsid w:val="52720E14"/>
    <w:rsid w:val="527E1EAF"/>
    <w:rsid w:val="528B1ED6"/>
    <w:rsid w:val="5290573F"/>
    <w:rsid w:val="529D410E"/>
    <w:rsid w:val="52AA2CA4"/>
    <w:rsid w:val="52BB4769"/>
    <w:rsid w:val="52BC4786"/>
    <w:rsid w:val="52C04276"/>
    <w:rsid w:val="52C06024"/>
    <w:rsid w:val="52D01FDF"/>
    <w:rsid w:val="52DB4C0C"/>
    <w:rsid w:val="52DD61F2"/>
    <w:rsid w:val="52E56B6E"/>
    <w:rsid w:val="52E837CD"/>
    <w:rsid w:val="52EA30A1"/>
    <w:rsid w:val="52EF06B7"/>
    <w:rsid w:val="530A729F"/>
    <w:rsid w:val="530C3017"/>
    <w:rsid w:val="53146370"/>
    <w:rsid w:val="53296783"/>
    <w:rsid w:val="532A7941"/>
    <w:rsid w:val="5334431C"/>
    <w:rsid w:val="53395DD6"/>
    <w:rsid w:val="533B38FC"/>
    <w:rsid w:val="533D7674"/>
    <w:rsid w:val="533E519B"/>
    <w:rsid w:val="53407165"/>
    <w:rsid w:val="53424C8B"/>
    <w:rsid w:val="534A7FE3"/>
    <w:rsid w:val="53582700"/>
    <w:rsid w:val="535844AE"/>
    <w:rsid w:val="535B3F9E"/>
    <w:rsid w:val="535E4FF9"/>
    <w:rsid w:val="53650979"/>
    <w:rsid w:val="53692CAC"/>
    <w:rsid w:val="536A5F90"/>
    <w:rsid w:val="537868FE"/>
    <w:rsid w:val="538873A9"/>
    <w:rsid w:val="53963CFA"/>
    <w:rsid w:val="53A07C03"/>
    <w:rsid w:val="53B10062"/>
    <w:rsid w:val="53C27B7A"/>
    <w:rsid w:val="53CB1124"/>
    <w:rsid w:val="53CE651E"/>
    <w:rsid w:val="53D0673A"/>
    <w:rsid w:val="53D8739D"/>
    <w:rsid w:val="53DB6E8D"/>
    <w:rsid w:val="53DC50DF"/>
    <w:rsid w:val="53E421E6"/>
    <w:rsid w:val="53E67D0C"/>
    <w:rsid w:val="53F24B8A"/>
    <w:rsid w:val="53F32429"/>
    <w:rsid w:val="53F57F4F"/>
    <w:rsid w:val="53F817ED"/>
    <w:rsid w:val="53F81956"/>
    <w:rsid w:val="53FC752F"/>
    <w:rsid w:val="540208BE"/>
    <w:rsid w:val="54071A30"/>
    <w:rsid w:val="540A2287"/>
    <w:rsid w:val="54102FDB"/>
    <w:rsid w:val="541D74A6"/>
    <w:rsid w:val="541F4FCC"/>
    <w:rsid w:val="542B1BC3"/>
    <w:rsid w:val="54336CC9"/>
    <w:rsid w:val="5444625D"/>
    <w:rsid w:val="54501629"/>
    <w:rsid w:val="545033D7"/>
    <w:rsid w:val="54642981"/>
    <w:rsid w:val="54660E4D"/>
    <w:rsid w:val="546C7FC1"/>
    <w:rsid w:val="546E385E"/>
    <w:rsid w:val="54751090"/>
    <w:rsid w:val="548060EE"/>
    <w:rsid w:val="5495115D"/>
    <w:rsid w:val="549C03CB"/>
    <w:rsid w:val="549D2EF3"/>
    <w:rsid w:val="54A0435F"/>
    <w:rsid w:val="54A656ED"/>
    <w:rsid w:val="54A772FA"/>
    <w:rsid w:val="54AA6F8B"/>
    <w:rsid w:val="54AF6350"/>
    <w:rsid w:val="54B25E40"/>
    <w:rsid w:val="54B27BEE"/>
    <w:rsid w:val="54B576DE"/>
    <w:rsid w:val="54BC0090"/>
    <w:rsid w:val="54BF40B9"/>
    <w:rsid w:val="54C0055D"/>
    <w:rsid w:val="54CA318A"/>
    <w:rsid w:val="54CD67D6"/>
    <w:rsid w:val="54D13FE3"/>
    <w:rsid w:val="54D47B64"/>
    <w:rsid w:val="54E3424B"/>
    <w:rsid w:val="54E35FFA"/>
    <w:rsid w:val="54E55B5A"/>
    <w:rsid w:val="54ED50CA"/>
    <w:rsid w:val="54F621D1"/>
    <w:rsid w:val="54F72943"/>
    <w:rsid w:val="5503044A"/>
    <w:rsid w:val="550348EE"/>
    <w:rsid w:val="550614F0"/>
    <w:rsid w:val="55222FC6"/>
    <w:rsid w:val="55306D65"/>
    <w:rsid w:val="5552317F"/>
    <w:rsid w:val="55570796"/>
    <w:rsid w:val="556233C2"/>
    <w:rsid w:val="55652EB2"/>
    <w:rsid w:val="55653A2B"/>
    <w:rsid w:val="5572737D"/>
    <w:rsid w:val="55780E38"/>
    <w:rsid w:val="55794BB0"/>
    <w:rsid w:val="557B26D6"/>
    <w:rsid w:val="557D644E"/>
    <w:rsid w:val="557F21C6"/>
    <w:rsid w:val="55821CB6"/>
    <w:rsid w:val="558C6691"/>
    <w:rsid w:val="558F370A"/>
    <w:rsid w:val="558F6181"/>
    <w:rsid w:val="55985036"/>
    <w:rsid w:val="55A72E04"/>
    <w:rsid w:val="55AE2AAB"/>
    <w:rsid w:val="55AF05D2"/>
    <w:rsid w:val="55BA1450"/>
    <w:rsid w:val="55BB37E5"/>
    <w:rsid w:val="55BD4A9D"/>
    <w:rsid w:val="55BD684B"/>
    <w:rsid w:val="55C23E61"/>
    <w:rsid w:val="55CA5A69"/>
    <w:rsid w:val="55E262B1"/>
    <w:rsid w:val="55EF09CE"/>
    <w:rsid w:val="55F61036"/>
    <w:rsid w:val="560A7966"/>
    <w:rsid w:val="56180806"/>
    <w:rsid w:val="562403AC"/>
    <w:rsid w:val="56244B1C"/>
    <w:rsid w:val="56270168"/>
    <w:rsid w:val="562B5EAA"/>
    <w:rsid w:val="5637484F"/>
    <w:rsid w:val="563F1955"/>
    <w:rsid w:val="5649606D"/>
    <w:rsid w:val="564D4072"/>
    <w:rsid w:val="56551179"/>
    <w:rsid w:val="565A053D"/>
    <w:rsid w:val="565D6F39"/>
    <w:rsid w:val="566A5532"/>
    <w:rsid w:val="56721153"/>
    <w:rsid w:val="567D422C"/>
    <w:rsid w:val="56813D1C"/>
    <w:rsid w:val="56847368"/>
    <w:rsid w:val="568832FC"/>
    <w:rsid w:val="568B4B9B"/>
    <w:rsid w:val="568D0913"/>
    <w:rsid w:val="56933A4F"/>
    <w:rsid w:val="569577C7"/>
    <w:rsid w:val="56A66084"/>
    <w:rsid w:val="56AB0D99"/>
    <w:rsid w:val="56B7122E"/>
    <w:rsid w:val="56B75990"/>
    <w:rsid w:val="56C500AD"/>
    <w:rsid w:val="56C5457E"/>
    <w:rsid w:val="56D227CA"/>
    <w:rsid w:val="56D86E7D"/>
    <w:rsid w:val="56DD0851"/>
    <w:rsid w:val="56E36785"/>
    <w:rsid w:val="56E61DD1"/>
    <w:rsid w:val="56F00EA2"/>
    <w:rsid w:val="56FC7846"/>
    <w:rsid w:val="56FE2C83"/>
    <w:rsid w:val="56FF2E93"/>
    <w:rsid w:val="57012CEE"/>
    <w:rsid w:val="570E068D"/>
    <w:rsid w:val="57142DBE"/>
    <w:rsid w:val="571D387C"/>
    <w:rsid w:val="57212E09"/>
    <w:rsid w:val="57253D43"/>
    <w:rsid w:val="5726041F"/>
    <w:rsid w:val="572823EA"/>
    <w:rsid w:val="57390153"/>
    <w:rsid w:val="574014E1"/>
    <w:rsid w:val="574134AB"/>
    <w:rsid w:val="574D1E50"/>
    <w:rsid w:val="574D3BFE"/>
    <w:rsid w:val="57544F8D"/>
    <w:rsid w:val="57571E7E"/>
    <w:rsid w:val="57601B83"/>
    <w:rsid w:val="57623B4D"/>
    <w:rsid w:val="576C677A"/>
    <w:rsid w:val="577044C9"/>
    <w:rsid w:val="5771583E"/>
    <w:rsid w:val="577473DD"/>
    <w:rsid w:val="57853398"/>
    <w:rsid w:val="578A6C00"/>
    <w:rsid w:val="578F30CC"/>
    <w:rsid w:val="57AC301B"/>
    <w:rsid w:val="57AF0E5C"/>
    <w:rsid w:val="57B10631"/>
    <w:rsid w:val="57B976AF"/>
    <w:rsid w:val="57C739B1"/>
    <w:rsid w:val="57D6726A"/>
    <w:rsid w:val="57D8796C"/>
    <w:rsid w:val="57DE0660"/>
    <w:rsid w:val="57E02CC4"/>
    <w:rsid w:val="57E207EA"/>
    <w:rsid w:val="57E26A3C"/>
    <w:rsid w:val="57E722A5"/>
    <w:rsid w:val="57FF139C"/>
    <w:rsid w:val="58256929"/>
    <w:rsid w:val="5827444F"/>
    <w:rsid w:val="58346B6C"/>
    <w:rsid w:val="58354DBE"/>
    <w:rsid w:val="58360B36"/>
    <w:rsid w:val="5866766D"/>
    <w:rsid w:val="58694A68"/>
    <w:rsid w:val="586B07E0"/>
    <w:rsid w:val="587C29ED"/>
    <w:rsid w:val="587D6765"/>
    <w:rsid w:val="587F072F"/>
    <w:rsid w:val="5895585D"/>
    <w:rsid w:val="58975164"/>
    <w:rsid w:val="589D2963"/>
    <w:rsid w:val="58B008E9"/>
    <w:rsid w:val="58BA7035"/>
    <w:rsid w:val="58CE6FC1"/>
    <w:rsid w:val="58CF5213"/>
    <w:rsid w:val="58D04AE7"/>
    <w:rsid w:val="58DC7930"/>
    <w:rsid w:val="58E16CF4"/>
    <w:rsid w:val="58E40592"/>
    <w:rsid w:val="58F5279F"/>
    <w:rsid w:val="58F55C6B"/>
    <w:rsid w:val="58F702C5"/>
    <w:rsid w:val="58FA1B64"/>
    <w:rsid w:val="59036C6A"/>
    <w:rsid w:val="59077600"/>
    <w:rsid w:val="59123351"/>
    <w:rsid w:val="59140E77"/>
    <w:rsid w:val="59246BE1"/>
    <w:rsid w:val="592A2449"/>
    <w:rsid w:val="59345076"/>
    <w:rsid w:val="593A0373"/>
    <w:rsid w:val="593B28A8"/>
    <w:rsid w:val="59464DA9"/>
    <w:rsid w:val="594A4899"/>
    <w:rsid w:val="594C6863"/>
    <w:rsid w:val="594F3C5E"/>
    <w:rsid w:val="596671F9"/>
    <w:rsid w:val="5974729C"/>
    <w:rsid w:val="59822285"/>
    <w:rsid w:val="5987789B"/>
    <w:rsid w:val="59926240"/>
    <w:rsid w:val="59975605"/>
    <w:rsid w:val="599E2E37"/>
    <w:rsid w:val="59AF3A4D"/>
    <w:rsid w:val="59B9557B"/>
    <w:rsid w:val="59BC2D25"/>
    <w:rsid w:val="59C26B25"/>
    <w:rsid w:val="59C52172"/>
    <w:rsid w:val="59D625D1"/>
    <w:rsid w:val="59D6612D"/>
    <w:rsid w:val="59D86349"/>
    <w:rsid w:val="59D979CB"/>
    <w:rsid w:val="59DB773E"/>
    <w:rsid w:val="59DD74BB"/>
    <w:rsid w:val="59DE1485"/>
    <w:rsid w:val="59F64A21"/>
    <w:rsid w:val="5A032C9A"/>
    <w:rsid w:val="5A074538"/>
    <w:rsid w:val="5A1924BD"/>
    <w:rsid w:val="5A223D0F"/>
    <w:rsid w:val="5A276988"/>
    <w:rsid w:val="5A3C2233"/>
    <w:rsid w:val="5A412886"/>
    <w:rsid w:val="5A490FF5"/>
    <w:rsid w:val="5A4F7C8D"/>
    <w:rsid w:val="5A5534F6"/>
    <w:rsid w:val="5A581238"/>
    <w:rsid w:val="5A6E2809"/>
    <w:rsid w:val="5A8262B5"/>
    <w:rsid w:val="5A8E07B6"/>
    <w:rsid w:val="5A955FE8"/>
    <w:rsid w:val="5A963B0E"/>
    <w:rsid w:val="5A9F796A"/>
    <w:rsid w:val="5AA1498D"/>
    <w:rsid w:val="5AA1673B"/>
    <w:rsid w:val="5AB346C0"/>
    <w:rsid w:val="5AB5009D"/>
    <w:rsid w:val="5AB53F94"/>
    <w:rsid w:val="5ABA77FD"/>
    <w:rsid w:val="5ABD109B"/>
    <w:rsid w:val="5AF56A87"/>
    <w:rsid w:val="5AF947C9"/>
    <w:rsid w:val="5AFF3461"/>
    <w:rsid w:val="5B0920E0"/>
    <w:rsid w:val="5B1038C0"/>
    <w:rsid w:val="5B10566E"/>
    <w:rsid w:val="5B155FAA"/>
    <w:rsid w:val="5B172EA1"/>
    <w:rsid w:val="5B182775"/>
    <w:rsid w:val="5B1A64ED"/>
    <w:rsid w:val="5B1C4013"/>
    <w:rsid w:val="5B2B24A8"/>
    <w:rsid w:val="5B3C2907"/>
    <w:rsid w:val="5B433C96"/>
    <w:rsid w:val="5B4D0671"/>
    <w:rsid w:val="5B525C87"/>
    <w:rsid w:val="5B547C51"/>
    <w:rsid w:val="5B6102CF"/>
    <w:rsid w:val="5B615ECA"/>
    <w:rsid w:val="5B647768"/>
    <w:rsid w:val="5B6A1223"/>
    <w:rsid w:val="5B6F6839"/>
    <w:rsid w:val="5B7420A1"/>
    <w:rsid w:val="5B7867D7"/>
    <w:rsid w:val="5B7C0F56"/>
    <w:rsid w:val="5B7C4AB2"/>
    <w:rsid w:val="5B81031A"/>
    <w:rsid w:val="5B8D4016"/>
    <w:rsid w:val="5BA109BC"/>
    <w:rsid w:val="5BB26369"/>
    <w:rsid w:val="5BB4249E"/>
    <w:rsid w:val="5BBB7CD0"/>
    <w:rsid w:val="5BDB4E1A"/>
    <w:rsid w:val="5BE34B31"/>
    <w:rsid w:val="5BF47E5E"/>
    <w:rsid w:val="5BF81B2D"/>
    <w:rsid w:val="5C073450"/>
    <w:rsid w:val="5C074CC3"/>
    <w:rsid w:val="5C0A47B4"/>
    <w:rsid w:val="5C0C052C"/>
    <w:rsid w:val="5C0F3B78"/>
    <w:rsid w:val="5C1B42CB"/>
    <w:rsid w:val="5C2238AB"/>
    <w:rsid w:val="5C270EC2"/>
    <w:rsid w:val="5C302D7B"/>
    <w:rsid w:val="5C313AEE"/>
    <w:rsid w:val="5C357C0E"/>
    <w:rsid w:val="5C3B496D"/>
    <w:rsid w:val="5C451348"/>
    <w:rsid w:val="5C6043D4"/>
    <w:rsid w:val="5C630938"/>
    <w:rsid w:val="5C642116"/>
    <w:rsid w:val="5C735EB5"/>
    <w:rsid w:val="5C7659A5"/>
    <w:rsid w:val="5C7A6342"/>
    <w:rsid w:val="5C7D4F86"/>
    <w:rsid w:val="5C7D6D34"/>
    <w:rsid w:val="5C7F0CFE"/>
    <w:rsid w:val="5C8021B4"/>
    <w:rsid w:val="5C855BE8"/>
    <w:rsid w:val="5C8B6098"/>
    <w:rsid w:val="5C8D77D5"/>
    <w:rsid w:val="5C961BA3"/>
    <w:rsid w:val="5C98043B"/>
    <w:rsid w:val="5C9B365E"/>
    <w:rsid w:val="5C9E573D"/>
    <w:rsid w:val="5CA813C0"/>
    <w:rsid w:val="5CB12E81"/>
    <w:rsid w:val="5CBA3AE4"/>
    <w:rsid w:val="5CC6692D"/>
    <w:rsid w:val="5CCA06F9"/>
    <w:rsid w:val="5CD54DC2"/>
    <w:rsid w:val="5CD81F38"/>
    <w:rsid w:val="5CDC0F56"/>
    <w:rsid w:val="5CDD3C76"/>
    <w:rsid w:val="5CDF179C"/>
    <w:rsid w:val="5CEE7C31"/>
    <w:rsid w:val="5CF80AB0"/>
    <w:rsid w:val="5CFC40FC"/>
    <w:rsid w:val="5CFF599B"/>
    <w:rsid w:val="5D001F09"/>
    <w:rsid w:val="5D027239"/>
    <w:rsid w:val="5D1A254C"/>
    <w:rsid w:val="5D1D0666"/>
    <w:rsid w:val="5D243653"/>
    <w:rsid w:val="5D284EF1"/>
    <w:rsid w:val="5D482D23"/>
    <w:rsid w:val="5D4B6E32"/>
    <w:rsid w:val="5D4E56CE"/>
    <w:rsid w:val="5D537A94"/>
    <w:rsid w:val="5D577585"/>
    <w:rsid w:val="5D6B3030"/>
    <w:rsid w:val="5D6E48CE"/>
    <w:rsid w:val="5D704AEA"/>
    <w:rsid w:val="5D706898"/>
    <w:rsid w:val="5D8B36D2"/>
    <w:rsid w:val="5D8C59A3"/>
    <w:rsid w:val="5D9205BD"/>
    <w:rsid w:val="5D9407D9"/>
    <w:rsid w:val="5DA0717E"/>
    <w:rsid w:val="5DB06C95"/>
    <w:rsid w:val="5DBF512A"/>
    <w:rsid w:val="5DC170F4"/>
    <w:rsid w:val="5DC866D4"/>
    <w:rsid w:val="5DCB022C"/>
    <w:rsid w:val="5DCC7F73"/>
    <w:rsid w:val="5DD01BAB"/>
    <w:rsid w:val="5DD07337"/>
    <w:rsid w:val="5DD44111"/>
    <w:rsid w:val="5DDB01B6"/>
    <w:rsid w:val="5DDE3802"/>
    <w:rsid w:val="5DF41277"/>
    <w:rsid w:val="5DF64FF0"/>
    <w:rsid w:val="5DFE20F6"/>
    <w:rsid w:val="5E0A2849"/>
    <w:rsid w:val="5E1D03E2"/>
    <w:rsid w:val="5E203E1A"/>
    <w:rsid w:val="5E224037"/>
    <w:rsid w:val="5E2960AF"/>
    <w:rsid w:val="5E2C6C63"/>
    <w:rsid w:val="5E2E21CB"/>
    <w:rsid w:val="5E316028"/>
    <w:rsid w:val="5E40270F"/>
    <w:rsid w:val="5E447AB7"/>
    <w:rsid w:val="5E457D25"/>
    <w:rsid w:val="5E4C2E61"/>
    <w:rsid w:val="5E4E6BDA"/>
    <w:rsid w:val="5E5341F0"/>
    <w:rsid w:val="5E5835B4"/>
    <w:rsid w:val="5E655CD1"/>
    <w:rsid w:val="5E6D4B86"/>
    <w:rsid w:val="5E6E2DD8"/>
    <w:rsid w:val="5E761C8C"/>
    <w:rsid w:val="5E7F3237"/>
    <w:rsid w:val="5E8B1BDC"/>
    <w:rsid w:val="5EA27CF7"/>
    <w:rsid w:val="5EAA549F"/>
    <w:rsid w:val="5EB35D99"/>
    <w:rsid w:val="5EB936F0"/>
    <w:rsid w:val="5EBB7FE7"/>
    <w:rsid w:val="5ECE1AC8"/>
    <w:rsid w:val="5ECF75EF"/>
    <w:rsid w:val="5ED2780B"/>
    <w:rsid w:val="5ED510A9"/>
    <w:rsid w:val="5EDC3864"/>
    <w:rsid w:val="5EDD69D2"/>
    <w:rsid w:val="5EEE3F19"/>
    <w:rsid w:val="5EF01A3F"/>
    <w:rsid w:val="5EF07C91"/>
    <w:rsid w:val="5EF41AEB"/>
    <w:rsid w:val="5EF552A7"/>
    <w:rsid w:val="5EFD23AE"/>
    <w:rsid w:val="5F13572D"/>
    <w:rsid w:val="5F182CF1"/>
    <w:rsid w:val="5F2C52ED"/>
    <w:rsid w:val="5F487ACD"/>
    <w:rsid w:val="5F593A88"/>
    <w:rsid w:val="5F5A0513"/>
    <w:rsid w:val="5F6D7533"/>
    <w:rsid w:val="5F750196"/>
    <w:rsid w:val="5F7A755A"/>
    <w:rsid w:val="5F7B7927"/>
    <w:rsid w:val="5F7C7862"/>
    <w:rsid w:val="5FA334EF"/>
    <w:rsid w:val="5FAA42E4"/>
    <w:rsid w:val="5FAB3BB8"/>
    <w:rsid w:val="5FB41CC0"/>
    <w:rsid w:val="5FC133DB"/>
    <w:rsid w:val="5FC66C44"/>
    <w:rsid w:val="5FCF5AF8"/>
    <w:rsid w:val="5FD0361E"/>
    <w:rsid w:val="5FD2383A"/>
    <w:rsid w:val="5FF4555F"/>
    <w:rsid w:val="5FF732A1"/>
    <w:rsid w:val="5FF91718"/>
    <w:rsid w:val="60002310"/>
    <w:rsid w:val="6005776C"/>
    <w:rsid w:val="60114363"/>
    <w:rsid w:val="60172FFB"/>
    <w:rsid w:val="601856F1"/>
    <w:rsid w:val="601E082E"/>
    <w:rsid w:val="604069F6"/>
    <w:rsid w:val="604F09E7"/>
    <w:rsid w:val="6051475F"/>
    <w:rsid w:val="605B3830"/>
    <w:rsid w:val="60624BBE"/>
    <w:rsid w:val="60667D3B"/>
    <w:rsid w:val="60675D31"/>
    <w:rsid w:val="6074044E"/>
    <w:rsid w:val="60787F3E"/>
    <w:rsid w:val="60791F08"/>
    <w:rsid w:val="60874625"/>
    <w:rsid w:val="608C1C3B"/>
    <w:rsid w:val="60934D78"/>
    <w:rsid w:val="60A32AE1"/>
    <w:rsid w:val="60A94D2F"/>
    <w:rsid w:val="60AF76D8"/>
    <w:rsid w:val="60B02A72"/>
    <w:rsid w:val="60BB7E2A"/>
    <w:rsid w:val="60C07B37"/>
    <w:rsid w:val="60CF6AC5"/>
    <w:rsid w:val="60D13AF2"/>
    <w:rsid w:val="60DB671F"/>
    <w:rsid w:val="60E05AE3"/>
    <w:rsid w:val="60E11F1C"/>
    <w:rsid w:val="60E83CC0"/>
    <w:rsid w:val="60EA0710"/>
    <w:rsid w:val="60EE33D3"/>
    <w:rsid w:val="60EE6452"/>
    <w:rsid w:val="60F31CBA"/>
    <w:rsid w:val="60F577E0"/>
    <w:rsid w:val="60FA6BA5"/>
    <w:rsid w:val="61045C75"/>
    <w:rsid w:val="610712C2"/>
    <w:rsid w:val="611D0AE5"/>
    <w:rsid w:val="611D6EF9"/>
    <w:rsid w:val="6129347B"/>
    <w:rsid w:val="61500EBB"/>
    <w:rsid w:val="61572249"/>
    <w:rsid w:val="615C160D"/>
    <w:rsid w:val="615D0EE2"/>
    <w:rsid w:val="61614E76"/>
    <w:rsid w:val="6175447D"/>
    <w:rsid w:val="61803A80"/>
    <w:rsid w:val="6198254B"/>
    <w:rsid w:val="619C7C5C"/>
    <w:rsid w:val="61A42FB4"/>
    <w:rsid w:val="61A905CB"/>
    <w:rsid w:val="61AA1237"/>
    <w:rsid w:val="61AC388A"/>
    <w:rsid w:val="61B34FA6"/>
    <w:rsid w:val="61B62EE8"/>
    <w:rsid w:val="61BE5E24"/>
    <w:rsid w:val="61BF7DEE"/>
    <w:rsid w:val="61C40F61"/>
    <w:rsid w:val="61C96577"/>
    <w:rsid w:val="61CE3B8D"/>
    <w:rsid w:val="61D2367E"/>
    <w:rsid w:val="61DE0274"/>
    <w:rsid w:val="61E829FD"/>
    <w:rsid w:val="61EB2991"/>
    <w:rsid w:val="61F5214B"/>
    <w:rsid w:val="61F53810"/>
    <w:rsid w:val="61FE26C5"/>
    <w:rsid w:val="61FE4473"/>
    <w:rsid w:val="61FF2C30"/>
    <w:rsid w:val="62051CA5"/>
    <w:rsid w:val="62127F1E"/>
    <w:rsid w:val="622A5268"/>
    <w:rsid w:val="623205C0"/>
    <w:rsid w:val="62344338"/>
    <w:rsid w:val="62377985"/>
    <w:rsid w:val="62443583"/>
    <w:rsid w:val="62481B92"/>
    <w:rsid w:val="62514446"/>
    <w:rsid w:val="625E0C2B"/>
    <w:rsid w:val="62652744"/>
    <w:rsid w:val="626764BC"/>
    <w:rsid w:val="626C3AD2"/>
    <w:rsid w:val="62712E97"/>
    <w:rsid w:val="627E7362"/>
    <w:rsid w:val="628232F6"/>
    <w:rsid w:val="628506F0"/>
    <w:rsid w:val="6287090C"/>
    <w:rsid w:val="62922E0D"/>
    <w:rsid w:val="62952E2B"/>
    <w:rsid w:val="62AA63A9"/>
    <w:rsid w:val="62B17737"/>
    <w:rsid w:val="62BD60DC"/>
    <w:rsid w:val="62BF1D86"/>
    <w:rsid w:val="62BF7F01"/>
    <w:rsid w:val="62CF4061"/>
    <w:rsid w:val="62DA4EE0"/>
    <w:rsid w:val="62E01DCA"/>
    <w:rsid w:val="62E93375"/>
    <w:rsid w:val="63092E9C"/>
    <w:rsid w:val="631669F1"/>
    <w:rsid w:val="631F28F3"/>
    <w:rsid w:val="63260125"/>
    <w:rsid w:val="632C670F"/>
    <w:rsid w:val="632E2B36"/>
    <w:rsid w:val="63310878"/>
    <w:rsid w:val="633A3BD0"/>
    <w:rsid w:val="633E75C7"/>
    <w:rsid w:val="63402869"/>
    <w:rsid w:val="634E0140"/>
    <w:rsid w:val="63510202"/>
    <w:rsid w:val="63550013"/>
    <w:rsid w:val="636522D0"/>
    <w:rsid w:val="63666773"/>
    <w:rsid w:val="636A472B"/>
    <w:rsid w:val="6377272F"/>
    <w:rsid w:val="637E06AE"/>
    <w:rsid w:val="63844E4C"/>
    <w:rsid w:val="638B442C"/>
    <w:rsid w:val="639C2195"/>
    <w:rsid w:val="639D5F0D"/>
    <w:rsid w:val="639F1C85"/>
    <w:rsid w:val="63A1155A"/>
    <w:rsid w:val="63B219B9"/>
    <w:rsid w:val="63B55005"/>
    <w:rsid w:val="63CB65D6"/>
    <w:rsid w:val="63CF256B"/>
    <w:rsid w:val="63D01E3F"/>
    <w:rsid w:val="63F4603A"/>
    <w:rsid w:val="64063F67"/>
    <w:rsid w:val="6410048D"/>
    <w:rsid w:val="64104931"/>
    <w:rsid w:val="641C5084"/>
    <w:rsid w:val="641E704E"/>
    <w:rsid w:val="6421269A"/>
    <w:rsid w:val="642B3519"/>
    <w:rsid w:val="64410F8F"/>
    <w:rsid w:val="64526CF8"/>
    <w:rsid w:val="646D3B32"/>
    <w:rsid w:val="647E7AED"/>
    <w:rsid w:val="64801AB7"/>
    <w:rsid w:val="648F5856"/>
    <w:rsid w:val="64966BE4"/>
    <w:rsid w:val="64986E00"/>
    <w:rsid w:val="649B069F"/>
    <w:rsid w:val="649B41FB"/>
    <w:rsid w:val="649C7F73"/>
    <w:rsid w:val="64A55079"/>
    <w:rsid w:val="64AC28AC"/>
    <w:rsid w:val="64AF5EF8"/>
    <w:rsid w:val="64BC23C3"/>
    <w:rsid w:val="64BE61B5"/>
    <w:rsid w:val="64C4402E"/>
    <w:rsid w:val="64C5395D"/>
    <w:rsid w:val="64CF659A"/>
    <w:rsid w:val="64D4595F"/>
    <w:rsid w:val="64D616D7"/>
    <w:rsid w:val="64DB6CED"/>
    <w:rsid w:val="64DD4813"/>
    <w:rsid w:val="64E53367"/>
    <w:rsid w:val="64EA33D4"/>
    <w:rsid w:val="64EC0669"/>
    <w:rsid w:val="64EC0EFA"/>
    <w:rsid w:val="64EF2799"/>
    <w:rsid w:val="64F1206D"/>
    <w:rsid w:val="64F32289"/>
    <w:rsid w:val="64F46001"/>
    <w:rsid w:val="64F8789F"/>
    <w:rsid w:val="65002B3F"/>
    <w:rsid w:val="65037FF2"/>
    <w:rsid w:val="65081EF0"/>
    <w:rsid w:val="650A5824"/>
    <w:rsid w:val="650D2C1F"/>
    <w:rsid w:val="650F4BE9"/>
    <w:rsid w:val="651F5701"/>
    <w:rsid w:val="652E1513"/>
    <w:rsid w:val="65366619"/>
    <w:rsid w:val="653E102A"/>
    <w:rsid w:val="653E2AE1"/>
    <w:rsid w:val="65406257"/>
    <w:rsid w:val="65501489"/>
    <w:rsid w:val="65515201"/>
    <w:rsid w:val="65532D27"/>
    <w:rsid w:val="6554084E"/>
    <w:rsid w:val="65562818"/>
    <w:rsid w:val="655A40B6"/>
    <w:rsid w:val="655D5954"/>
    <w:rsid w:val="6562740E"/>
    <w:rsid w:val="657219D1"/>
    <w:rsid w:val="657D1B52"/>
    <w:rsid w:val="657F3B1C"/>
    <w:rsid w:val="657F58CB"/>
    <w:rsid w:val="6582360D"/>
    <w:rsid w:val="65856C59"/>
    <w:rsid w:val="65907AD8"/>
    <w:rsid w:val="65982E30"/>
    <w:rsid w:val="65984BDE"/>
    <w:rsid w:val="65AA24D9"/>
    <w:rsid w:val="65AF6DA2"/>
    <w:rsid w:val="65B14B38"/>
    <w:rsid w:val="65B5753E"/>
    <w:rsid w:val="65B65359"/>
    <w:rsid w:val="65C459D3"/>
    <w:rsid w:val="65C57872"/>
    <w:rsid w:val="65CB5C4D"/>
    <w:rsid w:val="65CD0D2C"/>
    <w:rsid w:val="65E120E1"/>
    <w:rsid w:val="65EE2DA5"/>
    <w:rsid w:val="65F0434C"/>
    <w:rsid w:val="65F55B8D"/>
    <w:rsid w:val="65F767C1"/>
    <w:rsid w:val="65FA31A3"/>
    <w:rsid w:val="65FF4C5D"/>
    <w:rsid w:val="66056E07"/>
    <w:rsid w:val="660A4ECA"/>
    <w:rsid w:val="661029C7"/>
    <w:rsid w:val="66134265"/>
    <w:rsid w:val="661701F9"/>
    <w:rsid w:val="661C580F"/>
    <w:rsid w:val="662741AE"/>
    <w:rsid w:val="662D4419"/>
    <w:rsid w:val="662F3B8F"/>
    <w:rsid w:val="66320B8F"/>
    <w:rsid w:val="663443AF"/>
    <w:rsid w:val="663568D1"/>
    <w:rsid w:val="664408C2"/>
    <w:rsid w:val="664A237C"/>
    <w:rsid w:val="664D397F"/>
    <w:rsid w:val="665705F5"/>
    <w:rsid w:val="665A1E94"/>
    <w:rsid w:val="665C20B0"/>
    <w:rsid w:val="66621842"/>
    <w:rsid w:val="66737B66"/>
    <w:rsid w:val="667C4500"/>
    <w:rsid w:val="6683763C"/>
    <w:rsid w:val="66862C89"/>
    <w:rsid w:val="66985D66"/>
    <w:rsid w:val="669C24AC"/>
    <w:rsid w:val="66A328A0"/>
    <w:rsid w:val="66AA4BC9"/>
    <w:rsid w:val="66AC7EC6"/>
    <w:rsid w:val="66C37A39"/>
    <w:rsid w:val="66CC0FE3"/>
    <w:rsid w:val="66CE6EBD"/>
    <w:rsid w:val="66CF63DE"/>
    <w:rsid w:val="66D25ECE"/>
    <w:rsid w:val="66D47E98"/>
    <w:rsid w:val="66E005EB"/>
    <w:rsid w:val="66E53E53"/>
    <w:rsid w:val="66EF2FFE"/>
    <w:rsid w:val="66EF6A80"/>
    <w:rsid w:val="66F127F8"/>
    <w:rsid w:val="66F978FF"/>
    <w:rsid w:val="670342D9"/>
    <w:rsid w:val="670C13E0"/>
    <w:rsid w:val="6732696D"/>
    <w:rsid w:val="6736645D"/>
    <w:rsid w:val="673B7F17"/>
    <w:rsid w:val="673D5A3D"/>
    <w:rsid w:val="67452B44"/>
    <w:rsid w:val="674C7A2E"/>
    <w:rsid w:val="67584625"/>
    <w:rsid w:val="6759586E"/>
    <w:rsid w:val="6760172C"/>
    <w:rsid w:val="6764121C"/>
    <w:rsid w:val="676B07FC"/>
    <w:rsid w:val="676C1E7F"/>
    <w:rsid w:val="67705E13"/>
    <w:rsid w:val="677156E7"/>
    <w:rsid w:val="67753429"/>
    <w:rsid w:val="677F169D"/>
    <w:rsid w:val="677F6056"/>
    <w:rsid w:val="67825B46"/>
    <w:rsid w:val="67955879"/>
    <w:rsid w:val="67980EC5"/>
    <w:rsid w:val="67997AC9"/>
    <w:rsid w:val="67AB5867"/>
    <w:rsid w:val="67B0620F"/>
    <w:rsid w:val="67B90406"/>
    <w:rsid w:val="67C02EC7"/>
    <w:rsid w:val="67C223E6"/>
    <w:rsid w:val="67CC59E3"/>
    <w:rsid w:val="67D21542"/>
    <w:rsid w:val="67D46EF3"/>
    <w:rsid w:val="67D55C76"/>
    <w:rsid w:val="67DF6AF4"/>
    <w:rsid w:val="67E660D5"/>
    <w:rsid w:val="67F24A7A"/>
    <w:rsid w:val="67F307F2"/>
    <w:rsid w:val="67F90B92"/>
    <w:rsid w:val="68024591"/>
    <w:rsid w:val="680447AD"/>
    <w:rsid w:val="68060525"/>
    <w:rsid w:val="680C5410"/>
    <w:rsid w:val="68120C78"/>
    <w:rsid w:val="682441E9"/>
    <w:rsid w:val="68295FC1"/>
    <w:rsid w:val="682D666D"/>
    <w:rsid w:val="68324E76"/>
    <w:rsid w:val="68331B39"/>
    <w:rsid w:val="68354966"/>
    <w:rsid w:val="68356714"/>
    <w:rsid w:val="683B631A"/>
    <w:rsid w:val="684B23DC"/>
    <w:rsid w:val="6850354E"/>
    <w:rsid w:val="68525518"/>
    <w:rsid w:val="685272C6"/>
    <w:rsid w:val="68633281"/>
    <w:rsid w:val="68686AEA"/>
    <w:rsid w:val="686D4100"/>
    <w:rsid w:val="68784853"/>
    <w:rsid w:val="68914293"/>
    <w:rsid w:val="689E250C"/>
    <w:rsid w:val="689F0032"/>
    <w:rsid w:val="68AB4C28"/>
    <w:rsid w:val="68B47F81"/>
    <w:rsid w:val="68BC6E36"/>
    <w:rsid w:val="68C22D55"/>
    <w:rsid w:val="68C47A98"/>
    <w:rsid w:val="68C61A62"/>
    <w:rsid w:val="68D66149"/>
    <w:rsid w:val="68DE0B5A"/>
    <w:rsid w:val="68E343C2"/>
    <w:rsid w:val="68E5638C"/>
    <w:rsid w:val="68FA3E26"/>
    <w:rsid w:val="68FB795E"/>
    <w:rsid w:val="69026F3E"/>
    <w:rsid w:val="690D7691"/>
    <w:rsid w:val="69112CDD"/>
    <w:rsid w:val="691D5B26"/>
    <w:rsid w:val="691E53FA"/>
    <w:rsid w:val="69201173"/>
    <w:rsid w:val="69256789"/>
    <w:rsid w:val="693634DB"/>
    <w:rsid w:val="6938470E"/>
    <w:rsid w:val="6945507D"/>
    <w:rsid w:val="694B7883"/>
    <w:rsid w:val="694E3F32"/>
    <w:rsid w:val="695452C0"/>
    <w:rsid w:val="696A0640"/>
    <w:rsid w:val="69855479"/>
    <w:rsid w:val="69886D18"/>
    <w:rsid w:val="69912070"/>
    <w:rsid w:val="699658D9"/>
    <w:rsid w:val="69A2427D"/>
    <w:rsid w:val="69AD796E"/>
    <w:rsid w:val="69B12712"/>
    <w:rsid w:val="69BB0E9B"/>
    <w:rsid w:val="69BB70ED"/>
    <w:rsid w:val="69C67F6C"/>
    <w:rsid w:val="69D63F27"/>
    <w:rsid w:val="69D65CD5"/>
    <w:rsid w:val="69DA7573"/>
    <w:rsid w:val="69E00902"/>
    <w:rsid w:val="69E20B50"/>
    <w:rsid w:val="69E421A0"/>
    <w:rsid w:val="69E77EE2"/>
    <w:rsid w:val="69EC72A7"/>
    <w:rsid w:val="69FA19C4"/>
    <w:rsid w:val="69FF347E"/>
    <w:rsid w:val="69FF6FDA"/>
    <w:rsid w:val="6A010FA4"/>
    <w:rsid w:val="6A0942FC"/>
    <w:rsid w:val="6A130CD7"/>
    <w:rsid w:val="6A152CA1"/>
    <w:rsid w:val="6A154A4F"/>
    <w:rsid w:val="6A1862EE"/>
    <w:rsid w:val="6A1D43F7"/>
    <w:rsid w:val="6A2151A2"/>
    <w:rsid w:val="6A2A361C"/>
    <w:rsid w:val="6A2C1D99"/>
    <w:rsid w:val="6A356EA0"/>
    <w:rsid w:val="6A503CD9"/>
    <w:rsid w:val="6A507835"/>
    <w:rsid w:val="6A55309E"/>
    <w:rsid w:val="6A5E63F6"/>
    <w:rsid w:val="6A6B0B13"/>
    <w:rsid w:val="6A7259FE"/>
    <w:rsid w:val="6A7343B6"/>
    <w:rsid w:val="6A794FDE"/>
    <w:rsid w:val="6A7A48B2"/>
    <w:rsid w:val="6A7E25F5"/>
    <w:rsid w:val="6A7F45BF"/>
    <w:rsid w:val="6A876FCF"/>
    <w:rsid w:val="6A927E4E"/>
    <w:rsid w:val="6A95793E"/>
    <w:rsid w:val="6A995680"/>
    <w:rsid w:val="6AA05414"/>
    <w:rsid w:val="6AA33E09"/>
    <w:rsid w:val="6AA638F9"/>
    <w:rsid w:val="6AA858C3"/>
    <w:rsid w:val="6AA87672"/>
    <w:rsid w:val="6AB204F0"/>
    <w:rsid w:val="6ABB0F94"/>
    <w:rsid w:val="6AC10733"/>
    <w:rsid w:val="6AC67AF8"/>
    <w:rsid w:val="6AD46A66"/>
    <w:rsid w:val="6AE663EC"/>
    <w:rsid w:val="6AEA7C8A"/>
    <w:rsid w:val="6AEF704E"/>
    <w:rsid w:val="6AFB0FFE"/>
    <w:rsid w:val="6AFB1E97"/>
    <w:rsid w:val="6B113469"/>
    <w:rsid w:val="6B19231D"/>
    <w:rsid w:val="6B234F4A"/>
    <w:rsid w:val="6B376C47"/>
    <w:rsid w:val="6B405AFC"/>
    <w:rsid w:val="6B413622"/>
    <w:rsid w:val="6B4A0729"/>
    <w:rsid w:val="6B4D0219"/>
    <w:rsid w:val="6B4E646B"/>
    <w:rsid w:val="6B6A0DCB"/>
    <w:rsid w:val="6B747BE7"/>
    <w:rsid w:val="6B826114"/>
    <w:rsid w:val="6B8D6867"/>
    <w:rsid w:val="6B8F438D"/>
    <w:rsid w:val="6B9919CE"/>
    <w:rsid w:val="6B9B2D32"/>
    <w:rsid w:val="6BAC0302"/>
    <w:rsid w:val="6BB838E4"/>
    <w:rsid w:val="6BC24763"/>
    <w:rsid w:val="6BD34BC2"/>
    <w:rsid w:val="6BE96194"/>
    <w:rsid w:val="6BF30DC0"/>
    <w:rsid w:val="6BF32B6E"/>
    <w:rsid w:val="6BF6265F"/>
    <w:rsid w:val="6BFA3EFD"/>
    <w:rsid w:val="6C054650"/>
    <w:rsid w:val="6C0F54CE"/>
    <w:rsid w:val="6C136D6D"/>
    <w:rsid w:val="6C156F89"/>
    <w:rsid w:val="6C1F3963"/>
    <w:rsid w:val="6C305B70"/>
    <w:rsid w:val="6C494E84"/>
    <w:rsid w:val="6C6B4DFB"/>
    <w:rsid w:val="6C7C0DB6"/>
    <w:rsid w:val="6C97799E"/>
    <w:rsid w:val="6C9C6D62"/>
    <w:rsid w:val="6CA16A6E"/>
    <w:rsid w:val="6CA976D1"/>
    <w:rsid w:val="6CAB169B"/>
    <w:rsid w:val="6CAD71C1"/>
    <w:rsid w:val="6CAE4CE7"/>
    <w:rsid w:val="6CB06CB1"/>
    <w:rsid w:val="6CB26586"/>
    <w:rsid w:val="6CBD37F6"/>
    <w:rsid w:val="6CCD2BD9"/>
    <w:rsid w:val="6CD02EB0"/>
    <w:rsid w:val="6CD40BF2"/>
    <w:rsid w:val="6CD96208"/>
    <w:rsid w:val="6CE1330F"/>
    <w:rsid w:val="6CF4374A"/>
    <w:rsid w:val="6CFD2618"/>
    <w:rsid w:val="6CFE7A1D"/>
    <w:rsid w:val="6D062D75"/>
    <w:rsid w:val="6D082649"/>
    <w:rsid w:val="6D140D7C"/>
    <w:rsid w:val="6D176D30"/>
    <w:rsid w:val="6D1B4804"/>
    <w:rsid w:val="6D325918"/>
    <w:rsid w:val="6D351BC8"/>
    <w:rsid w:val="6D356354"/>
    <w:rsid w:val="6D371181"/>
    <w:rsid w:val="6D3E250F"/>
    <w:rsid w:val="6D4C4C2C"/>
    <w:rsid w:val="6D4D000E"/>
    <w:rsid w:val="6D57537F"/>
    <w:rsid w:val="6D5B6C1D"/>
    <w:rsid w:val="6D5E5FA9"/>
    <w:rsid w:val="6D642862"/>
    <w:rsid w:val="6D6F4477"/>
    <w:rsid w:val="6D7101EF"/>
    <w:rsid w:val="6D8B3006"/>
    <w:rsid w:val="6D9143ED"/>
    <w:rsid w:val="6D920165"/>
    <w:rsid w:val="6D981C1F"/>
    <w:rsid w:val="6D9B34BE"/>
    <w:rsid w:val="6DA00AD4"/>
    <w:rsid w:val="6DA265FA"/>
    <w:rsid w:val="6DB36A59"/>
    <w:rsid w:val="6DB63E53"/>
    <w:rsid w:val="6DBB590E"/>
    <w:rsid w:val="6DC01176"/>
    <w:rsid w:val="6DC42A14"/>
    <w:rsid w:val="6DC81DD9"/>
    <w:rsid w:val="6DD10C8D"/>
    <w:rsid w:val="6DD662A4"/>
    <w:rsid w:val="6DD95D94"/>
    <w:rsid w:val="6DDE15FC"/>
    <w:rsid w:val="6DDF2AC4"/>
    <w:rsid w:val="6DE309C1"/>
    <w:rsid w:val="6DE36C13"/>
    <w:rsid w:val="6DF350A8"/>
    <w:rsid w:val="6DF42BCE"/>
    <w:rsid w:val="6DF80910"/>
    <w:rsid w:val="6E005A16"/>
    <w:rsid w:val="6E096679"/>
    <w:rsid w:val="6E0C76AD"/>
    <w:rsid w:val="6E113780"/>
    <w:rsid w:val="6E153270"/>
    <w:rsid w:val="6E182D60"/>
    <w:rsid w:val="6E3000AA"/>
    <w:rsid w:val="6E364F94"/>
    <w:rsid w:val="6E3F02ED"/>
    <w:rsid w:val="6E3F209B"/>
    <w:rsid w:val="6E492F1A"/>
    <w:rsid w:val="6E4E22DE"/>
    <w:rsid w:val="6E5024FA"/>
    <w:rsid w:val="6E5518BE"/>
    <w:rsid w:val="6E573888"/>
    <w:rsid w:val="6E5B2C4D"/>
    <w:rsid w:val="6E5F44EB"/>
    <w:rsid w:val="6E6C4E5A"/>
    <w:rsid w:val="6E6C58B8"/>
    <w:rsid w:val="6E6D7D9C"/>
    <w:rsid w:val="6E7220C5"/>
    <w:rsid w:val="6E7A30D3"/>
    <w:rsid w:val="6E7A3414"/>
    <w:rsid w:val="6E811FDA"/>
    <w:rsid w:val="6E8842D7"/>
    <w:rsid w:val="6EA445F4"/>
    <w:rsid w:val="6EAC5256"/>
    <w:rsid w:val="6EAE5472"/>
    <w:rsid w:val="6EB02F99"/>
    <w:rsid w:val="6EB72579"/>
    <w:rsid w:val="6EB8009F"/>
    <w:rsid w:val="6EB83BFB"/>
    <w:rsid w:val="6EBA3E17"/>
    <w:rsid w:val="6EBC7B8F"/>
    <w:rsid w:val="6EC46A44"/>
    <w:rsid w:val="6ED03181"/>
    <w:rsid w:val="6ED21161"/>
    <w:rsid w:val="6EDE7B06"/>
    <w:rsid w:val="6EE40E94"/>
    <w:rsid w:val="6EE82732"/>
    <w:rsid w:val="6EF235B1"/>
    <w:rsid w:val="6EF47329"/>
    <w:rsid w:val="6EF72976"/>
    <w:rsid w:val="6EF74724"/>
    <w:rsid w:val="6EFA06B8"/>
    <w:rsid w:val="6EFA5D3A"/>
    <w:rsid w:val="6F03756C"/>
    <w:rsid w:val="6F046E40"/>
    <w:rsid w:val="6F072676"/>
    <w:rsid w:val="6F113990"/>
    <w:rsid w:val="6F125A01"/>
    <w:rsid w:val="6F1E6154"/>
    <w:rsid w:val="6F1F1ECC"/>
    <w:rsid w:val="6F2177A4"/>
    <w:rsid w:val="6F255735"/>
    <w:rsid w:val="6F26325B"/>
    <w:rsid w:val="6F2D5C85"/>
    <w:rsid w:val="6F342477"/>
    <w:rsid w:val="6F3B4F58"/>
    <w:rsid w:val="6F4D6A39"/>
    <w:rsid w:val="6F51652A"/>
    <w:rsid w:val="6F63000B"/>
    <w:rsid w:val="6F6F075E"/>
    <w:rsid w:val="6F7246F2"/>
    <w:rsid w:val="6F771D08"/>
    <w:rsid w:val="6F8561D3"/>
    <w:rsid w:val="6F8B1310"/>
    <w:rsid w:val="6F946416"/>
    <w:rsid w:val="6F963F3C"/>
    <w:rsid w:val="6F975F07"/>
    <w:rsid w:val="6F984159"/>
    <w:rsid w:val="6FA66085"/>
    <w:rsid w:val="6FAB0966"/>
    <w:rsid w:val="6FAD74D8"/>
    <w:rsid w:val="6FB940CF"/>
    <w:rsid w:val="6FC52A74"/>
    <w:rsid w:val="6FCA62DC"/>
    <w:rsid w:val="6FCC5EE4"/>
    <w:rsid w:val="6FD20CED"/>
    <w:rsid w:val="6FD809F9"/>
    <w:rsid w:val="6FE21CC2"/>
    <w:rsid w:val="6FE74798"/>
    <w:rsid w:val="6FE80510"/>
    <w:rsid w:val="6FEE1FCA"/>
    <w:rsid w:val="7012558D"/>
    <w:rsid w:val="701E2184"/>
    <w:rsid w:val="702D7E69"/>
    <w:rsid w:val="70345611"/>
    <w:rsid w:val="70381498"/>
    <w:rsid w:val="703A5210"/>
    <w:rsid w:val="703D6AAE"/>
    <w:rsid w:val="704936A5"/>
    <w:rsid w:val="704C4F43"/>
    <w:rsid w:val="704C6CF1"/>
    <w:rsid w:val="706758D9"/>
    <w:rsid w:val="70700C31"/>
    <w:rsid w:val="7073427E"/>
    <w:rsid w:val="70756248"/>
    <w:rsid w:val="708B7819"/>
    <w:rsid w:val="709223F1"/>
    <w:rsid w:val="709D579F"/>
    <w:rsid w:val="70A408DB"/>
    <w:rsid w:val="70A95EF1"/>
    <w:rsid w:val="70AB1C6A"/>
    <w:rsid w:val="70B2124A"/>
    <w:rsid w:val="70B76860"/>
    <w:rsid w:val="70C0289D"/>
    <w:rsid w:val="70C42D2B"/>
    <w:rsid w:val="70C90342"/>
    <w:rsid w:val="70CF74E9"/>
    <w:rsid w:val="70D263D9"/>
    <w:rsid w:val="70D72A5F"/>
    <w:rsid w:val="70DC0075"/>
    <w:rsid w:val="70DC62C7"/>
    <w:rsid w:val="70DF5DB7"/>
    <w:rsid w:val="70E5162D"/>
    <w:rsid w:val="70E86ED8"/>
    <w:rsid w:val="70F21646"/>
    <w:rsid w:val="70F74EAF"/>
    <w:rsid w:val="70F829D5"/>
    <w:rsid w:val="70F84783"/>
    <w:rsid w:val="71127F06"/>
    <w:rsid w:val="711C4915"/>
    <w:rsid w:val="712437CA"/>
    <w:rsid w:val="713056CE"/>
    <w:rsid w:val="71327C95"/>
    <w:rsid w:val="713559D7"/>
    <w:rsid w:val="713A2FED"/>
    <w:rsid w:val="713E2ADE"/>
    <w:rsid w:val="713F0604"/>
    <w:rsid w:val="713F5AFC"/>
    <w:rsid w:val="715C7408"/>
    <w:rsid w:val="715E5B7B"/>
    <w:rsid w:val="71645191"/>
    <w:rsid w:val="716562BC"/>
    <w:rsid w:val="717A56C5"/>
    <w:rsid w:val="718A5D23"/>
    <w:rsid w:val="719646C8"/>
    <w:rsid w:val="719B1CDE"/>
    <w:rsid w:val="71B46975"/>
    <w:rsid w:val="71BA10A6"/>
    <w:rsid w:val="71BB412E"/>
    <w:rsid w:val="71C50B09"/>
    <w:rsid w:val="71C72AD3"/>
    <w:rsid w:val="71C8684B"/>
    <w:rsid w:val="71CD3E62"/>
    <w:rsid w:val="71D21478"/>
    <w:rsid w:val="71D4762D"/>
    <w:rsid w:val="71DD22F7"/>
    <w:rsid w:val="71DF0762"/>
    <w:rsid w:val="71EF5B86"/>
    <w:rsid w:val="71F413EE"/>
    <w:rsid w:val="71FD4747"/>
    <w:rsid w:val="721101F2"/>
    <w:rsid w:val="72135D18"/>
    <w:rsid w:val="721A2A40"/>
    <w:rsid w:val="721B697B"/>
    <w:rsid w:val="72231CD3"/>
    <w:rsid w:val="72247F25"/>
    <w:rsid w:val="7227389B"/>
    <w:rsid w:val="72273C06"/>
    <w:rsid w:val="722E4FC0"/>
    <w:rsid w:val="722F68CA"/>
    <w:rsid w:val="7238577F"/>
    <w:rsid w:val="723932A5"/>
    <w:rsid w:val="723D4B43"/>
    <w:rsid w:val="724759C2"/>
    <w:rsid w:val="72563E57"/>
    <w:rsid w:val="72620A4E"/>
    <w:rsid w:val="7265409A"/>
    <w:rsid w:val="72663713"/>
    <w:rsid w:val="7285473C"/>
    <w:rsid w:val="72907369"/>
    <w:rsid w:val="729329B5"/>
    <w:rsid w:val="72966949"/>
    <w:rsid w:val="72987FCC"/>
    <w:rsid w:val="729A0448"/>
    <w:rsid w:val="729A1F96"/>
    <w:rsid w:val="72A03324"/>
    <w:rsid w:val="72A252EE"/>
    <w:rsid w:val="72A746B3"/>
    <w:rsid w:val="72AE5A41"/>
    <w:rsid w:val="72AF5315"/>
    <w:rsid w:val="72B1108D"/>
    <w:rsid w:val="72B312A9"/>
    <w:rsid w:val="72C60FDD"/>
    <w:rsid w:val="72CC5EC7"/>
    <w:rsid w:val="72D22312"/>
    <w:rsid w:val="72D354A8"/>
    <w:rsid w:val="72D54D7C"/>
    <w:rsid w:val="72DF3E4C"/>
    <w:rsid w:val="72E27499"/>
    <w:rsid w:val="72F43335"/>
    <w:rsid w:val="73010267"/>
    <w:rsid w:val="73025D8D"/>
    <w:rsid w:val="7306587D"/>
    <w:rsid w:val="73124222"/>
    <w:rsid w:val="73155AC0"/>
    <w:rsid w:val="731735E6"/>
    <w:rsid w:val="732816FD"/>
    <w:rsid w:val="73330ED6"/>
    <w:rsid w:val="733E5017"/>
    <w:rsid w:val="733F2B3D"/>
    <w:rsid w:val="734463A5"/>
    <w:rsid w:val="735142CD"/>
    <w:rsid w:val="73542E17"/>
    <w:rsid w:val="7357013F"/>
    <w:rsid w:val="735F0AE9"/>
    <w:rsid w:val="7369533C"/>
    <w:rsid w:val="737E5413"/>
    <w:rsid w:val="738D3C94"/>
    <w:rsid w:val="739015EB"/>
    <w:rsid w:val="739A5FC5"/>
    <w:rsid w:val="739F538A"/>
    <w:rsid w:val="73A66718"/>
    <w:rsid w:val="73AD0F38"/>
    <w:rsid w:val="73AD3F4B"/>
    <w:rsid w:val="73B515B8"/>
    <w:rsid w:val="73BA21C4"/>
    <w:rsid w:val="73C117A4"/>
    <w:rsid w:val="73D72D76"/>
    <w:rsid w:val="73E07E7C"/>
    <w:rsid w:val="73E3171A"/>
    <w:rsid w:val="73EA4857"/>
    <w:rsid w:val="73EC4A73"/>
    <w:rsid w:val="73ED4347"/>
    <w:rsid w:val="73EF760A"/>
    <w:rsid w:val="73F27BAF"/>
    <w:rsid w:val="74026044"/>
    <w:rsid w:val="74052F11"/>
    <w:rsid w:val="740C6EC3"/>
    <w:rsid w:val="740F0761"/>
    <w:rsid w:val="74145D78"/>
    <w:rsid w:val="7419513C"/>
    <w:rsid w:val="741C4C2C"/>
    <w:rsid w:val="741E6BF6"/>
    <w:rsid w:val="74251D33"/>
    <w:rsid w:val="743261FE"/>
    <w:rsid w:val="74367F1C"/>
    <w:rsid w:val="74393A30"/>
    <w:rsid w:val="743963E0"/>
    <w:rsid w:val="74575C64"/>
    <w:rsid w:val="745919DD"/>
    <w:rsid w:val="745D771F"/>
    <w:rsid w:val="7461643C"/>
    <w:rsid w:val="746C16D8"/>
    <w:rsid w:val="74732A9E"/>
    <w:rsid w:val="74747483"/>
    <w:rsid w:val="74806D71"/>
    <w:rsid w:val="74911176"/>
    <w:rsid w:val="74A013B9"/>
    <w:rsid w:val="74A0760B"/>
    <w:rsid w:val="74A470FC"/>
    <w:rsid w:val="74A964C0"/>
    <w:rsid w:val="74AA048A"/>
    <w:rsid w:val="74AC7D5E"/>
    <w:rsid w:val="74B43457"/>
    <w:rsid w:val="74BB4445"/>
    <w:rsid w:val="74C4779E"/>
    <w:rsid w:val="74C55109"/>
    <w:rsid w:val="74E12E70"/>
    <w:rsid w:val="74E27C24"/>
    <w:rsid w:val="74EB4D2A"/>
    <w:rsid w:val="74F14015"/>
    <w:rsid w:val="74F31E31"/>
    <w:rsid w:val="74F33BDF"/>
    <w:rsid w:val="751F49D4"/>
    <w:rsid w:val="752124FA"/>
    <w:rsid w:val="75267B11"/>
    <w:rsid w:val="75287D2D"/>
    <w:rsid w:val="753D30AC"/>
    <w:rsid w:val="754E7067"/>
    <w:rsid w:val="755056DA"/>
    <w:rsid w:val="755E374E"/>
    <w:rsid w:val="75687157"/>
    <w:rsid w:val="75695C4F"/>
    <w:rsid w:val="75706FDE"/>
    <w:rsid w:val="757A4300"/>
    <w:rsid w:val="757C1E26"/>
    <w:rsid w:val="757E5B9F"/>
    <w:rsid w:val="75866801"/>
    <w:rsid w:val="75882579"/>
    <w:rsid w:val="758B206A"/>
    <w:rsid w:val="7592164A"/>
    <w:rsid w:val="759E3B4B"/>
    <w:rsid w:val="75A35605"/>
    <w:rsid w:val="75B83FF1"/>
    <w:rsid w:val="75BC0475"/>
    <w:rsid w:val="75C13CDD"/>
    <w:rsid w:val="75C335B1"/>
    <w:rsid w:val="75CA0DE4"/>
    <w:rsid w:val="75CD4430"/>
    <w:rsid w:val="75CE3E93"/>
    <w:rsid w:val="75D4756D"/>
    <w:rsid w:val="75E74F8A"/>
    <w:rsid w:val="75EB48B6"/>
    <w:rsid w:val="76010E26"/>
    <w:rsid w:val="76045978"/>
    <w:rsid w:val="760A11E0"/>
    <w:rsid w:val="76157B85"/>
    <w:rsid w:val="762027B2"/>
    <w:rsid w:val="762878B8"/>
    <w:rsid w:val="76393874"/>
    <w:rsid w:val="764212C2"/>
    <w:rsid w:val="76447F78"/>
    <w:rsid w:val="764D37C3"/>
    <w:rsid w:val="764D731F"/>
    <w:rsid w:val="76595CC4"/>
    <w:rsid w:val="766823AB"/>
    <w:rsid w:val="76774ECB"/>
    <w:rsid w:val="767825EE"/>
    <w:rsid w:val="76864413"/>
    <w:rsid w:val="768B782E"/>
    <w:rsid w:val="768C7E47"/>
    <w:rsid w:val="768E0063"/>
    <w:rsid w:val="7693567A"/>
    <w:rsid w:val="76960CC6"/>
    <w:rsid w:val="76983573"/>
    <w:rsid w:val="769B62DC"/>
    <w:rsid w:val="76A2766B"/>
    <w:rsid w:val="76BC3479"/>
    <w:rsid w:val="76CA4E14"/>
    <w:rsid w:val="76D37824"/>
    <w:rsid w:val="76D57A40"/>
    <w:rsid w:val="76E23F0B"/>
    <w:rsid w:val="76E61C4D"/>
    <w:rsid w:val="77123106"/>
    <w:rsid w:val="77147E3D"/>
    <w:rsid w:val="7718792D"/>
    <w:rsid w:val="771C7050"/>
    <w:rsid w:val="771F2A69"/>
    <w:rsid w:val="772375CF"/>
    <w:rsid w:val="772C5186"/>
    <w:rsid w:val="77334767"/>
    <w:rsid w:val="77383D41"/>
    <w:rsid w:val="77446974"/>
    <w:rsid w:val="77470212"/>
    <w:rsid w:val="775D1D32"/>
    <w:rsid w:val="7762504C"/>
    <w:rsid w:val="776641EE"/>
    <w:rsid w:val="77672662"/>
    <w:rsid w:val="776963DA"/>
    <w:rsid w:val="776E579F"/>
    <w:rsid w:val="77737259"/>
    <w:rsid w:val="777F79AC"/>
    <w:rsid w:val="778154D2"/>
    <w:rsid w:val="778D20C9"/>
    <w:rsid w:val="77957B2F"/>
    <w:rsid w:val="77974CF6"/>
    <w:rsid w:val="7798281C"/>
    <w:rsid w:val="779A6594"/>
    <w:rsid w:val="77BA4AFE"/>
    <w:rsid w:val="77C6382D"/>
    <w:rsid w:val="77C81353"/>
    <w:rsid w:val="77D24E7E"/>
    <w:rsid w:val="77D41D63"/>
    <w:rsid w:val="77D71596"/>
    <w:rsid w:val="77DA4BE2"/>
    <w:rsid w:val="77DC6BAC"/>
    <w:rsid w:val="77DF044B"/>
    <w:rsid w:val="77F24A45"/>
    <w:rsid w:val="78016613"/>
    <w:rsid w:val="780802FA"/>
    <w:rsid w:val="780B6BD1"/>
    <w:rsid w:val="78104AA8"/>
    <w:rsid w:val="782E3B07"/>
    <w:rsid w:val="78300CA6"/>
    <w:rsid w:val="78324A1E"/>
    <w:rsid w:val="783B1B25"/>
    <w:rsid w:val="784D7151"/>
    <w:rsid w:val="785B21C7"/>
    <w:rsid w:val="785D5F3F"/>
    <w:rsid w:val="7860250E"/>
    <w:rsid w:val="78656BA2"/>
    <w:rsid w:val="787943FB"/>
    <w:rsid w:val="787B63C5"/>
    <w:rsid w:val="788F2E8E"/>
    <w:rsid w:val="789C633C"/>
    <w:rsid w:val="78AE679B"/>
    <w:rsid w:val="78B418D7"/>
    <w:rsid w:val="78B4669B"/>
    <w:rsid w:val="78C25DA2"/>
    <w:rsid w:val="78D14237"/>
    <w:rsid w:val="78D36201"/>
    <w:rsid w:val="78D930EC"/>
    <w:rsid w:val="78E73A5B"/>
    <w:rsid w:val="78EA70A7"/>
    <w:rsid w:val="78F85C68"/>
    <w:rsid w:val="78FA19E0"/>
    <w:rsid w:val="78FB12B4"/>
    <w:rsid w:val="78FB5758"/>
    <w:rsid w:val="7906574A"/>
    <w:rsid w:val="79144124"/>
    <w:rsid w:val="79147842"/>
    <w:rsid w:val="792E03F6"/>
    <w:rsid w:val="792E51E6"/>
    <w:rsid w:val="79425135"/>
    <w:rsid w:val="79444A09"/>
    <w:rsid w:val="794B3FEA"/>
    <w:rsid w:val="794E582D"/>
    <w:rsid w:val="79554E68"/>
    <w:rsid w:val="79584959"/>
    <w:rsid w:val="796B643A"/>
    <w:rsid w:val="796C3F60"/>
    <w:rsid w:val="796C5D0E"/>
    <w:rsid w:val="796C64B6"/>
    <w:rsid w:val="79786DA9"/>
    <w:rsid w:val="797D616D"/>
    <w:rsid w:val="79817A0B"/>
    <w:rsid w:val="79892971"/>
    <w:rsid w:val="798F2BB6"/>
    <w:rsid w:val="7991107F"/>
    <w:rsid w:val="79982FA7"/>
    <w:rsid w:val="79991513"/>
    <w:rsid w:val="79A656C4"/>
    <w:rsid w:val="79A951B4"/>
    <w:rsid w:val="79AE27CB"/>
    <w:rsid w:val="79B002F1"/>
    <w:rsid w:val="79B24069"/>
    <w:rsid w:val="79B67745"/>
    <w:rsid w:val="79B74A9C"/>
    <w:rsid w:val="79B80F53"/>
    <w:rsid w:val="79BC6C95"/>
    <w:rsid w:val="79D0629D"/>
    <w:rsid w:val="79D35D8D"/>
    <w:rsid w:val="79E85CDC"/>
    <w:rsid w:val="79F20909"/>
    <w:rsid w:val="79F842AA"/>
    <w:rsid w:val="7A016D9E"/>
    <w:rsid w:val="7A0348C4"/>
    <w:rsid w:val="7A0D5743"/>
    <w:rsid w:val="7A0D57EA"/>
    <w:rsid w:val="7A141AFC"/>
    <w:rsid w:val="7A150154"/>
    <w:rsid w:val="7A252A8D"/>
    <w:rsid w:val="7A2605B3"/>
    <w:rsid w:val="7A2B7977"/>
    <w:rsid w:val="7A3727C0"/>
    <w:rsid w:val="7A3B0E08"/>
    <w:rsid w:val="7A3C1B84"/>
    <w:rsid w:val="7A3C7DD6"/>
    <w:rsid w:val="7A3D37B2"/>
    <w:rsid w:val="7A523156"/>
    <w:rsid w:val="7A542B32"/>
    <w:rsid w:val="7A56680F"/>
    <w:rsid w:val="7A6730A5"/>
    <w:rsid w:val="7A684727"/>
    <w:rsid w:val="7A6A4943"/>
    <w:rsid w:val="7A70182E"/>
    <w:rsid w:val="7A7A445B"/>
    <w:rsid w:val="7A807CC3"/>
    <w:rsid w:val="7A832DF8"/>
    <w:rsid w:val="7A8D418E"/>
    <w:rsid w:val="7A8F6158"/>
    <w:rsid w:val="7A97325F"/>
    <w:rsid w:val="7AA53BCD"/>
    <w:rsid w:val="7AAC0AB8"/>
    <w:rsid w:val="7AB2521E"/>
    <w:rsid w:val="7ABB1CE5"/>
    <w:rsid w:val="7ACA3634"/>
    <w:rsid w:val="7ACA42CA"/>
    <w:rsid w:val="7ACF29F8"/>
    <w:rsid w:val="7AD579F5"/>
    <w:rsid w:val="7AD63D87"/>
    <w:rsid w:val="7ADB139D"/>
    <w:rsid w:val="7AF91823"/>
    <w:rsid w:val="7AFC7D7E"/>
    <w:rsid w:val="7AFD1314"/>
    <w:rsid w:val="7AFD57B8"/>
    <w:rsid w:val="7B000E04"/>
    <w:rsid w:val="7B212602"/>
    <w:rsid w:val="7B220D7A"/>
    <w:rsid w:val="7B292109"/>
    <w:rsid w:val="7B3A2568"/>
    <w:rsid w:val="7B3B1E3C"/>
    <w:rsid w:val="7B3F7B7E"/>
    <w:rsid w:val="7B446F42"/>
    <w:rsid w:val="7B6475E5"/>
    <w:rsid w:val="7B783090"/>
    <w:rsid w:val="7B7D2454"/>
    <w:rsid w:val="7B8A691F"/>
    <w:rsid w:val="7B8E4662"/>
    <w:rsid w:val="7B95779E"/>
    <w:rsid w:val="7BA45C33"/>
    <w:rsid w:val="7BAB0D70"/>
    <w:rsid w:val="7BAE260E"/>
    <w:rsid w:val="7BAE6AB2"/>
    <w:rsid w:val="7BB5399C"/>
    <w:rsid w:val="7BBD1CA9"/>
    <w:rsid w:val="7BBF2A6D"/>
    <w:rsid w:val="7BCB1412"/>
    <w:rsid w:val="7BCD518A"/>
    <w:rsid w:val="7BCE2CB0"/>
    <w:rsid w:val="7BD0628A"/>
    <w:rsid w:val="7BD858DD"/>
    <w:rsid w:val="7BDC361F"/>
    <w:rsid w:val="7BDE5DCC"/>
    <w:rsid w:val="7BE10C35"/>
    <w:rsid w:val="7BE17726"/>
    <w:rsid w:val="7C051716"/>
    <w:rsid w:val="7C06069C"/>
    <w:rsid w:val="7C0B47C8"/>
    <w:rsid w:val="7C0E57A2"/>
    <w:rsid w:val="7C1032C9"/>
    <w:rsid w:val="7C120DEF"/>
    <w:rsid w:val="7C122B9D"/>
    <w:rsid w:val="7C134B67"/>
    <w:rsid w:val="7C2154D6"/>
    <w:rsid w:val="7C232FFC"/>
    <w:rsid w:val="7C3A20F4"/>
    <w:rsid w:val="7C3F595C"/>
    <w:rsid w:val="7C4B4301"/>
    <w:rsid w:val="7C501917"/>
    <w:rsid w:val="7C521865"/>
    <w:rsid w:val="7C570EF7"/>
    <w:rsid w:val="7C596A1E"/>
    <w:rsid w:val="7C5B0C23"/>
    <w:rsid w:val="7C5E5DE2"/>
    <w:rsid w:val="7C633D33"/>
    <w:rsid w:val="7C6B04FF"/>
    <w:rsid w:val="7C6F4493"/>
    <w:rsid w:val="7C75137E"/>
    <w:rsid w:val="7C7C4DED"/>
    <w:rsid w:val="7C817D22"/>
    <w:rsid w:val="7C86358B"/>
    <w:rsid w:val="7C8D4118"/>
    <w:rsid w:val="7C914409"/>
    <w:rsid w:val="7C924B66"/>
    <w:rsid w:val="7CBA4FE2"/>
    <w:rsid w:val="7CC6640A"/>
    <w:rsid w:val="7CCA791B"/>
    <w:rsid w:val="7CCA7F60"/>
    <w:rsid w:val="7CD9190C"/>
    <w:rsid w:val="7CDE5175"/>
    <w:rsid w:val="7CEC7850"/>
    <w:rsid w:val="7CEF7382"/>
    <w:rsid w:val="7CF60710"/>
    <w:rsid w:val="7CF93D5D"/>
    <w:rsid w:val="7D00333D"/>
    <w:rsid w:val="7D012C11"/>
    <w:rsid w:val="7D172435"/>
    <w:rsid w:val="7D1943FF"/>
    <w:rsid w:val="7D20578D"/>
    <w:rsid w:val="7D225061"/>
    <w:rsid w:val="7D23174B"/>
    <w:rsid w:val="7D276B1C"/>
    <w:rsid w:val="7D2C4132"/>
    <w:rsid w:val="7D2D7284"/>
    <w:rsid w:val="7D396D9E"/>
    <w:rsid w:val="7D423956"/>
    <w:rsid w:val="7D450D50"/>
    <w:rsid w:val="7D4551F4"/>
    <w:rsid w:val="7D474AC8"/>
    <w:rsid w:val="7D4B7628"/>
    <w:rsid w:val="7D4C0330"/>
    <w:rsid w:val="7D63567A"/>
    <w:rsid w:val="7D792545"/>
    <w:rsid w:val="7D7A30EF"/>
    <w:rsid w:val="7D8201F6"/>
    <w:rsid w:val="7D8D1A8E"/>
    <w:rsid w:val="7D963CBC"/>
    <w:rsid w:val="7D9677FD"/>
    <w:rsid w:val="7D9B3066"/>
    <w:rsid w:val="7DA0242A"/>
    <w:rsid w:val="7DA4016C"/>
    <w:rsid w:val="7DB06B11"/>
    <w:rsid w:val="7DC46119"/>
    <w:rsid w:val="7DCA5D8C"/>
    <w:rsid w:val="7DCB56F9"/>
    <w:rsid w:val="7DCE4540"/>
    <w:rsid w:val="7DD87E16"/>
    <w:rsid w:val="7DDA3B8E"/>
    <w:rsid w:val="7DE1316F"/>
    <w:rsid w:val="7DE42B56"/>
    <w:rsid w:val="7DEC566F"/>
    <w:rsid w:val="7DF32F3A"/>
    <w:rsid w:val="7DFB58B2"/>
    <w:rsid w:val="7E0C5C55"/>
    <w:rsid w:val="7E0E1A8A"/>
    <w:rsid w:val="7E1C41A7"/>
    <w:rsid w:val="7E221091"/>
    <w:rsid w:val="7E290672"/>
    <w:rsid w:val="7E33329E"/>
    <w:rsid w:val="7E3A462D"/>
    <w:rsid w:val="7E431733"/>
    <w:rsid w:val="7E4E565E"/>
    <w:rsid w:val="7E5F5E41"/>
    <w:rsid w:val="7E6B2A38"/>
    <w:rsid w:val="7E6F077A"/>
    <w:rsid w:val="7E70004F"/>
    <w:rsid w:val="7E7318ED"/>
    <w:rsid w:val="7E7538B7"/>
    <w:rsid w:val="7E8B6C36"/>
    <w:rsid w:val="7E906943"/>
    <w:rsid w:val="7E9755DB"/>
    <w:rsid w:val="7EA33FC9"/>
    <w:rsid w:val="7EAF0B77"/>
    <w:rsid w:val="7EBE700C"/>
    <w:rsid w:val="7ECB34D7"/>
    <w:rsid w:val="7EED5B43"/>
    <w:rsid w:val="7EF0118F"/>
    <w:rsid w:val="7EF944E8"/>
    <w:rsid w:val="7EF96296"/>
    <w:rsid w:val="7F030EC3"/>
    <w:rsid w:val="7F0F5AB9"/>
    <w:rsid w:val="7F1906E6"/>
    <w:rsid w:val="7F286B7B"/>
    <w:rsid w:val="7F321732"/>
    <w:rsid w:val="7F3E639F"/>
    <w:rsid w:val="7F442685"/>
    <w:rsid w:val="7F5636E8"/>
    <w:rsid w:val="7F5F07EF"/>
    <w:rsid w:val="7F673200"/>
    <w:rsid w:val="7F704F0C"/>
    <w:rsid w:val="7F78540D"/>
    <w:rsid w:val="7F8A4722"/>
    <w:rsid w:val="7F8C0EB8"/>
    <w:rsid w:val="7F8C710A"/>
    <w:rsid w:val="7F94330C"/>
    <w:rsid w:val="7F995383"/>
    <w:rsid w:val="7FAB3A34"/>
    <w:rsid w:val="7FC05006"/>
    <w:rsid w:val="7FCB5E84"/>
    <w:rsid w:val="7FE72592"/>
    <w:rsid w:val="7FEA5BDF"/>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560" w:firstLineChars="200"/>
      <w:jc w:val="both"/>
    </w:pPr>
    <w:rPr>
      <w:rFonts w:ascii="仿宋_GB2312" w:hAnsi="仿宋_GB2312" w:eastAsia="仿宋_GB2312" w:cs="仿宋_GB2312"/>
      <w:kern w:val="2"/>
      <w:sz w:val="32"/>
      <w:szCs w:val="32"/>
      <w:lang w:val="en-US" w:eastAsia="zh-CN" w:bidi="ar-SA"/>
    </w:rPr>
  </w:style>
  <w:style w:type="paragraph" w:styleId="2">
    <w:name w:val="heading 1"/>
    <w:basedOn w:val="1"/>
    <w:next w:val="1"/>
    <w:link w:val="32"/>
    <w:qFormat/>
    <w:uiPriority w:val="0"/>
    <w:pPr>
      <w:keepNext/>
      <w:numPr>
        <w:ilvl w:val="0"/>
        <w:numId w:val="1"/>
      </w:numPr>
      <w:spacing w:line="360" w:lineRule="auto"/>
      <w:ind w:firstLine="0" w:firstLineChars="0"/>
      <w:outlineLvl w:val="0"/>
    </w:pPr>
    <w:rPr>
      <w:rFonts w:ascii="Times New Roman" w:hAnsi="Times New Roman"/>
      <w:b/>
      <w:bCs/>
      <w:kern w:val="44"/>
      <w:szCs w:val="44"/>
    </w:rPr>
  </w:style>
  <w:style w:type="paragraph" w:styleId="3">
    <w:name w:val="heading 2"/>
    <w:basedOn w:val="1"/>
    <w:next w:val="1"/>
    <w:link w:val="31"/>
    <w:unhideWhenUsed/>
    <w:qFormat/>
    <w:uiPriority w:val="0"/>
    <w:pPr>
      <w:keepNext/>
      <w:keepLines/>
      <w:numPr>
        <w:ilvl w:val="1"/>
        <w:numId w:val="1"/>
      </w:numPr>
      <w:spacing w:line="560" w:lineRule="exact"/>
      <w:ind w:firstLine="0" w:firstLineChars="0"/>
      <w:outlineLvl w:val="1"/>
    </w:pPr>
    <w:rPr>
      <w:rFonts w:ascii="Times New Roman" w:hAnsi="Times New Roman" w:cs="Times New Roman"/>
      <w:b/>
      <w:snapToGrid w:val="0"/>
      <w:color w:val="000000"/>
      <w:szCs w:val="21"/>
      <w:lang w:eastAsia="en-US"/>
    </w:rPr>
  </w:style>
  <w:style w:type="paragraph" w:styleId="4">
    <w:name w:val="heading 3"/>
    <w:basedOn w:val="1"/>
    <w:next w:val="1"/>
    <w:link w:val="43"/>
    <w:unhideWhenUsed/>
    <w:qFormat/>
    <w:uiPriority w:val="0"/>
    <w:pPr>
      <w:keepNext/>
      <w:keepLines/>
      <w:numPr>
        <w:ilvl w:val="2"/>
        <w:numId w:val="1"/>
      </w:numPr>
      <w:spacing w:line="560" w:lineRule="exact"/>
      <w:ind w:left="0" w:firstLine="640" w:firstLineChars="200"/>
      <w:outlineLvl w:val="2"/>
    </w:pPr>
    <w:rPr>
      <w:rFonts w:eastAsia="仿宋_GB2312" w:asciiTheme="minorAscii" w:hAnsiTheme="minorAscii"/>
      <w:b/>
      <w:bCs/>
      <w:sz w:val="32"/>
      <w:szCs w:val="32"/>
    </w:rPr>
  </w:style>
  <w:style w:type="paragraph" w:styleId="5">
    <w:name w:val="heading 4"/>
    <w:basedOn w:val="1"/>
    <w:next w:val="1"/>
    <w:link w:val="30"/>
    <w:unhideWhenUsed/>
    <w:qFormat/>
    <w:uiPriority w:val="0"/>
    <w:pPr>
      <w:keepNext/>
      <w:keepLines/>
      <w:numPr>
        <w:ilvl w:val="3"/>
        <w:numId w:val="1"/>
      </w:numPr>
      <w:spacing w:line="560" w:lineRule="exact"/>
      <w:ind w:firstLine="402" w:firstLineChars="0"/>
      <w:outlineLvl w:val="3"/>
    </w:pPr>
    <w:rPr>
      <w:rFonts w:asciiTheme="majorAscii" w:hAnsiTheme="majorAscii" w:cstheme="majorBidi"/>
      <w:b/>
      <w:szCs w:val="28"/>
    </w:rPr>
  </w:style>
  <w:style w:type="paragraph" w:styleId="6">
    <w:name w:val="heading 5"/>
    <w:basedOn w:val="1"/>
    <w:next w:val="7"/>
    <w:unhideWhenUsed/>
    <w:qFormat/>
    <w:uiPriority w:val="0"/>
    <w:pPr>
      <w:keepNext/>
      <w:keepLines/>
      <w:numPr>
        <w:ilvl w:val="4"/>
        <w:numId w:val="1"/>
      </w:numPr>
      <w:tabs>
        <w:tab w:val="left" w:pos="0"/>
      </w:tabs>
      <w:spacing w:before="280" w:beforeLines="0" w:beforeAutospacing="0" w:after="290" w:afterLines="0" w:afterAutospacing="0" w:line="372" w:lineRule="auto"/>
      <w:ind w:firstLine="402" w:firstLineChars="0"/>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28">
    <w:name w:val="Default Paragraph Font"/>
    <w:semiHidden/>
    <w:unhideWhenUsed/>
    <w:qFormat/>
    <w:uiPriority w:val="1"/>
  </w:style>
  <w:style w:type="table" w:default="1" w:styleId="26">
    <w:name w:val="Normal Table"/>
    <w:semiHidden/>
    <w:qFormat/>
    <w:uiPriority w:val="0"/>
    <w:tblPr>
      <w:tblCellMar>
        <w:top w:w="0" w:type="dxa"/>
        <w:left w:w="108" w:type="dxa"/>
        <w:bottom w:w="0" w:type="dxa"/>
        <w:right w:w="108" w:type="dxa"/>
      </w:tblCellMar>
    </w:tblPr>
  </w:style>
  <w:style w:type="paragraph" w:styleId="7">
    <w:name w:val="Body Text First Indent"/>
    <w:basedOn w:val="1"/>
    <w:qFormat/>
    <w:uiPriority w:val="0"/>
    <w:pPr>
      <w:ind w:firstLine="200" w:firstLineChars="200"/>
    </w:pPr>
  </w:style>
  <w:style w:type="paragraph" w:styleId="12">
    <w:name w:val="Normal Indent"/>
    <w:basedOn w:val="1"/>
    <w:next w:val="1"/>
    <w:qFormat/>
    <w:uiPriority w:val="99"/>
    <w:pPr>
      <w:ind w:firstLine="420" w:firstLineChars="200"/>
    </w:pPr>
    <w:rPr>
      <w:rFonts w:eastAsia="仿宋"/>
    </w:rPr>
  </w:style>
  <w:style w:type="paragraph" w:styleId="13">
    <w:name w:val="caption"/>
    <w:basedOn w:val="1"/>
    <w:next w:val="1"/>
    <w:unhideWhenUsed/>
    <w:qFormat/>
    <w:uiPriority w:val="35"/>
    <w:pPr>
      <w:ind w:firstLine="0" w:firstLineChars="0"/>
      <w:jc w:val="center"/>
    </w:pPr>
    <w:rPr>
      <w:rFonts w:eastAsia="黑体" w:cstheme="majorBidi"/>
      <w:sz w:val="24"/>
      <w:szCs w:val="20"/>
    </w:rPr>
  </w:style>
  <w:style w:type="paragraph" w:styleId="14">
    <w:name w:val="annotation text"/>
    <w:basedOn w:val="1"/>
    <w:qFormat/>
    <w:uiPriority w:val="0"/>
  </w:style>
  <w:style w:type="paragraph" w:styleId="15">
    <w:name w:val="Body Text"/>
    <w:basedOn w:val="1"/>
    <w:link w:val="39"/>
    <w:qFormat/>
    <w:uiPriority w:val="0"/>
    <w:pPr>
      <w:ind w:firstLine="420" w:firstLineChars="200"/>
    </w:pPr>
    <w:rPr>
      <w:rFonts w:ascii="Times New Roman" w:hAnsi="Times New Roman" w:eastAsia="仿宋_GB2312" w:cs="宋体"/>
      <w:sz w:val="32"/>
    </w:rPr>
  </w:style>
  <w:style w:type="paragraph" w:styleId="16">
    <w:name w:val="Body Text Indent"/>
    <w:basedOn w:val="1"/>
    <w:next w:val="12"/>
    <w:qFormat/>
    <w:uiPriority w:val="99"/>
    <w:pPr>
      <w:ind w:firstLine="540" w:firstLineChars="180"/>
    </w:pPr>
    <w:rPr>
      <w:rFonts w:ascii="仿宋_GB2312" w:cs="仿宋_GB2312"/>
      <w:sz w:val="30"/>
      <w:szCs w:val="30"/>
    </w:rPr>
  </w:style>
  <w:style w:type="paragraph" w:styleId="17">
    <w:name w:val="toc 3"/>
    <w:basedOn w:val="1"/>
    <w:next w:val="1"/>
    <w:qFormat/>
    <w:uiPriority w:val="0"/>
    <w:pPr>
      <w:ind w:left="840" w:leftChars="400"/>
    </w:p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20">
    <w:name w:val="toc 1"/>
    <w:basedOn w:val="1"/>
    <w:next w:val="1"/>
    <w:qFormat/>
    <w:uiPriority w:val="0"/>
    <w:pPr>
      <w:pBdr>
        <w:top w:val="none" w:color="auto" w:sz="0" w:space="1"/>
        <w:left w:val="none" w:color="auto" w:sz="0" w:space="4"/>
        <w:bottom w:val="none" w:color="auto" w:sz="0" w:space="1"/>
        <w:right w:val="none" w:color="auto" w:sz="0" w:space="4"/>
      </w:pBdr>
    </w:pPr>
    <w:rPr>
      <w:rFonts w:ascii="Times New Roman" w:hAnsi="Times New Roman" w:eastAsia="宋体"/>
      <w:sz w:val="24"/>
    </w:rPr>
  </w:style>
  <w:style w:type="paragraph" w:styleId="21">
    <w:name w:val="toc 4"/>
    <w:basedOn w:val="1"/>
    <w:next w:val="1"/>
    <w:qFormat/>
    <w:uiPriority w:val="0"/>
    <w:pPr>
      <w:ind w:firstLine="0" w:firstLineChars="0"/>
      <w:jc w:val="center"/>
    </w:pPr>
    <w:rPr>
      <w:b/>
      <w:bCs/>
    </w:rPr>
  </w:style>
  <w:style w:type="paragraph" w:styleId="22">
    <w:name w:val="toc 2"/>
    <w:basedOn w:val="1"/>
    <w:next w:val="1"/>
    <w:qFormat/>
    <w:uiPriority w:val="0"/>
    <w:pPr>
      <w:ind w:left="420" w:leftChars="200"/>
    </w:pPr>
  </w:style>
  <w:style w:type="paragraph" w:styleId="23">
    <w:name w:val="Normal (Web)"/>
    <w:basedOn w:val="1"/>
    <w:qFormat/>
    <w:uiPriority w:val="0"/>
    <w:pPr>
      <w:spacing w:beforeAutospacing="1" w:afterAutospacing="1"/>
      <w:jc w:val="left"/>
    </w:pPr>
    <w:rPr>
      <w:rFonts w:cs="Times New Roman"/>
      <w:kern w:val="0"/>
      <w:sz w:val="24"/>
    </w:rPr>
  </w:style>
  <w:style w:type="paragraph" w:styleId="24">
    <w:name w:val="Title"/>
    <w:basedOn w:val="1"/>
    <w:qFormat/>
    <w:uiPriority w:val="0"/>
    <w:pPr>
      <w:numPr>
        <w:ilvl w:val="0"/>
        <w:numId w:val="2"/>
      </w:numPr>
      <w:spacing w:before="240" w:after="60"/>
      <w:jc w:val="center"/>
      <w:outlineLvl w:val="0"/>
    </w:pPr>
    <w:rPr>
      <w:rFonts w:ascii="Cambria" w:hAnsi="Cambria" w:eastAsia="宋体" w:cs="Times New Roman"/>
      <w:b/>
      <w:bCs/>
      <w:sz w:val="32"/>
      <w:szCs w:val="32"/>
    </w:rPr>
  </w:style>
  <w:style w:type="paragraph" w:styleId="25">
    <w:name w:val="Body Text First Indent 2"/>
    <w:basedOn w:val="16"/>
    <w:next w:val="1"/>
    <w:qFormat/>
    <w:uiPriority w:val="99"/>
    <w:pPr>
      <w:spacing w:after="120"/>
      <w:ind w:left="420" w:leftChars="200" w:firstLine="420" w:firstLineChars="200"/>
    </w:pPr>
    <w:rPr>
      <w:rFonts w:ascii="Times New Roman" w:cs="Times New Roman"/>
      <w:sz w:val="21"/>
      <w:szCs w:val="21"/>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customStyle="1" w:styleId="30">
    <w:name w:val="标题 4 字符"/>
    <w:link w:val="5"/>
    <w:qFormat/>
    <w:uiPriority w:val="0"/>
    <w:rPr>
      <w:rFonts w:eastAsia="仿宋_GB2312" w:asciiTheme="majorAscii" w:hAnsiTheme="majorAscii" w:cstheme="majorBidi"/>
      <w:b/>
      <w:kern w:val="2"/>
      <w:sz w:val="32"/>
      <w:szCs w:val="28"/>
      <w:lang w:val="en-US" w:eastAsia="zh-CN" w:bidi="ar-SA"/>
    </w:rPr>
  </w:style>
  <w:style w:type="character" w:customStyle="1" w:styleId="31">
    <w:name w:val="标题 2 字符"/>
    <w:link w:val="3"/>
    <w:qFormat/>
    <w:uiPriority w:val="9"/>
    <w:rPr>
      <w:rFonts w:ascii="Times New Roman" w:hAnsi="Times New Roman" w:eastAsia="仿宋_GB2312" w:cs="Times New Roman"/>
      <w:b/>
      <w:snapToGrid w:val="0"/>
      <w:color w:val="000000"/>
      <w:kern w:val="2"/>
      <w:sz w:val="32"/>
      <w:szCs w:val="21"/>
      <w:lang w:val="en-US" w:eastAsia="en-US" w:bidi="ar-SA"/>
    </w:rPr>
  </w:style>
  <w:style w:type="character" w:customStyle="1" w:styleId="32">
    <w:name w:val="标题 1 Char"/>
    <w:link w:val="2"/>
    <w:qFormat/>
    <w:uiPriority w:val="0"/>
    <w:rPr>
      <w:rFonts w:ascii="Times New Roman" w:hAnsi="Times New Roman" w:eastAsia="仿宋_GB2312" w:cs="仿宋_GB2312"/>
      <w:b/>
      <w:bCs/>
      <w:kern w:val="44"/>
      <w:sz w:val="32"/>
      <w:szCs w:val="44"/>
      <w:lang w:val="en-US" w:eastAsia="zh-CN" w:bidi="ar-SA"/>
    </w:rPr>
  </w:style>
  <w:style w:type="paragraph" w:customStyle="1" w:styleId="33">
    <w:name w:val="A1"/>
    <w:link w:val="51"/>
    <w:qFormat/>
    <w:uiPriority w:val="0"/>
    <w:pPr>
      <w:overflowPunct/>
      <w:autoSpaceDE/>
      <w:autoSpaceDN/>
      <w:adjustRightInd/>
      <w:spacing w:line="360" w:lineRule="auto"/>
      <w:ind w:firstLine="562" w:firstLineChars="200"/>
      <w:textAlignment w:val="auto"/>
    </w:pPr>
    <w:rPr>
      <w:rFonts w:ascii="Times New Roman" w:hAnsi="Times New Roman" w:eastAsia="仿宋" w:cs="Times New Roman"/>
      <w:sz w:val="24"/>
      <w:lang w:eastAsia="en-US" w:bidi="ur-PK"/>
    </w:rPr>
  </w:style>
  <w:style w:type="paragraph" w:customStyle="1" w:styleId="34">
    <w:name w:val="A2"/>
    <w:qFormat/>
    <w:uiPriority w:val="0"/>
    <w:pPr>
      <w:keepNext/>
      <w:numPr>
        <w:ilvl w:val="1"/>
        <w:numId w:val="3"/>
      </w:numPr>
      <w:pBdr>
        <w:top w:val="none" w:color="auto" w:sz="0" w:space="1"/>
        <w:left w:val="none" w:color="auto" w:sz="0" w:space="4"/>
        <w:bottom w:val="none" w:color="auto" w:sz="0" w:space="1"/>
        <w:right w:val="none" w:color="auto" w:sz="0" w:space="4"/>
      </w:pBdr>
      <w:tabs>
        <w:tab w:val="left" w:pos="0"/>
        <w:tab w:val="left" w:pos="214"/>
        <w:tab w:val="left" w:pos="420"/>
      </w:tabs>
      <w:spacing w:before="50" w:beforeLines="50" w:after="50" w:afterLines="50" w:line="360" w:lineRule="auto"/>
      <w:ind w:left="567" w:hanging="567"/>
      <w:outlineLvl w:val="2"/>
    </w:pPr>
    <w:rPr>
      <w:rFonts w:ascii="Times New Roman" w:hAnsi="Times New Roman" w:eastAsia="仿宋" w:cs="Times New Roman"/>
      <w:b/>
      <w:sz w:val="32"/>
      <w:szCs w:val="32"/>
      <w:lang w:val="en-US" w:eastAsia="zh-CN" w:bidi="ar-SA"/>
    </w:rPr>
  </w:style>
  <w:style w:type="paragraph" w:customStyle="1" w:styleId="35">
    <w:name w:val="A4"/>
    <w:next w:val="1"/>
    <w:qFormat/>
    <w:uiPriority w:val="0"/>
    <w:pPr>
      <w:keepNext/>
      <w:numPr>
        <w:ilvl w:val="3"/>
        <w:numId w:val="3"/>
      </w:numPr>
      <w:tabs>
        <w:tab w:val="left" w:pos="0"/>
        <w:tab w:val="left" w:pos="1080"/>
      </w:tabs>
      <w:bidi w:val="0"/>
      <w:spacing w:line="360" w:lineRule="auto"/>
      <w:ind w:left="850" w:leftChars="0" w:hanging="850" w:firstLineChars="0"/>
      <w:outlineLvl w:val="4"/>
    </w:pPr>
    <w:rPr>
      <w:rFonts w:ascii="Times New Roman" w:hAnsi="Times New Roman" w:eastAsia="仿宋" w:cstheme="minorBidi"/>
      <w:b/>
      <w:sz w:val="32"/>
      <w:szCs w:val="32"/>
      <w:lang w:val="en-US" w:eastAsia="zh-CN" w:bidi="ar-SA"/>
    </w:rPr>
  </w:style>
  <w:style w:type="paragraph" w:customStyle="1" w:styleId="36">
    <w:name w:val="A3"/>
    <w:next w:val="1"/>
    <w:link w:val="56"/>
    <w:qFormat/>
    <w:uiPriority w:val="0"/>
    <w:pPr>
      <w:keepNext/>
      <w:keepLines/>
      <w:numPr>
        <w:ilvl w:val="2"/>
        <w:numId w:val="3"/>
      </w:numPr>
      <w:pBdr>
        <w:top w:val="none" w:color="auto" w:sz="0" w:space="1"/>
        <w:left w:val="none" w:color="auto" w:sz="0" w:space="4"/>
        <w:bottom w:val="none" w:color="auto" w:sz="0" w:space="0"/>
        <w:right w:val="none" w:color="auto" w:sz="0" w:space="4"/>
      </w:pBdr>
      <w:tabs>
        <w:tab w:val="left" w:pos="900"/>
      </w:tabs>
      <w:bidi w:val="0"/>
      <w:spacing w:before="50" w:beforeLines="50" w:after="100" w:afterLines="100" w:line="480" w:lineRule="auto"/>
      <w:ind w:left="709" w:leftChars="0" w:right="25" w:rightChars="12" w:hanging="709" w:firstLineChars="0"/>
      <w:outlineLvl w:val="3"/>
    </w:pPr>
    <w:rPr>
      <w:rFonts w:ascii="Times New Roman" w:hAnsi="Times New Roman" w:eastAsia="仿宋" w:cs="Times New Roman"/>
      <w:b/>
      <w:sz w:val="32"/>
      <w:szCs w:val="32"/>
      <w:lang w:val="en-US" w:eastAsia="zh-CN" w:bidi="ar-SA"/>
    </w:rPr>
  </w:style>
  <w:style w:type="paragraph" w:customStyle="1" w:styleId="37">
    <w:name w:val="A5"/>
    <w:next w:val="33"/>
    <w:qFormat/>
    <w:uiPriority w:val="0"/>
    <w:pPr>
      <w:keepNext/>
      <w:numPr>
        <w:ilvl w:val="4"/>
        <w:numId w:val="3"/>
      </w:numPr>
      <w:tabs>
        <w:tab w:val="left" w:pos="0"/>
        <w:tab w:val="left" w:pos="1080"/>
      </w:tabs>
      <w:bidi w:val="0"/>
      <w:spacing w:line="360" w:lineRule="auto"/>
      <w:ind w:left="991" w:leftChars="0" w:hanging="991" w:firstLineChars="0"/>
      <w:outlineLvl w:val="5"/>
    </w:pPr>
    <w:rPr>
      <w:rFonts w:ascii="Times New Roman" w:hAnsi="Times New Roman" w:eastAsia="仿宋" w:cstheme="minorBidi"/>
      <w:b/>
      <w:sz w:val="32"/>
      <w:szCs w:val="32"/>
      <w:lang w:val="en-US" w:eastAsia="zh-CN" w:bidi="ar-SA"/>
    </w:rPr>
  </w:style>
  <w:style w:type="paragraph" w:customStyle="1" w:styleId="38">
    <w:name w:val="A正式"/>
    <w:qFormat/>
    <w:uiPriority w:val="0"/>
    <w:pPr>
      <w:overflowPunct/>
      <w:autoSpaceDE/>
      <w:autoSpaceDN/>
      <w:adjustRightInd/>
      <w:spacing w:line="360" w:lineRule="auto"/>
      <w:ind w:firstLine="562" w:firstLineChars="200"/>
      <w:textAlignment w:val="auto"/>
    </w:pPr>
    <w:rPr>
      <w:rFonts w:ascii="Times New Roman" w:hAnsi="Times New Roman" w:eastAsia="宋体" w:cs="Times New Roman"/>
      <w:sz w:val="21"/>
      <w:lang w:eastAsia="en-US" w:bidi="ur-PK"/>
    </w:rPr>
  </w:style>
  <w:style w:type="character" w:customStyle="1" w:styleId="39">
    <w:name w:val="正文文本 字符"/>
    <w:basedOn w:val="28"/>
    <w:link w:val="15"/>
    <w:qFormat/>
    <w:uiPriority w:val="0"/>
    <w:rPr>
      <w:rFonts w:ascii="Times New Roman" w:hAnsi="Times New Roman" w:eastAsia="仿宋_GB2312" w:cs="宋体"/>
      <w:kern w:val="2"/>
      <w:sz w:val="32"/>
      <w:szCs w:val="24"/>
    </w:rPr>
  </w:style>
  <w:style w:type="paragraph" w:customStyle="1" w:styleId="40">
    <w:name w:val="表内容"/>
    <w:basedOn w:val="1"/>
    <w:qFormat/>
    <w:uiPriority w:val="0"/>
    <w:pPr>
      <w:widowControl/>
      <w:spacing w:line="360" w:lineRule="exact"/>
      <w:ind w:firstLine="0" w:firstLineChars="0"/>
      <w:jc w:val="center"/>
      <w:textAlignment w:val="center"/>
    </w:pPr>
    <w:rPr>
      <w:rFonts w:hint="eastAsia" w:cs="Times New Roman"/>
      <w:color w:val="000000"/>
      <w:kern w:val="0"/>
      <w:sz w:val="21"/>
    </w:rPr>
  </w:style>
  <w:style w:type="paragraph" w:customStyle="1" w:styleId="41">
    <w:name w:val="表内容（四号字）"/>
    <w:basedOn w:val="1"/>
    <w:next w:val="15"/>
    <w:qFormat/>
    <w:uiPriority w:val="0"/>
    <w:pPr>
      <w:widowControl/>
      <w:spacing w:line="360" w:lineRule="exact"/>
      <w:jc w:val="center"/>
      <w:textAlignment w:val="center"/>
    </w:pPr>
    <w:rPr>
      <w:rFonts w:hint="eastAsia" w:ascii="仿宋_GB2312" w:hAnsi="仿宋_GB2312" w:eastAsia="仿宋_GB2312" w:cs="Times New Roman"/>
      <w:color w:val="000000"/>
      <w:kern w:val="0"/>
      <w:sz w:val="28"/>
    </w:rPr>
  </w:style>
  <w:style w:type="paragraph" w:customStyle="1" w:styleId="42">
    <w:name w:val="图格式"/>
    <w:basedOn w:val="1"/>
    <w:link w:val="59"/>
    <w:qFormat/>
    <w:uiPriority w:val="0"/>
    <w:pPr>
      <w:spacing w:line="360" w:lineRule="auto"/>
      <w:ind w:firstLine="0" w:firstLineChars="0"/>
      <w:jc w:val="center"/>
    </w:pPr>
    <w:rPr>
      <w:rFonts w:hint="eastAsia" w:ascii="Times New Roman" w:hAnsi="Times New Roman" w:eastAsia="仿宋_GB2312" w:cs="宋体"/>
      <w:sz w:val="32"/>
    </w:rPr>
  </w:style>
  <w:style w:type="character" w:customStyle="1" w:styleId="43">
    <w:name w:val="标题 3 字符"/>
    <w:basedOn w:val="28"/>
    <w:link w:val="4"/>
    <w:qFormat/>
    <w:uiPriority w:val="0"/>
    <w:rPr>
      <w:rFonts w:ascii="宋体" w:hAnsi="宋体" w:eastAsia="仿宋_GB2312" w:cs="宋体"/>
      <w:b/>
      <w:bCs/>
      <w:sz w:val="32"/>
      <w:szCs w:val="24"/>
    </w:rPr>
  </w:style>
  <w:style w:type="paragraph" w:customStyle="1" w:styleId="44">
    <w:name w:val="表内容（五号字）"/>
    <w:basedOn w:val="1"/>
    <w:qFormat/>
    <w:uiPriority w:val="0"/>
    <w:pPr>
      <w:widowControl/>
      <w:jc w:val="center"/>
      <w:textAlignment w:val="center"/>
    </w:pPr>
    <w:rPr>
      <w:rFonts w:hint="eastAsia" w:ascii="仿宋_GB2312" w:hAnsi="仿宋_GB2312" w:eastAsia="仿宋_GB2312" w:cs="Times New Roman"/>
      <w:color w:val="000000"/>
      <w:kern w:val="0"/>
    </w:rPr>
  </w:style>
  <w:style w:type="paragraph" w:customStyle="1" w:styleId="45">
    <w:name w:val="图标题"/>
    <w:basedOn w:val="1"/>
    <w:next w:val="15"/>
    <w:qFormat/>
    <w:uiPriority w:val="0"/>
    <w:pPr>
      <w:numPr>
        <w:ilvl w:val="0"/>
        <w:numId w:val="4"/>
      </w:numPr>
      <w:spacing w:line="240" w:lineRule="auto"/>
      <w:ind w:firstLine="0" w:firstLineChars="0"/>
      <w:jc w:val="center"/>
    </w:pPr>
    <w:rPr>
      <w:rFonts w:hint="eastAsia" w:ascii="Times New Roman" w:hAnsi="Times New Roman" w:eastAsia="仿宋_GB2312" w:cs="Times New Roman"/>
      <w:sz w:val="28"/>
      <w:szCs w:val="28"/>
    </w:rPr>
  </w:style>
  <w:style w:type="paragraph" w:customStyle="1" w:styleId="46">
    <w:name w:val="表标题1"/>
    <w:basedOn w:val="1"/>
    <w:next w:val="15"/>
    <w:qFormat/>
    <w:uiPriority w:val="0"/>
    <w:pPr>
      <w:numPr>
        <w:ilvl w:val="0"/>
        <w:numId w:val="5"/>
      </w:numPr>
      <w:spacing w:line="240" w:lineRule="auto"/>
      <w:ind w:firstLine="0" w:firstLineChars="0"/>
      <w:jc w:val="center"/>
    </w:pPr>
    <w:rPr>
      <w:rFonts w:hint="eastAsia" w:ascii="Times New Roman" w:hAnsi="Times New Roman" w:eastAsia="仿宋_GB2312" w:cs="Times New Roman"/>
      <w:color w:val="000000"/>
      <w:sz w:val="32"/>
      <w:szCs w:val="32"/>
      <w:lang w:bidi="en-US"/>
    </w:rPr>
  </w:style>
  <w:style w:type="character" w:customStyle="1" w:styleId="47">
    <w:name w:val="font71"/>
    <w:basedOn w:val="28"/>
    <w:qFormat/>
    <w:uiPriority w:val="0"/>
    <w:rPr>
      <w:rFonts w:hint="eastAsia" w:ascii="仿宋_GB2312" w:eastAsia="仿宋_GB2312" w:cs="仿宋_GB2312"/>
      <w:color w:val="000000"/>
      <w:sz w:val="24"/>
      <w:szCs w:val="24"/>
      <w:u w:val="none"/>
    </w:rPr>
  </w:style>
  <w:style w:type="character" w:customStyle="1" w:styleId="48">
    <w:name w:val="font91"/>
    <w:basedOn w:val="28"/>
    <w:qFormat/>
    <w:uiPriority w:val="0"/>
    <w:rPr>
      <w:rFonts w:hint="eastAsia" w:ascii="仿宋_GB2312" w:eastAsia="仿宋_GB2312" w:cs="仿宋_GB2312"/>
      <w:color w:val="000000"/>
      <w:sz w:val="24"/>
      <w:szCs w:val="24"/>
      <w:u w:val="single"/>
    </w:rPr>
  </w:style>
  <w:style w:type="paragraph" w:customStyle="1" w:styleId="49">
    <w:name w:val="Table Text"/>
    <w:basedOn w:val="1"/>
    <w:semiHidden/>
    <w:qFormat/>
    <w:uiPriority w:val="0"/>
    <w:rPr>
      <w:rFonts w:ascii="宋体" w:hAnsi="宋体" w:eastAsia="宋体" w:cs="宋体"/>
      <w:sz w:val="21"/>
      <w:szCs w:val="21"/>
      <w:lang w:eastAsia="en-US"/>
    </w:rPr>
  </w:style>
  <w:style w:type="table" w:customStyle="1" w:styleId="50">
    <w:name w:val="Table Normal"/>
    <w:unhideWhenUsed/>
    <w:qFormat/>
    <w:uiPriority w:val="0"/>
    <w:tblPr>
      <w:tblCellMar>
        <w:top w:w="0" w:type="dxa"/>
        <w:left w:w="0" w:type="dxa"/>
        <w:bottom w:w="0" w:type="dxa"/>
        <w:right w:w="0" w:type="dxa"/>
      </w:tblCellMar>
    </w:tblPr>
  </w:style>
  <w:style w:type="character" w:customStyle="1" w:styleId="51">
    <w:name w:val="A正式 Char"/>
    <w:link w:val="33"/>
    <w:qFormat/>
    <w:uiPriority w:val="0"/>
    <w:rPr>
      <w:rFonts w:ascii="Times New Roman" w:hAnsi="Times New Roman" w:eastAsia="仿宋" w:cs="Times New Roman"/>
      <w:sz w:val="24"/>
      <w:lang w:eastAsia="en-US" w:bidi="ur-PK"/>
    </w:rPr>
  </w:style>
  <w:style w:type="paragraph" w:customStyle="1" w:styleId="52">
    <w:name w:val="列表段落1"/>
    <w:basedOn w:val="1"/>
    <w:qFormat/>
    <w:uiPriority w:val="99"/>
    <w:pPr>
      <w:ind w:firstLine="420" w:firstLineChars="200"/>
    </w:pPr>
    <w:rPr>
      <w:rFonts w:cs="Calibri"/>
      <w:sz w:val="28"/>
      <w:szCs w:val="21"/>
    </w:rPr>
  </w:style>
  <w:style w:type="paragraph" w:customStyle="1" w:styleId="53">
    <w:name w:val="Standard.ASAPNormal"/>
    <w:qFormat/>
    <w:uiPriority w:val="0"/>
    <w:pPr>
      <w:tabs>
        <w:tab w:val="left" w:pos="652"/>
      </w:tabs>
      <w:overflowPunct w:val="0"/>
      <w:autoSpaceDE w:val="0"/>
      <w:autoSpaceDN w:val="0"/>
      <w:adjustRightInd w:val="0"/>
      <w:spacing w:before="60" w:after="60"/>
      <w:textAlignment w:val="baseline"/>
    </w:pPr>
    <w:rPr>
      <w:rFonts w:ascii="Arial" w:hAnsi="Arial" w:eastAsia="宋体" w:cs="Times New Roman"/>
      <w:lang w:val="en-US" w:eastAsia="zh-CN" w:bidi="ar-SA"/>
    </w:rPr>
  </w:style>
  <w:style w:type="paragraph" w:customStyle="1" w:styleId="54">
    <w:name w:val="文字"/>
    <w:basedOn w:val="1"/>
    <w:qFormat/>
    <w:uiPriority w:val="0"/>
    <w:pPr>
      <w:widowControl w:val="0"/>
      <w:adjustRightInd w:val="0"/>
      <w:snapToGrid w:val="0"/>
      <w:spacing w:beforeLines="50" w:afterLines="50" w:line="360" w:lineRule="auto"/>
      <w:ind w:firstLine="560" w:firstLineChars="200"/>
      <w:jc w:val="both"/>
    </w:pPr>
    <w:rPr>
      <w:rFonts w:ascii="宋体" w:hAnsi="宋体"/>
      <w:snapToGrid w:val="0"/>
      <w:color w:val="000000"/>
      <w:szCs w:val="21"/>
    </w:rPr>
  </w:style>
  <w:style w:type="character" w:customStyle="1" w:styleId="55">
    <w:name w:val="font11"/>
    <w:basedOn w:val="28"/>
    <w:qFormat/>
    <w:uiPriority w:val="0"/>
    <w:rPr>
      <w:rFonts w:hint="eastAsia" w:ascii="宋体" w:hAnsi="宋体" w:eastAsia="宋体" w:cs="宋体"/>
      <w:color w:val="000000"/>
      <w:sz w:val="22"/>
      <w:szCs w:val="22"/>
      <w:u w:val="none"/>
    </w:rPr>
  </w:style>
  <w:style w:type="character" w:customStyle="1" w:styleId="56">
    <w:name w:val="A3 Char"/>
    <w:link w:val="36"/>
    <w:qFormat/>
    <w:uiPriority w:val="0"/>
    <w:rPr>
      <w:rFonts w:ascii="Times New Roman" w:hAnsi="Times New Roman" w:eastAsia="仿宋" w:cs="Times New Roman"/>
      <w:b/>
      <w:sz w:val="32"/>
      <w:szCs w:val="32"/>
      <w:lang w:val="en-US" w:eastAsia="zh-CN" w:bidi="ar-SA"/>
    </w:rPr>
  </w:style>
  <w:style w:type="table" w:customStyle="1" w:styleId="57">
    <w:name w:val="Plain Table 2"/>
    <w:basedOn w:val="26"/>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58">
    <w:name w:val="List Paragraph"/>
    <w:basedOn w:val="1"/>
    <w:qFormat/>
    <w:uiPriority w:val="34"/>
    <w:pPr>
      <w:snapToGrid w:val="0"/>
      <w:spacing w:line="360" w:lineRule="auto"/>
      <w:ind w:firstLine="426" w:firstLineChars="202"/>
      <w:contextualSpacing/>
    </w:pPr>
    <w:rPr>
      <w:b/>
      <w:bCs/>
      <w:iCs/>
    </w:rPr>
  </w:style>
  <w:style w:type="character" w:customStyle="1" w:styleId="59">
    <w:name w:val="图格式 Char"/>
    <w:link w:val="42"/>
    <w:qFormat/>
    <w:uiPriority w:val="0"/>
    <w:rPr>
      <w:rFonts w:hint="eastAsia" w:ascii="Times New Roman" w:hAnsi="Times New Roman" w:eastAsia="仿宋_GB2312" w:cs="宋体"/>
      <w:sz w:val="32"/>
    </w:rPr>
  </w:style>
  <w:style w:type="character" w:customStyle="1" w:styleId="60">
    <w:name w:val="font31"/>
    <w:basedOn w:val="28"/>
    <w:qFormat/>
    <w:uiPriority w:val="0"/>
    <w:rPr>
      <w:rFonts w:hint="eastAsia" w:ascii="宋体" w:hAnsi="宋体" w:eastAsia="宋体" w:cs="宋体"/>
      <w:color w:val="000000"/>
      <w:sz w:val="21"/>
      <w:szCs w:val="21"/>
      <w:u w:val="none"/>
    </w:rPr>
  </w:style>
  <w:style w:type="character" w:customStyle="1" w:styleId="61">
    <w:name w:val="font21"/>
    <w:basedOn w:val="28"/>
    <w:qFormat/>
    <w:uiPriority w:val="0"/>
    <w:rPr>
      <w:rFonts w:hint="eastAsia" w:ascii="仿宋_GB2312" w:eastAsia="仿宋_GB2312" w:cs="仿宋_GB2312"/>
      <w:color w:val="000000"/>
      <w:sz w:val="21"/>
      <w:szCs w:val="21"/>
      <w:u w:val="none"/>
    </w:rPr>
  </w:style>
  <w:style w:type="character" w:customStyle="1" w:styleId="62">
    <w:name w:val="font41"/>
    <w:basedOn w:val="28"/>
    <w:qFormat/>
    <w:uiPriority w:val="0"/>
    <w:rPr>
      <w:rFonts w:hint="eastAsia" w:ascii="仿宋" w:hAnsi="仿宋" w:eastAsia="仿宋" w:cs="仿宋"/>
      <w:color w:val="000000"/>
      <w:sz w:val="21"/>
      <w:szCs w:val="21"/>
      <w:u w:val="none"/>
    </w:rPr>
  </w:style>
  <w:style w:type="character" w:customStyle="1" w:styleId="63">
    <w:name w:val="font51"/>
    <w:basedOn w:val="28"/>
    <w:qFormat/>
    <w:uiPriority w:val="0"/>
    <w:rPr>
      <w:rFonts w:hint="default" w:ascii="Wingdings 2" w:hAnsi="Wingdings 2" w:eastAsia="Wingdings 2" w:cs="Wingdings 2"/>
      <w:color w:val="000000"/>
      <w:sz w:val="21"/>
      <w:szCs w:val="21"/>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8" Type="http://schemas.openxmlformats.org/officeDocument/2006/relationships/fontTable" Target="fontTable.xml"/><Relationship Id="rId217" Type="http://schemas.microsoft.com/office/2006/relationships/keyMapCustomizations" Target="customizations.xml"/><Relationship Id="rId216" Type="http://schemas.openxmlformats.org/officeDocument/2006/relationships/numbering" Target="numbering.xml"/><Relationship Id="rId215" Type="http://schemas.openxmlformats.org/officeDocument/2006/relationships/image" Target="media/image208.png"/><Relationship Id="rId214" Type="http://schemas.openxmlformats.org/officeDocument/2006/relationships/image" Target="media/image207.png"/><Relationship Id="rId213" Type="http://schemas.openxmlformats.org/officeDocument/2006/relationships/image" Target="media/image206.png"/><Relationship Id="rId212" Type="http://schemas.openxmlformats.org/officeDocument/2006/relationships/image" Target="media/image205.png"/><Relationship Id="rId211" Type="http://schemas.openxmlformats.org/officeDocument/2006/relationships/image" Target="media/image204.png"/><Relationship Id="rId210" Type="http://schemas.openxmlformats.org/officeDocument/2006/relationships/image" Target="media/image203.png"/><Relationship Id="rId21" Type="http://schemas.openxmlformats.org/officeDocument/2006/relationships/image" Target="media/image14.png"/><Relationship Id="rId209" Type="http://schemas.openxmlformats.org/officeDocument/2006/relationships/image" Target="media/image202.png"/><Relationship Id="rId208" Type="http://schemas.openxmlformats.org/officeDocument/2006/relationships/image" Target="media/image201.png"/><Relationship Id="rId207" Type="http://schemas.openxmlformats.org/officeDocument/2006/relationships/image" Target="media/image200.png"/><Relationship Id="rId206" Type="http://schemas.openxmlformats.org/officeDocument/2006/relationships/image" Target="media/image199.png"/><Relationship Id="rId205" Type="http://schemas.openxmlformats.org/officeDocument/2006/relationships/image" Target="media/image198.png"/><Relationship Id="rId204" Type="http://schemas.openxmlformats.org/officeDocument/2006/relationships/image" Target="media/image197.png"/><Relationship Id="rId203" Type="http://schemas.openxmlformats.org/officeDocument/2006/relationships/image" Target="media/image196.png"/><Relationship Id="rId202" Type="http://schemas.openxmlformats.org/officeDocument/2006/relationships/image" Target="media/image195.png"/><Relationship Id="rId201" Type="http://schemas.openxmlformats.org/officeDocument/2006/relationships/image" Target="media/image194.png"/><Relationship Id="rId200" Type="http://schemas.openxmlformats.org/officeDocument/2006/relationships/image" Target="media/image193.png"/><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image" Target="media/image192.png"/><Relationship Id="rId198" Type="http://schemas.openxmlformats.org/officeDocument/2006/relationships/image" Target="media/image191.png"/><Relationship Id="rId197" Type="http://schemas.openxmlformats.org/officeDocument/2006/relationships/image" Target="media/image190.png"/><Relationship Id="rId196" Type="http://schemas.openxmlformats.org/officeDocument/2006/relationships/image" Target="media/image189.png"/><Relationship Id="rId195" Type="http://schemas.openxmlformats.org/officeDocument/2006/relationships/image" Target="media/image188.png"/><Relationship Id="rId194" Type="http://schemas.openxmlformats.org/officeDocument/2006/relationships/image" Target="media/image187.png"/><Relationship Id="rId193" Type="http://schemas.openxmlformats.org/officeDocument/2006/relationships/image" Target="media/image186.png"/><Relationship Id="rId192" Type="http://schemas.openxmlformats.org/officeDocument/2006/relationships/image" Target="media/image185.png"/><Relationship Id="rId191" Type="http://schemas.openxmlformats.org/officeDocument/2006/relationships/image" Target="media/image184.png"/><Relationship Id="rId190" Type="http://schemas.openxmlformats.org/officeDocument/2006/relationships/image" Target="media/image183.png"/><Relationship Id="rId19" Type="http://schemas.openxmlformats.org/officeDocument/2006/relationships/image" Target="media/image12.png"/><Relationship Id="rId189" Type="http://schemas.openxmlformats.org/officeDocument/2006/relationships/image" Target="media/image182.png"/><Relationship Id="rId188" Type="http://schemas.openxmlformats.org/officeDocument/2006/relationships/image" Target="media/image181.png"/><Relationship Id="rId187" Type="http://schemas.openxmlformats.org/officeDocument/2006/relationships/image" Target="media/image180.png"/><Relationship Id="rId186" Type="http://schemas.openxmlformats.org/officeDocument/2006/relationships/image" Target="media/image179.png"/><Relationship Id="rId185" Type="http://schemas.openxmlformats.org/officeDocument/2006/relationships/image" Target="media/image178.png"/><Relationship Id="rId184" Type="http://schemas.openxmlformats.org/officeDocument/2006/relationships/image" Target="media/image177.png"/><Relationship Id="rId183" Type="http://schemas.openxmlformats.org/officeDocument/2006/relationships/image" Target="media/image176.png"/><Relationship Id="rId182" Type="http://schemas.openxmlformats.org/officeDocument/2006/relationships/image" Target="media/image175.png"/><Relationship Id="rId181" Type="http://schemas.openxmlformats.org/officeDocument/2006/relationships/image" Target="media/image174.png"/><Relationship Id="rId180" Type="http://schemas.openxmlformats.org/officeDocument/2006/relationships/image" Target="media/image173.png"/><Relationship Id="rId18" Type="http://schemas.openxmlformats.org/officeDocument/2006/relationships/image" Target="media/image11.png"/><Relationship Id="rId179" Type="http://schemas.openxmlformats.org/officeDocument/2006/relationships/image" Target="media/image172.png"/><Relationship Id="rId178" Type="http://schemas.openxmlformats.org/officeDocument/2006/relationships/image" Target="media/image171.png"/><Relationship Id="rId177" Type="http://schemas.openxmlformats.org/officeDocument/2006/relationships/image" Target="media/image170.png"/><Relationship Id="rId176" Type="http://schemas.openxmlformats.org/officeDocument/2006/relationships/image" Target="media/image169.png"/><Relationship Id="rId175" Type="http://schemas.openxmlformats.org/officeDocument/2006/relationships/image" Target="media/image168.png"/><Relationship Id="rId174" Type="http://schemas.openxmlformats.org/officeDocument/2006/relationships/image" Target="media/image167.png"/><Relationship Id="rId173" Type="http://schemas.openxmlformats.org/officeDocument/2006/relationships/image" Target="media/image166.png"/><Relationship Id="rId172" Type="http://schemas.openxmlformats.org/officeDocument/2006/relationships/image" Target="media/image165.png"/><Relationship Id="rId171" Type="http://schemas.openxmlformats.org/officeDocument/2006/relationships/image" Target="media/image164.png"/><Relationship Id="rId170" Type="http://schemas.openxmlformats.org/officeDocument/2006/relationships/image" Target="media/image163.png"/><Relationship Id="rId17" Type="http://schemas.openxmlformats.org/officeDocument/2006/relationships/image" Target="media/image10.png"/><Relationship Id="rId169" Type="http://schemas.openxmlformats.org/officeDocument/2006/relationships/image" Target="media/image162.png"/><Relationship Id="rId168" Type="http://schemas.openxmlformats.org/officeDocument/2006/relationships/image" Target="media/image161.png"/><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172</Pages>
  <Words>2668</Words>
  <Characters>2957</Characters>
  <Lines>0</Lines>
  <Paragraphs>0</Paragraphs>
  <TotalTime>3</TotalTime>
  <ScaleCrop>false</ScaleCrop>
  <LinksUpToDate>false</LinksUpToDate>
  <CharactersWithSpaces>3083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2024-11-14T16:08:00Z</dcterms:created>
  <dc:creator>李尚林</dc:creator>
  <cp:lastModifiedBy>东超</cp:lastModifiedBy>
  <dcterms:modified xsi:type="dcterms:W3CDTF">2026-06-22T02:40:31Z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A60B957B51F840438D18B410A943D97D_13</vt:lpwstr>
  </property>
  <property fmtid="{D5CDD505-2E9C-101B-9397-08002B2CF9AE}" pid="4" name="KSOTemplateDocerSaveRecord">
    <vt:lpwstr>eyJoZGlkIjoiNWMwNTc1YTA4YWZmOTkyZDZiODNiOTE2NzY4NTcwOWIiLCJ1c2VySWQiOiI3ODc5NzAwOTUifQ==</vt:lpwstr>
  </property>
</Properties>
</file>