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36"/>
        <w:gridCol w:w="4650"/>
      </w:tblGrid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lastRenderedPageBreak/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</w:t>
            </w:r>
            <w:r>
              <w:t>hecklistui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>
              <w:t>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lastRenderedPageBreak/>
              <w:t>c</w:t>
            </w:r>
            <w:r>
              <w:t>hecklist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</w:t>
            </w:r>
            <w:r>
              <w:t>istin</w:t>
            </w:r>
            <w:r>
              <w:t>bl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</w:t>
            </w:r>
            <w:r>
              <w:t>istin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</w:t>
            </w:r>
            <w:r>
              <w:t>istin</w:t>
            </w:r>
            <w:r>
              <w:t>date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</w:t>
            </w:r>
            <w:r>
              <w:t>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</w:t>
            </w:r>
            <w:r>
              <w:t>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r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  <w:bookmarkStart w:id="0" w:name="_GoBack"/>
            <w:bookmarkEnd w:id="0"/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lastRenderedPageBreak/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B5" w:rsidRDefault="004E7BB5">
      <w:r>
        <w:separator/>
      </w:r>
    </w:p>
  </w:endnote>
  <w:endnote w:type="continuationSeparator" w:id="0">
    <w:p w:rsidR="004E7BB5" w:rsidRDefault="004E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75512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75512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B5" w:rsidRDefault="004E7BB5">
      <w:r>
        <w:separator/>
      </w:r>
    </w:p>
  </w:footnote>
  <w:footnote w:type="continuationSeparator" w:id="0">
    <w:p w:rsidR="004E7BB5" w:rsidRDefault="004E7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3A4DE-B72C-4015-9A80-44A96994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582</Words>
  <Characters>3324</Characters>
  <Application>Microsoft Office Word</Application>
  <DocSecurity>0</DocSecurity>
  <Lines>27</Lines>
  <Paragraphs>7</Paragraphs>
  <ScaleCrop>false</ScaleCrop>
  <Company>nju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9</cp:revision>
  <dcterms:created xsi:type="dcterms:W3CDTF">2015-10-21T11:17:00Z</dcterms:created>
  <dcterms:modified xsi:type="dcterms:W3CDTF">2015-10-22T06:59:00Z</dcterms:modified>
</cp:coreProperties>
</file>