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listin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账户管理，帐户查询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arriveorder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派件单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changeorder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storeinorder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storeoutorder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startinfo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r w:rsidR="00625113" w:rsidRPr="00BF3AAE">
        <w:rPr>
          <w:rFonts w:asciiTheme="minorEastAsia" w:hAnsiTheme="minorEastAsia" w:hint="eastAsia"/>
        </w:rPr>
        <w:t>描述</w:t>
      </w:r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页面的实现，业务逻辑层包含业务逻辑处理的实现，数据层负责数据的持久化和访问。分层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r>
                                      <w:t>presentation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mainui</w:t>
            </w:r>
          </w:p>
        </w:tc>
        <w:tc>
          <w:tcPr>
            <w:tcW w:w="10693" w:type="dxa"/>
          </w:tcPr>
          <w:p w:rsidR="00FA51D2" w:rsidRPr="00FA51D2" w:rsidRDefault="002A76BE" w:rsidP="008E260A">
            <w:r>
              <w:t>checklistui, listinui,</w:t>
            </w:r>
            <w:r>
              <w:rPr>
                <w:rFonts w:hint="eastAsia"/>
              </w:rPr>
              <w:t xml:space="preserve"> transferui</w:t>
            </w:r>
            <w:r>
              <w:t>, loadui, vehicleui, financeui, storeui, billui, accountui, staffui, policyui, approveui,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checklistui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checklistbls</w:t>
            </w:r>
            <w:r w:rsidR="002A76BE"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checklist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listinui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listinbls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listin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transferui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transferbls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r>
              <w:rPr>
                <w:rFonts w:hint="eastAsia"/>
              </w:rPr>
              <w:t>transfer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transfer</w:t>
            </w:r>
            <w:r w:rsidR="00D5141B">
              <w:t>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loadui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loadbls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loadbl</w:t>
            </w:r>
            <w:r>
              <w:rPr>
                <w:rFonts w:hint="eastAsia"/>
              </w:rPr>
              <w:t>service,</w:t>
            </w:r>
            <w:r>
              <w:t xml:space="preserve"> loaddateservice,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vehicleui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vehiclebls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vehicle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financebls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finance</w:t>
            </w:r>
            <w:r w:rsidR="00D5141B">
              <w:t>dateservice, po</w:t>
            </w:r>
            <w:r w:rsidR="00FD3EF6">
              <w:t>, listinbl, transferbl, loadbl, vehiclebl,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store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storebls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store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billui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billbls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bill</w:t>
            </w:r>
            <w:r w:rsidR="00D5141B">
              <w:t>dateservice, po</w:t>
            </w:r>
            <w:r w:rsidR="00FD3EF6">
              <w:t>, vehiclebl, storebl, accountbl,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accountui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accountbls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account</w:t>
            </w:r>
            <w:r w:rsidR="00D5141B">
              <w:t>dateservice, po</w:t>
            </w:r>
            <w:r w:rsidR="00FD3EF6">
              <w:t>, financebl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staffui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staffbls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staff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lastRenderedPageBreak/>
              <w:t>staff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policyui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policybls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policy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approveui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approvebls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approve</w:t>
            </w:r>
            <w:r w:rsidR="00D5141B">
              <w:t>dateservice, po</w:t>
            </w:r>
            <w:r w:rsidR="00FD3EF6">
              <w:t>, listinbl, transferbl, loadbl, financebl, storebl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utilitybl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界面类库包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databaseutility</w:t>
            </w:r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0501A4" w:rsidRDefault="000501A4" w:rsidP="000501A4"/>
    <w:p w:rsidR="000501A4" w:rsidRDefault="000501A4" w:rsidP="000501A4"/>
    <w:p w:rsidR="000501A4" w:rsidRP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financebl</w:t>
      </w:r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0501A4">
        <w:tc>
          <w:tcPr>
            <w:tcW w:w="4649" w:type="dxa"/>
            <w:vMerge w:val="restart"/>
          </w:tcPr>
          <w:p w:rsidR="000501A4" w:rsidRDefault="000501A4" w:rsidP="000501A4">
            <w:pPr>
              <w:jc w:val="center"/>
            </w:pPr>
          </w:p>
          <w:p w:rsidR="003A01AB" w:rsidRDefault="00C13B8C" w:rsidP="000501A4">
            <w:pPr>
              <w:jc w:val="center"/>
            </w:pPr>
            <w:r>
              <w:rPr>
                <w:rFonts w:hint="eastAsia"/>
              </w:rPr>
              <w:t>finance.</w:t>
            </w: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finance.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finance.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finance.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lastRenderedPageBreak/>
              <w:t>finance.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finance.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13949" w:type="dxa"/>
            <w:gridSpan w:val="3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</w:tbl>
    <w:p w:rsid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r w:rsidR="00BE26E0">
        <w:rPr>
          <w:rFonts w:hint="eastAsia"/>
        </w:rPr>
        <w:t>billbl</w:t>
      </w:r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r w:rsidR="00BE26E0">
        <w:rPr>
          <w:rFonts w:hint="eastAsia"/>
        </w:rPr>
        <w:t>accountbl</w:t>
      </w:r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Pr="000501A4" w:rsidRDefault="000501A4" w:rsidP="000501A4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DD124F" w:rsidP="00DD124F">
      <w:pPr>
        <w:pStyle w:val="4"/>
      </w:pPr>
      <w:r>
        <w:rPr>
          <w:rFonts w:hint="eastAsia"/>
        </w:rPr>
        <w:t>5.4.1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9"/>
      </w:tblGrid>
      <w:tr w:rsidR="00DD124F" w:rsidTr="00DD124F">
        <w:tc>
          <w:tcPr>
            <w:tcW w:w="4390" w:type="dxa"/>
          </w:tcPr>
          <w:p w:rsidR="00DD124F" w:rsidRPr="00DD124F" w:rsidRDefault="00DD124F" w:rsidP="00DD124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9559" w:type="dxa"/>
          </w:tcPr>
          <w:p w:rsidR="00DD124F" w:rsidRPr="00DD124F" w:rsidRDefault="00DD124F" w:rsidP="00DD124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DD124F" w:rsidTr="00DD124F">
        <w:tc>
          <w:tcPr>
            <w:tcW w:w="4390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  <w:tc>
          <w:tcPr>
            <w:tcW w:w="9559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</w:tr>
      <w:tr w:rsidR="00DD124F" w:rsidTr="00DD124F">
        <w:tc>
          <w:tcPr>
            <w:tcW w:w="4390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  <w:tc>
          <w:tcPr>
            <w:tcW w:w="9559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</w:tr>
      <w:tr w:rsidR="00DD124F" w:rsidTr="00DD124F">
        <w:tc>
          <w:tcPr>
            <w:tcW w:w="4390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  <w:tc>
          <w:tcPr>
            <w:tcW w:w="9559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</w:tr>
      <w:tr w:rsidR="00DD124F" w:rsidTr="00DD124F">
        <w:tc>
          <w:tcPr>
            <w:tcW w:w="4390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  <w:tc>
          <w:tcPr>
            <w:tcW w:w="9559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</w:tr>
      <w:tr w:rsidR="00DD124F" w:rsidTr="00DD124F">
        <w:tc>
          <w:tcPr>
            <w:tcW w:w="4390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  <w:tc>
          <w:tcPr>
            <w:tcW w:w="9559" w:type="dxa"/>
          </w:tcPr>
          <w:p w:rsidR="00DD124F" w:rsidRDefault="00DD124F" w:rsidP="00DD124F">
            <w:pPr>
              <w:rPr>
                <w:rFonts w:hint="eastAsia"/>
              </w:rPr>
            </w:pPr>
          </w:p>
        </w:tc>
      </w:tr>
    </w:tbl>
    <w:p w:rsidR="00DD124F" w:rsidRPr="00DD124F" w:rsidRDefault="00DD124F" w:rsidP="00DD124F">
      <w:pPr>
        <w:rPr>
          <w:rFonts w:hint="eastAsia"/>
        </w:rPr>
      </w:pPr>
    </w:p>
    <w:p w:rsidR="00DD124F" w:rsidRDefault="00DD124F" w:rsidP="00DD124F">
      <w:pPr>
        <w:pStyle w:val="4"/>
      </w:pPr>
      <w:r>
        <w:t>5.4.2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D124F" w:rsidTr="00CB3C33">
        <w:tc>
          <w:tcPr>
            <w:tcW w:w="13949" w:type="dxa"/>
            <w:gridSpan w:val="3"/>
          </w:tcPr>
          <w:p w:rsidR="00DD124F" w:rsidRPr="00DD124F" w:rsidRDefault="00DD124F" w:rsidP="00CB3C33">
            <w:pPr>
              <w:jc w:val="center"/>
              <w:rPr>
                <w:b/>
              </w:rPr>
            </w:pPr>
            <w:bookmarkStart w:id="0" w:name="_GoBack"/>
            <w:r w:rsidRPr="00DD124F">
              <w:rPr>
                <w:rFonts w:hint="eastAsia"/>
                <w:b/>
              </w:rPr>
              <w:t>提供的服务（供接口）</w:t>
            </w:r>
            <w:bookmarkEnd w:id="0"/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</w:tbl>
    <w:p w:rsidR="00DD124F" w:rsidRPr="00DD124F" w:rsidRDefault="00DD124F" w:rsidP="00DD124F">
      <w:pPr>
        <w:rPr>
          <w:rFonts w:hint="eastAsia"/>
        </w:rPr>
      </w:pPr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lastRenderedPageBreak/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r>
        <w:rPr>
          <w:rFonts w:hint="eastAsia"/>
        </w:rPr>
        <w:t>Us</w:t>
      </w:r>
      <w:r>
        <w:t>erPO</w:t>
      </w:r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r>
        <w:t>OrderPO</w:t>
      </w:r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r>
        <w:t>ReceiverPO</w:t>
      </w:r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r>
        <w:t>L</w:t>
      </w:r>
      <w:r>
        <w:rPr>
          <w:rFonts w:hint="eastAsia"/>
        </w:rPr>
        <w:t>oa</w:t>
      </w:r>
      <w:r>
        <w:t>dorderPO</w:t>
      </w:r>
      <w:r>
        <w:t>（</w:t>
      </w:r>
      <w:r>
        <w:rPr>
          <w:rFonts w:hint="eastAsia"/>
        </w:rPr>
        <w:t>装车单）类</w:t>
      </w:r>
      <w:r w:rsidR="00ED5595">
        <w:rPr>
          <w:rFonts w:hint="eastAsia"/>
        </w:rPr>
        <w:t>包含装车日期、本营业厅编号、汽运编号、到达地、车辆代号、监装员、押运运、运费</w:t>
      </w:r>
      <w:r w:rsidR="0075643B">
        <w:rPr>
          <w:rFonts w:hint="eastAsia"/>
        </w:rPr>
        <w:t>。</w:t>
      </w:r>
    </w:p>
    <w:p w:rsidR="007B4AEB" w:rsidRDefault="007B4AEB" w:rsidP="007B4AEB">
      <w:r>
        <w:t>VehiclePO</w:t>
      </w:r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r>
        <w:rPr>
          <w:rFonts w:hint="eastAsia"/>
        </w:rPr>
        <w:t>Driver</w:t>
      </w:r>
      <w:r>
        <w:t>PO</w:t>
      </w:r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r>
        <w:t>A</w:t>
      </w:r>
      <w:r>
        <w:rPr>
          <w:rFonts w:hint="eastAsia"/>
        </w:rPr>
        <w:t>rriverorder</w:t>
      </w:r>
      <w:r>
        <w:t>PO</w:t>
      </w:r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r>
        <w:rPr>
          <w:rFonts w:hint="eastAsia"/>
        </w:rPr>
        <w:t>Receiveorder</w:t>
      </w:r>
      <w:r>
        <w:t>PO</w:t>
      </w:r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r>
        <w:t>SendorderPO</w:t>
      </w:r>
      <w:r>
        <w:t>（</w:t>
      </w:r>
      <w:r>
        <w:rPr>
          <w:rFonts w:hint="eastAsia"/>
        </w:rPr>
        <w:t>派件单）类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r>
        <w:t>P</w:t>
      </w:r>
      <w:r>
        <w:rPr>
          <w:rFonts w:hint="eastAsia"/>
        </w:rPr>
        <w:t>ayeeorder</w:t>
      </w:r>
      <w:r>
        <w:t>PO</w:t>
      </w:r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r>
        <w:rPr>
          <w:rFonts w:hint="eastAsia"/>
        </w:rPr>
        <w:t>Changeorder</w:t>
      </w:r>
      <w:r>
        <w:t>PO</w:t>
      </w:r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r>
        <w:t>S</w:t>
      </w:r>
      <w:r>
        <w:rPr>
          <w:rFonts w:hint="eastAsia"/>
        </w:rPr>
        <w:t>tore</w:t>
      </w:r>
      <w:r>
        <w:t>PO</w:t>
      </w:r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r>
        <w:rPr>
          <w:rFonts w:hint="eastAsia"/>
        </w:rPr>
        <w:t>Store</w:t>
      </w:r>
      <w:r>
        <w:t>inorderPO</w:t>
      </w:r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r>
        <w:t>StoreoutorderPO</w:t>
      </w:r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r>
        <w:rPr>
          <w:rFonts w:hint="eastAsia"/>
        </w:rPr>
        <w:t>Payorder</w:t>
      </w:r>
      <w:r>
        <w:t>PO</w:t>
      </w:r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r>
        <w:t>S</w:t>
      </w:r>
      <w:r>
        <w:rPr>
          <w:rFonts w:hint="eastAsia"/>
        </w:rPr>
        <w:t>tartinfo</w:t>
      </w:r>
      <w:r>
        <w:t>PO</w:t>
      </w:r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r>
        <w:rPr>
          <w:rFonts w:hint="eastAsia"/>
        </w:rPr>
        <w:t>Account</w:t>
      </w:r>
      <w:r>
        <w:t>PO</w:t>
      </w:r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r>
        <w:rPr>
          <w:rFonts w:hint="eastAsia"/>
        </w:rPr>
        <w:t>Staff</w:t>
      </w:r>
      <w:r>
        <w:t>PO</w:t>
      </w:r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r>
        <w:rPr>
          <w:rFonts w:hint="eastAsia"/>
        </w:rPr>
        <w:t>Salary</w:t>
      </w:r>
      <w:r>
        <w:t>PO</w:t>
      </w:r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r>
        <w:rPr>
          <w:rFonts w:hint="eastAsia"/>
        </w:rPr>
        <w:t>Constant</w:t>
      </w:r>
      <w:r>
        <w:t>PO</w:t>
      </w:r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城市编号（电话号码区号南京025）+营业厅编号（000三位数字）+000三位数字）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司机编号（电话号码区号南京025+营业厅编号（000三位数字）+000三位数字、姓名、出生日期、身份证号、手机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到达单保持格式：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接收单保持格式：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r>
        <w:rPr>
          <w:rFonts w:hint="eastAsia"/>
        </w:rPr>
        <w:t>派件单保持格式：</w:t>
      </w:r>
    </w:p>
    <w:p w:rsidR="007B693E" w:rsidRPr="007B693E" w:rsidRDefault="007B693E" w:rsidP="00C813FB">
      <w:r>
        <w:rPr>
          <w:rFonts w:hint="eastAsia"/>
        </w:rPr>
        <w:t>派件的营业厅编号——目的营业厅编号——司机姓名——日期【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收款单保持格式：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中转单保持格式：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入库单保持格式：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出库单保持格式：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付款单保持格式：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期初信息保持格式：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lastRenderedPageBreak/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r>
        <w:rPr>
          <w:rFonts w:hint="eastAsia"/>
        </w:rPr>
        <w:t>Loadorder</w:t>
      </w:r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Arriverorder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Receiveorder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Sendorder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Payeeorder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Changeorder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Storeinorder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Storeoutorder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Payorder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Startinfo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95" w:rsidRDefault="00525395">
      <w:r>
        <w:separator/>
      </w:r>
    </w:p>
  </w:endnote>
  <w:endnote w:type="continuationSeparator" w:id="0">
    <w:p w:rsidR="00525395" w:rsidRDefault="0052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DD124F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DD124F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95" w:rsidRDefault="00525395">
      <w:r>
        <w:separator/>
      </w:r>
    </w:p>
  </w:footnote>
  <w:footnote w:type="continuationSeparator" w:id="0">
    <w:p w:rsidR="00525395" w:rsidRDefault="00525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1AB" w:rsidRPr="00D851E4" w:rsidRDefault="003A01A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01AB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25395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93D9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10885"/>
    <w:rsid w:val="0081158F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26E0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13FB"/>
    <w:rsid w:val="00C82C6C"/>
    <w:rsid w:val="00C86140"/>
    <w:rsid w:val="00C95C11"/>
    <w:rsid w:val="00C96D41"/>
    <w:rsid w:val="00CA4081"/>
    <w:rsid w:val="00CB2990"/>
    <w:rsid w:val="00CB5AC0"/>
    <w:rsid w:val="00CB7E28"/>
    <w:rsid w:val="00CC0B06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1DDE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6538"/>
    <w:rsid w:val="00DB6695"/>
    <w:rsid w:val="00DC638F"/>
    <w:rsid w:val="00DC6C67"/>
    <w:rsid w:val="00DD124F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D5595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Date"/>
    <w:basedOn w:val="a"/>
    <w:next w:val="a"/>
    <w:link w:val="Char3"/>
    <w:rsid w:val="00DD124F"/>
    <w:pPr>
      <w:ind w:leftChars="2500" w:left="100"/>
    </w:pPr>
  </w:style>
  <w:style w:type="character" w:customStyle="1" w:styleId="Char3">
    <w:name w:val="日期 Char"/>
    <w:basedOn w:val="a0"/>
    <w:link w:val="ad"/>
    <w:rsid w:val="00DD12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1D284-8A3B-4DC6-82AD-0CDEDB45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1077</Words>
  <Characters>6143</Characters>
  <Application>Microsoft Office Word</Application>
  <DocSecurity>0</DocSecurity>
  <Lines>51</Lines>
  <Paragraphs>14</Paragraphs>
  <ScaleCrop>false</ScaleCrop>
  <Company>nju</Company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21</cp:revision>
  <dcterms:created xsi:type="dcterms:W3CDTF">2015-10-21T11:17:00Z</dcterms:created>
  <dcterms:modified xsi:type="dcterms:W3CDTF">2015-10-23T08:52:00Z</dcterms:modified>
</cp:coreProperties>
</file>