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PwC Legal AI</w:t>
      </w:r>
    </w:p>
    <w:p>
      <w:pPr>
        <w:jc w:val="center"/>
      </w:pPr>
      <w:r>
        <w:rPr>
          <w:b/>
          <w:sz w:val="32"/>
        </w:rPr>
        <w:t>TERM SHEET</w:t>
      </w:r>
    </w:p>
    <w:p>
      <w:pPr>
        <w:jc w:val="center"/>
      </w:pPr>
      <w:r>
        <w:rPr>
          <w:sz w:val="22"/>
        </w:rPr>
        <w:t>Date: 2025-11-10</w:t>
      </w:r>
    </w:p>
    <w:p/>
    <w:p>
      <w:pPr>
        <w:pStyle w:val="Heading1"/>
      </w:pPr>
      <w:r>
        <w:t>RECITALS</w:t>
      </w:r>
    </w:p>
    <w:p>
      <w:r>
        <w:t>WHEREAS:</w:t>
        <w:br/>
        <w:br/>
        <w:t>A. The John De Mestre &amp; Co Pty Ltd (Seller) owns all the issued shares (Shares) in Bartier Perry Pty Limited (ABN 30 124 690 053) (Company).</w:t>
        <w:br/>
        <w:br/>
        <w:t>B. The M DE MESTRE LAWYERS PTY LTD (Buyer) has agreed to purchase the Shares from the Seller (Sale) on the terms set out in this term sheet (Term Sheet).</w:t>
      </w:r>
    </w:p>
    <w:p/>
    <w:p>
      <w:pPr>
        <w:pStyle w:val="Heading1"/>
      </w:pPr>
      <w:r>
        <w:t>1. NON-BINDING TERM SHEET</w:t>
      </w:r>
    </w:p>
    <w:p>
      <w:r>
        <w:t>The parties agree:</w:t>
        <w:br/>
        <w:br/>
        <w:t>a. that the mutual promises in this Term Sheet are binding upon each of them; and</w:t>
        <w:br/>
        <w:br/>
        <w:t>b. to use their reasonable endeavours to enter into a long form legally binding share sale agreement that more fully and precisely sets out the agreement reached in this Term Sheet before 2025-11-24. If no further agreement is entered into, this Term Sheet will remain as evidence of the binding obligations between them.</w:t>
      </w:r>
    </w:p>
    <w:p/>
    <w:p>
      <w:pPr>
        <w:pStyle w:val="Heading1"/>
      </w:pPr>
      <w:r>
        <w:t>2. SALE OF THE SHARES</w:t>
      </w:r>
    </w:p>
    <w:p>
      <w:r>
        <w:t>Subject to satisfaction of the Conditions Precedent set out in clause 6 of this Term Sheet, on the Completion Date (as defined below), the Seller will sell and the Buyer will purchase all of the issued shares in the Company.</w:t>
      </w:r>
    </w:p>
    <w:p/>
    <w:p>
      <w:pPr>
        <w:pStyle w:val="Heading1"/>
      </w:pPr>
      <w:r>
        <w:t>3. KEY DATES</w:t>
      </w:r>
    </w:p>
    <w:p>
      <w:r>
        <w:t>The parties agree that:</w:t>
      </w:r>
    </w:p>
    <w:p>
      <w:r>
        <w:t>a. the Buyer will complete its due diligence investigations of the Company on or before 2025-11-10;</w:t>
        <w:br/>
        <w:t>b. long form binding agreements reflecting this Term Sheet will be entered into on or before 2025-11-24; and</w:t>
        <w:br/>
        <w:t>c. completion of the Sale (Completion) is to take place, subject to satisfaction of the Conditions Precedent set out in clause 6 of this Term Sheet, on 2025-12-30, or any other date agreed to in writing between the parties (Completion Date).</w:t>
      </w:r>
    </w:p>
    <w:p/>
    <w:p>
      <w:pPr>
        <w:pStyle w:val="Heading1"/>
      </w:pPr>
      <w:r>
        <w:t>4. PURCHASE PRICE</w:t>
      </w:r>
    </w:p>
    <w:p>
      <w:r>
        <w:t>The price payable by the Buyer for the Shares will be A$100.00 (Purchase Price), to be paid as follows:</w:t>
        <w:br/>
        <w:br/>
        <w:t>a. A$0.00 payable on the Completion Date (or earlier as specified);</w:t>
        <w:br/>
        <w:t>b. A$100.00 balance payable on [insert date].</w:t>
      </w:r>
    </w:p>
    <w:p/>
    <w:p>
      <w:pPr>
        <w:pStyle w:val="Heading1"/>
      </w:pPr>
      <w:r>
        <w:t>5. CONDITIONS PRECEDENT</w:t>
      </w:r>
    </w:p>
    <w:p>
      <w:r>
        <w:t>Satisfaction of the following will be conditions precedent to completion of the Sale (Conditions Precedent) on or before 2025-12-15 (Condition Satisfaction Date):</w:t>
      </w:r>
    </w:p>
    <w:p>
      <w:r>
        <w:t>a. the results of the legal and accounting examination of the Company (due diligence investigations) referred to in clause 8 of this Term Sheet, being to the reasonable satisfaction of the Buyer;</w:t>
        <w:br/>
        <w:t>b. satisfactory completion of all legal due diligence investigations;</w:t>
        <w:br/>
        <w:t>c. board approval from both Seller and Buyer;</w:t>
        <w:br/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