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3864" w:val="clear"/>
        <w:spacing w:after="60" w:before="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Inherent Risk Questionnaire</w:t>
      </w:r>
    </w:p>
    <w:p>
      <w:pPr>
        <w:shd w:fill="2E5090" w:val="clear"/>
        <w:spacing w:after="240" w:before="0"/>
      </w:pPr>
      <w:r>
        <w:rPr>
          <w:rFonts w:ascii="Arial" w:cs="Arial" w:eastAsia="Arial" w:hAnsi="Arial"/>
          <w:i/>
          <w:iCs/>
          <w:color w:val="FFFFFF"/>
          <w:sz w:val="18"/>
          <w:szCs w:val="18"/>
        </w:rPr>
        <w:t xml:space="preserve">Assessment ID: TPRM-2025-007  |  Analyst: Lazaro Denis  |  Date: March 1, 2025</w:t>
      </w:r>
    </w:p>
    <w:p>
      <w:pPr>
        <w:spacing w:after="160" w:before="8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Purpose: Scores the vendor's inherent risk before any security controls are considered. Scored 1–5 per factor (1 = Lowest Risk, 5 = Highest Risk).</w:t>
      </w:r>
    </w:p>
    <w:p>
      <w:pPr>
        <w:pBdr>
          <w:bottom w:val="single" w:color="2E5090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Factor 1: Data Sensitivity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2400"/>
        <w:gridCol w:w="1200"/>
      </w:tblGrid>
      <w:tr>
        <w:tc>
          <w:tcPr>
            <w:tcW w:type="dxa" w:w="57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24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Response</w:t>
            </w:r>
          </w:p>
        </w:tc>
        <w:tc>
          <w:tcPr>
            <w:tcW w:type="dxa" w:w="1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</w:tr>
      <w:tr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Does the vendor process Personally Identifiable Information (PII)?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 — names, addresses, SSNs, DOBs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CD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Does the vendor process financial data (payroll, compensation)?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 — payroll processing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CD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Does the vendor process health or benefits data?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 — benefits enrollment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CD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Does the vendor process regulated data (HIPAA, PCI, FERPA)?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Possible HIPAA (benefits)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CD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Does the vendor process proprietary business data?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Limited — internal HR records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D6608"/>
                <w:sz w:val="18"/>
                <w:szCs w:val="18"/>
              </w:rPr>
              <w:t xml:space="preserve">3</w:t>
            </w:r>
          </w:p>
        </w:tc>
      </w:tr>
    </w:tbl>
    <w:p>
      <w:pPr>
        <w:spacing w:after="12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Sub-Score: </w:t>
      </w:r>
      <w:r>
        <w:rPr>
          <w:rFonts w:ascii="Arial" w:cs="Arial" w:eastAsia="Arial" w:hAnsi="Arial"/>
          <w:b/>
          <w:bCs/>
          <w:color w:val="2E5090"/>
          <w:sz w:val="22"/>
          <w:szCs w:val="22"/>
        </w:rPr>
        <w:t xml:space="preserve">4.0 / 5</w:t>
      </w:r>
    </w:p>
    <w:p>
      <w:pPr>
        <w:pBdr>
          <w:bottom w:val="single" w:color="2E5090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Factor 2: Volume and Breadth of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2400"/>
        <w:gridCol w:w="1200"/>
      </w:tblGrid>
      <w:tr>
        <w:tc>
          <w:tcPr>
            <w:tcW w:type="dxa" w:w="57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24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Response</w:t>
            </w:r>
          </w:p>
        </w:tc>
        <w:tc>
          <w:tcPr>
            <w:tcW w:type="dxa" w:w="1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</w:tr>
      <w:tr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Estimated number of employee records in scope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~500 employees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D6608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Frequency of data transfer or sync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Daily (payroll cycle bi-weekly)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D6608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Scope of data access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 HR dataset for all employees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CD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4</w:t>
            </w:r>
          </w:p>
        </w:tc>
      </w:tr>
    </w:tbl>
    <w:p>
      <w:pPr>
        <w:spacing w:after="12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Sub-Score: </w:t>
      </w:r>
      <w:r>
        <w:rPr>
          <w:rFonts w:ascii="Arial" w:cs="Arial" w:eastAsia="Arial" w:hAnsi="Arial"/>
          <w:b/>
          <w:bCs/>
          <w:color w:val="2E5090"/>
          <w:sz w:val="22"/>
          <w:szCs w:val="22"/>
        </w:rPr>
        <w:t xml:space="preserve">3.3 / 5</w:t>
      </w:r>
    </w:p>
    <w:p>
      <w:pPr>
        <w:pBdr>
          <w:bottom w:val="single" w:color="2E5090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Factor 3: Access and Connectivity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2400"/>
        <w:gridCol w:w="1200"/>
      </w:tblGrid>
      <w:tr>
        <w:tc>
          <w:tcPr>
            <w:tcW w:type="dxa" w:w="57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24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Response</w:t>
            </w:r>
          </w:p>
        </w:tc>
        <w:tc>
          <w:tcPr>
            <w:tcW w:type="dxa" w:w="1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</w:tr>
      <w:tr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Does the vendor have direct access to Meridian's internal network?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— internet-based only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Does the vendor use APIs to interact with Meridian systems?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 — AD sync and payroll API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D6608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Does the vendor have administrative or privileged access?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Break-glass support access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D6608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 the vendor accessible via the public internet?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 — SaaS platform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D6608"/>
                <w:sz w:val="18"/>
                <w:szCs w:val="18"/>
              </w:rPr>
              <w:t xml:space="preserve">3</w:t>
            </w:r>
          </w:p>
        </w:tc>
      </w:tr>
    </w:tbl>
    <w:p>
      <w:pPr>
        <w:spacing w:after="12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Sub-Score: </w:t>
      </w:r>
      <w:r>
        <w:rPr>
          <w:rFonts w:ascii="Arial" w:cs="Arial" w:eastAsia="Arial" w:hAnsi="Arial"/>
          <w:b/>
          <w:bCs/>
          <w:color w:val="2E5090"/>
          <w:sz w:val="22"/>
          <w:szCs w:val="22"/>
        </w:rPr>
        <w:t xml:space="preserve">2.5 / 5</w:t>
      </w:r>
    </w:p>
    <w:p>
      <w:pPr>
        <w:pBdr>
          <w:bottom w:val="single" w:color="2E5090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Factor 4: Hosting and Deployment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2400"/>
        <w:gridCol w:w="1200"/>
      </w:tblGrid>
      <w:tr>
        <w:tc>
          <w:tcPr>
            <w:tcW w:type="dxa" w:w="57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24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Response</w:t>
            </w:r>
          </w:p>
        </w:tc>
        <w:tc>
          <w:tcPr>
            <w:tcW w:type="dxa" w:w="1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</w:tr>
      <w:tr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Where is data hosted?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AWS us-east-1 (cloud)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D6608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 the environment multi-tenant?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 — multi-tenant SaaS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CD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Does the vendor use sub-processors or fourth parties?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Unknown at intake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CD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 the data stored in the United States?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 — AWS us-east-1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2</w:t>
            </w:r>
          </w:p>
        </w:tc>
      </w:tr>
    </w:tbl>
    <w:p>
      <w:pPr>
        <w:spacing w:after="12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Sub-Score: </w:t>
      </w:r>
      <w:r>
        <w:rPr>
          <w:rFonts w:ascii="Arial" w:cs="Arial" w:eastAsia="Arial" w:hAnsi="Arial"/>
          <w:b/>
          <w:bCs/>
          <w:color w:val="2E5090"/>
          <w:sz w:val="22"/>
          <w:szCs w:val="22"/>
        </w:rPr>
        <w:t xml:space="preserve">3.25 / 5</w:t>
      </w:r>
    </w:p>
    <w:p>
      <w:pPr>
        <w:pBdr>
          <w:bottom w:val="single" w:color="2E5090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Factor 5: Business Criticality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2400"/>
        <w:gridCol w:w="1200"/>
      </w:tblGrid>
      <w:tr>
        <w:tc>
          <w:tcPr>
            <w:tcW w:type="dxa" w:w="57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24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Response</w:t>
            </w:r>
          </w:p>
        </w:tc>
        <w:tc>
          <w:tcPr>
            <w:tcW w:type="dxa" w:w="1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</w:tr>
      <w:tr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How critical is this vendor to Meridian's operations?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 — core HR function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CD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What is the impact if the vendor becomes unavailable?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Significant — payroll disruption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CD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 there a backup or alternate vendor available?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current backup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CD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Contract term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 years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D6608"/>
                <w:sz w:val="18"/>
                <w:szCs w:val="18"/>
              </w:rPr>
              <w:t xml:space="preserve">3</w:t>
            </w:r>
          </w:p>
        </w:tc>
      </w:tr>
    </w:tbl>
    <w:p>
      <w:pPr>
        <w:spacing w:after="12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Sub-Score: </w:t>
      </w:r>
      <w:r>
        <w:rPr>
          <w:rFonts w:ascii="Arial" w:cs="Arial" w:eastAsia="Arial" w:hAnsi="Arial"/>
          <w:b/>
          <w:bCs/>
          <w:color w:val="2E5090"/>
          <w:sz w:val="22"/>
          <w:szCs w:val="22"/>
        </w:rPr>
        <w:t xml:space="preserve">3.75 / 5</w:t>
      </w:r>
    </w:p>
    <w:p>
      <w:pPr>
        <w:pBdr>
          <w:bottom w:val="single" w:color="2E5090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Factor 6: Vendor Maturity and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2400"/>
        <w:gridCol w:w="1200"/>
      </w:tblGrid>
      <w:tr>
        <w:tc>
          <w:tcPr>
            <w:tcW w:type="dxa" w:w="57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24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Response</w:t>
            </w:r>
          </w:p>
        </w:tc>
        <w:tc>
          <w:tcPr>
            <w:tcW w:type="dxa" w:w="1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</w:tr>
      <w:tr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How long has the vendor been in business?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~8 years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Has the vendor experienced a known breach?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Unknown — requires verification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D6608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Does the vendor have active certifications (SOC 2, ISO 27001)?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 (self-reported)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 the vendor financially stable?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Series B funded, established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2</w:t>
            </w:r>
          </w:p>
        </w:tc>
      </w:tr>
    </w:tbl>
    <w:p>
      <w:pPr>
        <w:spacing w:after="12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Sub-Score: </w:t>
      </w:r>
      <w:r>
        <w:rPr>
          <w:rFonts w:ascii="Arial" w:cs="Arial" w:eastAsia="Arial" w:hAnsi="Arial"/>
          <w:b/>
          <w:bCs/>
          <w:color w:val="2E5090"/>
          <w:sz w:val="22"/>
          <w:szCs w:val="22"/>
        </w:rPr>
        <w:t xml:space="preserve">2.25 / 5</w:t>
      </w:r>
    </w:p>
    <w:p>
      <w:pPr>
        <w:pBdr>
          <w:bottom w:val="single" w:color="2E5090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Inherent Risk Score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1500"/>
        <w:gridCol w:w="2860"/>
      </w:tblGrid>
      <w:tr>
        <w:tc>
          <w:tcPr>
            <w:tcW w:type="dxa" w:w="35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Factor</w:t>
            </w:r>
          </w:p>
        </w:tc>
        <w:tc>
          <w:tcPr>
            <w:tcW w:type="dxa" w:w="15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Sub-Score</w:t>
            </w:r>
          </w:p>
        </w:tc>
        <w:tc>
          <w:tcPr>
            <w:tcW w:type="dxa" w:w="15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Weight</w:t>
            </w:r>
          </w:p>
        </w:tc>
        <w:tc>
          <w:tcPr>
            <w:tcW w:type="dxa" w:w="28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Weighted Score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 Sensitivity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30%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1.20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Volume and Breadth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3.3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15%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0.50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Access and Connectivity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2.5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20%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0.50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Hosting and Deployment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3.25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15%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0.49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Business Criticality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3.75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10%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0.38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Vendor Maturity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2.25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10%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0.23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100%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3.30 / 5</w:t>
            </w:r>
          </w:p>
        </w:tc>
      </w:tr>
    </w:tbl>
    <w:p>
      <w:pPr>
        <w:spacing w:after="120" w:before="120"/>
      </w:pPr>
    </w:p>
    <w:p>
      <w:pPr>
        <w:shd w:fill="FFECD1" w:val="clear"/>
        <w:spacing w:after="10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INHERENT RISK RATING:  </w:t>
      </w:r>
      <w:r>
        <w:rPr>
          <w:rFonts w:ascii="Arial" w:cs="Arial" w:eastAsia="Arial" w:hAnsi="Arial"/>
          <w:b/>
          <w:bCs/>
          <w:color w:val="D35400"/>
          <w:sz w:val="24"/>
          <w:szCs w:val="24"/>
        </w:rPr>
        <w:t xml:space="preserve">HIGH  (3.30 / 5)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Analyst Notes: CloudSync presents high inherent risk primarily due to the sensitivity of data being processed (employee PII, SSNs, payroll, benefits) and the multi-tenant cloud deployment model. Proceed to security questionnaire.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090" w:sz="4" w:space="1"/>
      </w:pBdr>
      <w:tabs>
        <w:tab w:val="right" w:pos="9360"/>
      </w:tabs>
    </w:pPr>
    <w:r>
      <w:rPr>
        <w:rFonts w:ascii="Arial" w:cs="Arial" w:eastAsia="Arial" w:hAnsi="Arial"/>
        <w:color w:val="888888"/>
        <w:sz w:val="16"/>
        <w:szCs w:val="16"/>
      </w:rPr>
      <w:t xml:space="preserve">CONFIDENTIAL — Internal Use Only  |  Meridian Financial Group  |  TPRM-2025-007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090" w:sz="4" w:space="1"/>
      </w:pBdr>
      <w:tabs>
        <w:tab w:val="right" w:pos="9360"/>
      </w:tabs>
    </w:pPr>
    <w:r>
      <w:rPr>
        <w:rFonts w:ascii="Arial" w:cs="Arial" w:eastAsia="Arial" w:hAnsi="Arial"/>
        <w:color w:val="2E5090"/>
        <w:sz w:val="16"/>
        <w:szCs w:val="16"/>
      </w:rPr>
      <w:t xml:space="preserve">Meridian Financial Group — TPRM-2025-007</w:t>
    </w:r>
    <w:r>
      <w:rPr>
        <w:rFonts w:ascii="Arial" w:cs="Arial" w:eastAsia="Arial" w:hAnsi="Arial"/>
        <w:b/>
        <w:bCs/>
        <w:color w:val="1F3864"/>
        <w:sz w:val="16"/>
        <w:szCs w:val="16"/>
      </w:rPr>
      <w:t xml:space="preserve">	Inherent Risk Questionnaire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2026-03-12T16:15:31.862Z</dcterms:created>
  <dcterms:modified xsi:type="dcterms:W3CDTF">2026-03-12T16:15:31.862Z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