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Security Questionnaire</w:t>
      </w:r>
    </w:p>
    <w:p>
      <w:pPr>
        <w:shd w:fill="2E5090" w:val="clear"/>
        <w:spacing w:after="240" w:before="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Assessment ID: TPRM-2025-007  |  Sent: March 3, 2025  |  Responses Received: March 10, 2025</w:t>
      </w:r>
    </w:p>
    <w:p>
      <w:pPr>
        <w:spacing w:after="120" w:before="120"/>
      </w:pP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1: Governance and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organization have a formal Information Security Policy?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reviewed annually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dedicated security team or CISO?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CISO + 4-person security team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third-party risk assessments performed on CloudSync's own vendors?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annually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Partially verified; no evidence provided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documented risk management program?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ISO 27001 aligned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security risks reviewed at the executive level?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quarterly board briefings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hd w:fill="D4EDDA" w:val="clear"/>
        <w:spacing w:after="120" w:before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Domain Status: ✅ Satisfactory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2: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Multi-Factor Authentication (MFA) required for all users?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required for admin accounts; optional for standard users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GAP — MFA should be required for ALL users with access to Meridian data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role-based access control (RBAC) implemented?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granular RBAC with least privilege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is privileged access managed?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PAM tool (CyberArk) with session recording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access reviews conducted?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quarterly access reviews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Single Sign-On (SSO) available for customers?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SAML 2.0 and OIDC supported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vendor support access logged and auditable?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all support access logged with ticket reference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hd w:fill="FFECD1" w:val="clear"/>
        <w:spacing w:after="120" w:before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Domain Status: ⚠️ Gap Identified (Item 2.1)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3: Data Security and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data encrypted at rest?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AES-256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data encrypted in transit?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TLS 1.2 minimum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Acceptable; TLS 1.3 preferred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encryption keys managed securely?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KMS with annual key rotation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customer data logically isolated in the multi-tenant environment?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per-tenant DB schemas with row-level security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Acceptable; design doc requested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data masking or tokenization used for sensitive fields (SSN)?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SSNs are tokenized in production; NOT in non-production environments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GAP — PII must be masked in non-production environments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 data retention and disposal policy in place?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7-year retention; secure deletion via certified vendor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data loss prevention (DLP) controls in place?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Partially — DLP on email only; no endpoint DLP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GAP — Limited DLP coverage</w:t>
            </w:r>
          </w:p>
        </w:tc>
      </w:tr>
    </w:tbl>
    <w:p>
      <w:pPr>
        <w:shd w:fill="FFECD1" w:val="clear"/>
        <w:spacing w:after="120" w:before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Domain Status: ⚠️ Gaps Identified (Items 3.5, 3.7)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4: Network and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production environment separated from non-production?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separate AWS accounts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firewalls and network segmentation controls in place?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AWS Security Groups and NACLs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vulnerability scanning performed?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monthly automated scans + annual pen test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critical patches applied within defined SLAs?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patches within 72 hours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an IDS/IPS in place?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GuardDuty enabled; no dedicated IPS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 for cloud environment</w:t>
            </w:r>
          </w:p>
        </w:tc>
      </w:tr>
    </w:tbl>
    <w:p>
      <w:pPr>
        <w:shd w:fill="D4EDDA" w:val="clear"/>
        <w:spacing w:after="120" w:before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Domain Status: ✅ Satisfactory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5: Incident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documented Incident Response (IR) plan?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tested annually via tabletop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breach notification timeline for customers?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48-hour customer notification SLA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 the vendor experienced a security incident in the past 3 years?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minor incident in 2023 (misconfigured S3 bucket; no data exfiltration)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Noted; resolved promptly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incidents logged and tracked to closure?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ticketing system with SLA tracking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hd w:fill="D4EDDA" w:val="clear"/>
        <w:spacing w:after="120" w:before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Domain Status: ✅ Satisfactory (note: 2023 incident)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6: Business Continuity / 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documented Business Continuity Plan (BCP)?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tested annually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Recovery Time Objective (RTO)?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Recovery Point Objective (RPO)?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backups performed and tested?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automated backups; quarterly restore tests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geographic redundancy?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active-passive across two AWS regions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hd w:fill="D4EDDA" w:val="clear"/>
        <w:spacing w:after="120" w:before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Domain Status: ✅ Satisfactory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7: Third-Party / Supply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CloudSync use sub-processors that may access Meridian data?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AWS, Stripe (payroll), Twilio (MFA)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Must verify sub-processor security posture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sub-processors contractually bound to equivalent security requirements?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DPA in place with each sub-processor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 list of sub-processors available to customers?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published on CloudSync website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hd w:fill="FFECD1" w:val="clear"/>
        <w:spacing w:after="120" w:before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Domain Status: ⚠️ Monitor (sub-processor list to be reviewed)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Domain 8: Compliance and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 current SOC 2 Type II report available?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provided under NDA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reviewed; clean opinion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ISO 27001 certification current?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certificate provided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Verified; expires Sept 2025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 HIPAA Business Associate Agreement (BAA) available?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included in contract template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penetration tests performed annually?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by third-party firm; summary available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customer audit right in the contract?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— right to review SOC 2 report, not direct audit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Below Meridian preferred standard; negotiate</w:t>
            </w:r>
          </w:p>
        </w:tc>
      </w:tr>
    </w:tbl>
    <w:p>
      <w:pPr>
        <w:shd w:fill="FFECD1" w:val="clear"/>
        <w:spacing w:after="120" w:before="8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Domain Status: ⚠️ Minor gap (Item 8.5 — audit rights)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Questionnaire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Governance and Risk Management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Satisfactory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Access Control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Gap — MFA not universal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Data Security and Encryption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Gaps — data masking, limited DLP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Network and Infrastructure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Satisfactory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Incident Response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Satisfactory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Business Continuity / DR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Satisfactory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 Third-Party / Supply Chain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⚠️ Monitor sub-processors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 Compliance and Audit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⚠️ Minor — limited audit rights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Total Gaps Identified: 4  |  Critical Gaps: 1 (MFA)  |  Notable Gaps: 3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Meridian Financial Group  |  TPRM-2025-007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  <w:tabs>
        <w:tab w:val="right" w:pos="9360"/>
      </w:tabs>
    </w:pPr>
    <w:r>
      <w:rPr>
        <w:rFonts w:ascii="Arial" w:cs="Arial" w:eastAsia="Arial" w:hAnsi="Arial"/>
        <w:color w:val="2E5090"/>
        <w:sz w:val="16"/>
        <w:szCs w:val="16"/>
      </w:rPr>
      <w:t xml:space="preserve">Meridian Financial Group — TPRM-2025-007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	Security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2026-03-12T16:15:31.963Z</dcterms:created>
  <dcterms:modified xsi:type="dcterms:W3CDTF">2026-03-12T16:15:31.963Z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