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Inherent Risk Questionnaire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Third-Party Vendor Risk Assessment | CloudSync Solutions</w:t>
      </w:r>
    </w:p>
    <w:p>
      <w:pPr>
        <w:pBdr>
          <w:bottom w:val="single" w:color="2E5090" w:sz="6" w:space="4"/>
        </w:pBdr>
        <w:spacing w:after="24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Assessment ID: TPRM-2025-007  |  Analyst: Lazaro Denis  |  Date: March 1, 2025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Purpose: Scores the vendor's inherent risk before any security controls are considered.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Scoring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risk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Factor 1: Data Sensitivity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PII?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names, addresses, SSNs, DOBs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financial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payroll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health/benefits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benefits enrollment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regulated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Possible HIPAA (benefits)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process proprietary business data?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Limited — internal HR 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Data Sensitivity Sub-Score: 4.0 / 5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Factor 2: Volume and Breadth of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 employee records in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 employees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Frequency of data transfer or 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(payroll cycle bi-weekly)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of data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HR dataset for all employees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Volume Sub-Score: 3.3 / 5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Factor 3: Access and Connectivity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have direct access to Meridian's internal network?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— internet-based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use APIs to interact with Meridian systems?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AD sync and payroll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have privileged access?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Break-glass support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vendor accessible via the public internet?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SaaS platform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Access Sub-Score: 2.5 / 5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Factor 4: Hosting and Deployment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is data hosted?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us-east-1 (cloud)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environment multi-tenant?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multi-tenant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use sub-processors?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at intake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data stored in the United States?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AWS us-east-1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Hosting Sub-Score: 3.25 / 5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Factor 5: Business Criticality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critical is this vendor to Meridian's operations?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core HR 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What is the impact if the vendor becomes unavailable?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— payroll disruption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there a backup or alternate vendor available?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current backup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Business Criticality Sub-Score: 3.75 / 5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Factor 6: Vendor Maturity and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How long has the vendor been in business?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 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 the vendor experienced a known breach?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— requires verification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the vendor have active certifications?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(self-reported SOC 2, ISO 27001)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vendor financially stable?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Series B funded, established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2E5090"/>
          <w:sz w:val="20"/>
          <w:szCs w:val="20"/>
        </w:rPr>
        <w:t xml:space="preserve">Vendor Maturity Sub-Score: 2.25 / 5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Inherent Risk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14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 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Sensitivity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and Breadth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and Connectivity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Hosting and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Criticality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Maturity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3.30 /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DEBD0" w:val="clear"/>
        <w:spacing w:after="120" w:before="120"/>
        <w:jc w:val="center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⚠️  INHERENT RISK RATING: HIGH (3.30 / 5)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5090" w:sz="4" w:space="1"/>
      </w:pBdr>
      <w:spacing w:after="100" w:before="20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Inherent Risk Questionnaire</dc:title>
  <dc:creator>Un-named</dc:creator>
  <cp:lastModifiedBy>Un-named</cp:lastModifiedBy>
  <cp:revision>1</cp:revision>
  <dcterms:created xsi:type="dcterms:W3CDTF">2026-03-12T16:09:52.788Z</dcterms:created>
  <dcterms:modified xsi:type="dcterms:W3CDTF">2026-03-12T16:09:52.788Z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