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Security Review Findings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Vendor: CloudSync Solutions | TPRM-2025-007</w:t>
      </w:r>
    </w:p>
    <w:p>
      <w:pPr>
        <w:pBdr>
          <w:bottom w:val="single" w:color="2E5090" w:sz="6" w:space="4"/>
        </w:pBdr>
        <w:spacing w:after="240" w:before="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Review Date: March 10–14, 2025  |  Analyst: Lazaro Denis</w:t>
      </w:r>
    </w:p>
    <w:p>
      <w:pPr>
        <w:pStyle w:val="Heading2"/>
      </w:pPr>
      <w:r>
        <w:rPr>
          <w:rFonts w:ascii="Arial" w:cs="Arial" w:eastAsia="Arial" w:hAnsi="Arial"/>
        </w:rPr>
        <w:t xml:space="preserve">Finding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560"/>
        <w:gridCol w:w="1400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 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 Control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MFA Not Universally 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Security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PII Exposed in Non-Production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Security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Limited DLP Coverage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Compliance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Restricted Customer Audit Rights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Supply Chain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Sub-Processor Inventory Not Reviewed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Detailed Findings</w:t>
      </w:r>
    </w:p>
    <w:p>
      <w:pPr>
        <w:pBdr>
          <w:bottom w:val="single" w:color="C0392B" w:sz="4" w:space="1"/>
        </w:pBdr>
        <w:shd w:fill="FADBD8" w:val="clear"/>
        <w:spacing w:after="80" w:before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FIND-001 — MFA Not Universally Required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  [High]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Finding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FIND-001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Control Reference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NIST CSF PR.AA-01 / ISO 27001 A.8.5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Observed Condition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MFA required for admin accounts; optional for standard users who may include Meridian HR staff with access to sensitive employee data.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Risk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a standard user account is compromised, an attacker gains direct access to employee PII, payroll, and benefits data without an additional authentication barrier.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Likelihood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— credential-based attacks are among the most common attack vectors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Impact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— direct exposure of Confidential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Risk Rating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Recommended Remediation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 MFA for all users who access Meridian tenant data. Enforce at SSO/SAML layer or platform-wide.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Vendor Response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MFA enforcement for all users is on their Q2 2025 roadmap.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Remediation 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June 30, 2025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0392B" w:sz="4" w:space="1"/>
        </w:pBdr>
        <w:shd w:fill="FADBD8" w:val="clear"/>
        <w:spacing w:after="80" w:before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FIND-002 — PII Exposed in Non-Production Environments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  [High]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Finding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FIND-002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Control Reference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NIST CSF PR.DS-01 / ISO 27001 A.8.11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Observed Condition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SSNs and other PII are tokenized in production, but the same protections are not applied in development and test environments.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Risk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Non-production environments have weaker access controls and less monitoring. PII in these environments is at elevated risk of unauthorized access.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Likelihood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 — non-prod environments are common attack targets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Impact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— direct exposure of PII including SSNs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Risk Rating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Recommended Remediation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 use of synthetic or masked data in all non-production environments. Confirm with written policy and evidence.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Vendor Response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CloudSync acknowledged the gap. Committed to implementing a data masking policy by Q3 2025.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Remediation 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August 31, 2025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35400" w:sz="4" w:space="1"/>
        </w:pBdr>
        <w:shd w:fill="FDEBD0" w:val="clear"/>
        <w:spacing w:after="80" w:before="1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FIND-003 — Limited Data Loss Prevention (DLP) Coverage</w:t>
      </w: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   [Medium]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Finding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FIND-003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Control Reference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NIST CSF PR.DS-05 / ISO 27001 A.8.12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Observed Condition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DLP controls are in place for outbound email only. No DLP coverage on endpoint devices, cloud storage (S3), or API-layer data exports.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Risk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Sensitive data can be exfiltrated via API, unauthorized bulk download, or misconfigured S3 bucket without detection.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Risk Rating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Recommended Remediation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Expand DLP to include cloud storage and API-layer exports. Implement alerting for bulk data download events.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Vendor Response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CloudSync is evaluating CASB/DLP tooling. No committed timeline provided.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Remediation 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December 31, 2025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7D6608" w:sz="4" w:space="1"/>
        </w:pBdr>
        <w:shd w:fill="FEF9E7" w:val="clear"/>
        <w:spacing w:after="80" w:before="160"/>
      </w:pPr>
      <w:r>
        <w:rPr>
          <w:rFonts w:ascii="Arial" w:cs="Arial" w:eastAsia="Arial" w:hAnsi="Arial"/>
          <w:b/>
          <w:bCs/>
          <w:color w:val="7D6608"/>
          <w:sz w:val="22"/>
          <w:szCs w:val="22"/>
        </w:rPr>
        <w:t xml:space="preserve">FIND-004 — Restricted Customer Audit Rights</w:t>
      </w:r>
      <w:r>
        <w:rPr>
          <w:rFonts w:ascii="Arial" w:cs="Arial" w:eastAsia="Arial" w:hAnsi="Arial"/>
          <w:b/>
          <w:bCs/>
          <w:color w:val="7D6608"/>
          <w:sz w:val="22"/>
          <w:szCs w:val="22"/>
        </w:rPr>
        <w:t xml:space="preserve">   [Low]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Finding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FIND-004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Control Reference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NIST CSF GV.OC-05 / ISO 27001 A.5.20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Observed Condition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contract grants Meridian the right to review the SOC 2 report but does not allow direct audits or independent third-party assessment.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Risk Rating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Recommended Remediation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Negotiate contract language to allow annual questionnaire re-assessment and right to request supplemental evidence.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7D6608" w:sz="4" w:space="1"/>
        </w:pBdr>
        <w:shd w:fill="FEF9E7" w:val="clear"/>
        <w:spacing w:after="80" w:before="160"/>
      </w:pPr>
      <w:r>
        <w:rPr>
          <w:rFonts w:ascii="Arial" w:cs="Arial" w:eastAsia="Arial" w:hAnsi="Arial"/>
          <w:b/>
          <w:bCs/>
          <w:color w:val="7D6608"/>
          <w:sz w:val="22"/>
          <w:szCs w:val="22"/>
        </w:rPr>
        <w:t xml:space="preserve">FIND-005 — Sub-Processor Inventory Not Independently Verified</w:t>
      </w:r>
      <w:r>
        <w:rPr>
          <w:rFonts w:ascii="Arial" w:cs="Arial" w:eastAsia="Arial" w:hAnsi="Arial"/>
          <w:b/>
          <w:bCs/>
          <w:color w:val="7D6608"/>
          <w:sz w:val="22"/>
          <w:szCs w:val="22"/>
        </w:rPr>
        <w:t xml:space="preserve">   [Low]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Finding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FIND-005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Control Reference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NIST CSF GV.SC-06 / ISO 27001 A.5.19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Observed Condition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CloudSync confirmed use of AWS, Stripe, and Twilio as sub-processors. Their posture has not been independently reviewed by Meridian.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Risk Rating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Recommended Remediation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 CloudSync's sub-processor list at onboarding and at each annual review. Confirm DPAs are in place.</w:t>
            </w:r>
          </w:p>
        </w:tc>
      </w:tr>
    </w:tbl>
    <w:p>
      <w:pPr>
        <w:spacing w:after="80" w:before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pBdr>
        <w:bottom w:val="single" w:color="2E5090" w:sz="4" w:space="1"/>
      </w:pBdr>
      <w:spacing w:after="100" w:before="200"/>
      <w:outlineLvl w:val="1"/>
    </w:pPr>
    <w:rPr>
      <w:rFonts w:ascii="Arial" w:cs="Arial" w:eastAsia="Arial" w:hAnsi="Arial"/>
      <w:b/>
      <w:bCs/>
      <w:color w:val="2E509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Review Findings</dc:title>
  <dc:creator>Un-named</dc:creator>
  <cp:lastModifiedBy>Un-named</cp:lastModifiedBy>
  <cp:revision>1</cp:revision>
  <dcterms:created xsi:type="dcterms:W3CDTF">2026-03-12T16:09:53.047Z</dcterms:created>
  <dcterms:modified xsi:type="dcterms:W3CDTF">2026-03-12T16:09:53.047Z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