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after="40"/>
        <w:ind/>
        <w:rPr/>
      </w:pPr>
      <w:r>
        <w:rPr>
          <w:b/>
          <w:bCs/>
          <w:color w:val="1F2A44"/>
          <w:sz w:val="40"/>
          <w:szCs w:val="40"/>
        </w:rPr>
        <w:t xml:space="preserve">Project Update Setup and Database</w:t>
      </w:r>
    </w:p>
    <w:p>
      <w:pPr>
        <w:pBdr/>
        <w:pStyle w:val="Normal"/>
        <w:spacing w:after="280"/>
        <w:ind/>
        <w:rPr>
          <w:sz w:val="20"/>
        </w:rPr>
      </w:pPr>
      <w:r>
        <w:rPr>
          <w:i/>
          <w:iCs/>
          <w:color w:val="4B5563"/>
          <w:sz w:val="21"/>
          <w:szCs w:val="21"/>
        </w:rPr>
        <w:t xml:space="preserve">Cognitive Assessment Platform</w:t>
      </w:r>
    </w:p>
    <w:p>
      <w:pPr>
        <w:pBdr/>
        <w:pStyle w:val="Normal"/>
        <w:spacing w:after="160" w:line="300" w:lineRule="auto"/>
        <w:ind/>
        <w:rPr/>
      </w:pPr>
      <w:r>
        <w:rPr>
          <w:color w:val="1F2937"/>
          <w:sz w:val="22"/>
          <w:szCs w:val="22"/>
        </w:rPr>
        <w:t xml:space="preserve">Hi Luke,</w:t>
      </w:r>
    </w:p>
    <w:p>
      <w:pPr>
        <w:pBdr/>
        <w:pStyle w:val="Normal"/>
        <w:spacing w:after="160" w:line="300" w:lineRule="auto"/>
        <w:ind/>
        <w:rPr/>
      </w:pPr>
      <w:r>
        <w:rPr>
          <w:color w:val="1F2937"/>
          <w:sz w:val="22"/>
          <w:szCs w:val="22"/>
        </w:rPr>
        <w:t xml:space="preserve">Wanted to give you a quick update. we have got the project set up and the database connected on our end so the architecture is locked in and we hare ready to start building the actual features.</w:t>
      </w:r>
    </w:p>
    <w:p>
      <w:pPr>
        <w:pBdr/>
        <w:pStyle w:val="Normal"/>
        <w:spacing w:after="160" w:line="300" w:lineRule="auto"/>
        <w:ind/>
        <w:rPr/>
      </w:pPr>
      <w:r>
        <w:rPr>
          <w:color w:val="1F2937"/>
          <w:sz w:val="22"/>
          <w:szCs w:val="22"/>
        </w:rPr>
        <w:t xml:space="preserve">Here is where things stand:</w:t>
      </w:r>
    </w:p>
    <w:p>
      <w:pPr>
        <w:pBdr/>
        <w:pStyle w:val="Heading 2"/>
        <w:spacing w:before="320" w:after="140"/>
        <w:ind/>
        <w:rPr/>
      </w:pPr>
      <w:r>
        <w:rPr>
          <w:b/>
          <w:bCs/>
          <w:color w:val="1F2A44"/>
          <w:sz w:val="27"/>
          <w:szCs w:val="27"/>
        </w:rPr>
        <w:t xml:space="preserve">What we</w:t>
      </w:r>
      <w:r>
        <w:rPr>
          <w:b/>
          <w:bCs/>
          <w:color w:val="1F2A44"/>
          <w:sz w:val="26"/>
          <w:szCs w:val="27"/>
        </w:rPr>
        <w:t xml:space="preserve"> ha</w:t>
      </w:r>
      <w:r>
        <w:rPr>
          <w:b/>
          <w:bCs/>
          <w:color w:val="1F2A44"/>
          <w:sz w:val="27"/>
          <w:szCs w:val="27"/>
        </w:rPr>
        <w:t xml:space="preserve">ve done</w:t>
      </w:r>
    </w:p>
    <w:p>
      <w:pPr>
        <w:pBdr/>
        <w:pStyle w:val="List Paragraph"/>
        <w:numPr>
          <w:ilvl w:val="0"/>
          <w:numId w:val="2"/>
        </w:numPr>
        <w:spacing w:after="100" w:line="300" w:lineRule="auto"/>
        <w:ind/>
        <w:rPr/>
      </w:pPr>
      <w:r>
        <w:rPr>
          <w:color w:val="1F2937"/>
          <w:sz w:val="22"/>
          <w:szCs w:val="22"/>
        </w:rPr>
        <w:t xml:space="preserve">Set up the project on Next.js with Tailwind and shadcn/ui for the interface.</w:t>
      </w:r>
    </w:p>
    <w:p>
      <w:pPr>
        <w:pBdr/>
        <w:pStyle w:val="List Paragraph"/>
        <w:numPr>
          <w:ilvl w:val="0"/>
          <w:numId w:val="2"/>
        </w:numPr>
        <w:spacing w:after="100" w:line="300" w:lineRule="auto"/>
        <w:ind/>
        <w:rPr/>
      </w:pPr>
      <w:r>
        <w:rPr>
          <w:color w:val="1F2937"/>
          <w:sz w:val="22"/>
          <w:szCs w:val="22"/>
        </w:rPr>
        <w:t xml:space="preserve">Got PostgreSQL running and connected it to the project through Prisma.</w:t>
      </w:r>
    </w:p>
    <w:p>
      <w:pPr>
        <w:pBdr/>
        <w:pStyle w:val="List Paragraph"/>
        <w:numPr>
          <w:ilvl w:val="0"/>
          <w:numId w:val="2"/>
        </w:numPr>
        <w:spacing w:after="100" w:line="300" w:lineRule="auto"/>
        <w:ind/>
        <w:rPr/>
      </w:pPr>
      <w:r>
        <w:rPr>
          <w:color w:val="1F2937"/>
          <w:sz w:val="22"/>
          <w:szCs w:val="22"/>
        </w:rPr>
        <w:t xml:space="preserve">Ran your schema file all the tables came through clean (scenarios, options, scoring, users, sessions, the works).</w:t>
      </w:r>
    </w:p>
    <w:p>
      <w:pPr>
        <w:pBdr/>
        <w:pStyle w:val="List Paragraph"/>
        <w:numPr>
          <w:ilvl w:val="0"/>
          <w:numId w:val="2"/>
        </w:numPr>
        <w:spacing w:after="100" w:line="300" w:lineRule="auto"/>
        <w:ind/>
        <w:rPr/>
      </w:pPr>
      <w:r>
        <w:rPr>
          <w:color w:val="1F2937"/>
          <w:sz w:val="22"/>
          <w:szCs w:val="22"/>
        </w:rPr>
        <w:t xml:space="preserve">Loaded your seed data and checked it against your own verification queries everything matches, down to the exact count.</w:t>
      </w:r>
    </w:p>
    <w:p>
      <w:pPr>
        <w:pBdr/>
        <w:pStyle w:val="List Paragraph"/>
        <w:numPr>
          <w:ilvl w:val="0"/>
          <w:numId w:val="2"/>
        </w:numPr>
        <w:spacing w:after="100" w:line="300" w:lineRule="auto"/>
        <w:ind/>
        <w:rPr/>
      </w:pPr>
      <w:r>
        <w:rPr>
          <w:color w:val="1F2937"/>
          <w:sz w:val="22"/>
          <w:szCs w:val="22"/>
        </w:rPr>
        <w:t xml:space="preserve">Set the base layout up for tablets specifically, since that is the main screen size this needs to work well on.</w:t>
      </w:r>
    </w:p>
    <w:p>
      <w:pPr>
        <w:pBdr/>
        <w:pStyle w:val="List Paragraph"/>
        <w:numPr>
          <w:ilvl w:val="0"/>
          <w:numId w:val="2"/>
        </w:numPr>
        <w:spacing w:after="100" w:line="300" w:lineRule="auto"/>
        <w:ind/>
        <w:rPr/>
      </w:pPr>
      <w:r>
        <w:rPr>
          <w:color w:val="1F2937"/>
          <w:sz w:val="22"/>
          <w:szCs w:val="22"/>
        </w:rPr>
        <w:t xml:space="preserve">Made sure none of the scenario content is hardcoded it all pulls from the database, so if you ever want to swap in a different scenario pack later, that is just a data change, not a code change.</w:t>
      </w:r>
    </w:p>
    <w:p>
      <w:pPr>
        <w:pBdr/>
        <w:pStyle w:val="Heading 2"/>
        <w:spacing w:before="320" w:after="140"/>
        <w:ind/>
        <w:rPr/>
      </w:pPr>
      <w:r>
        <w:rPr>
          <w:b/>
          <w:bCs/>
          <w:color w:val="1F2A44"/>
          <w:sz w:val="27"/>
          <w:szCs w:val="27"/>
        </w:rPr>
        <w:t xml:space="preserve">The numbers if you want to double check</w:t>
      </w:r>
    </w:p>
    <w:p>
      <w:pPr>
        <w:pBdr/>
        <w:pStyle w:val="Normal"/>
        <w:spacing w:after="160" w:line="300" w:lineRule="auto"/>
        <w:ind/>
        <w:rPr/>
      </w:pPr>
      <w:r>
        <w:rPr>
          <w:color w:val="1F2937"/>
          <w:sz w:val="22"/>
          <w:szCs w:val="22"/>
        </w:rPr>
        <w:t xml:space="preserve">We ran this against the live database and compared it to what your own verification doc expects:</w:t>
      </w:r>
    </w:p>
    <w:p>
      <w:pPr>
        <w:pBdr/>
        <w:pStyle w:val="Normal"/>
        <w:spacing w:after="200"/>
        <w:ind/>
        <w:rPr/>
      </w:pPr>
    </w:p>
    <w:tbl>
      <w:tblPr>
        <w:tblW w:w="900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600"/>
        <w:gridCol w:w="2700"/>
        <w:gridCol w:w="27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w="3600" w:type="dxa"/>
            <w:tcMar>
              <w:top w:w="100" w:type="dxa"/>
              <w:left w:w="120" w:type="dxa"/>
              <w:bottom w:w="100" w:type="dxa"/>
              <w:right w:w="120" w:type="dxa"/>
            </w:tcMar>
            <w:tcBorders/>
            <w:shd w:fill="1F2A44" w:color="auto" w:val="clear"/>
            <w:vAlign w:val="top"/>
          </w:tcPr>
          <w:p>
            <w:pPr>
              <w:pBdr/>
              <w:pStyle w:val="Normal"/>
              <w:spacing/>
              <w:ind/>
              <w:rPr/>
            </w:pPr>
            <w:r>
              <w:rPr>
                <w:b/>
                <w:bCs/>
                <w:color w:val="FFFFFF"/>
                <w:sz w:val="20"/>
                <w:szCs w:val="20"/>
              </w:rPr>
              <w:t xml:space="preserve">Table</w:t>
            </w:r>
          </w:p>
        </w:tc>
        <w:tc>
          <w:tcPr>
            <w:tcW w:w="2700" w:type="dxa"/>
            <w:tcMar>
              <w:top w:w="100" w:type="dxa"/>
              <w:left w:w="120" w:type="dxa"/>
              <w:bottom w:w="100" w:type="dxa"/>
              <w:right w:w="120" w:type="dxa"/>
            </w:tcMar>
            <w:tcBorders/>
            <w:shd w:fill="1F2A44" w:color="auto" w:val="clear"/>
            <w:vAlign w:val="top"/>
          </w:tcPr>
          <w:p>
            <w:pPr>
              <w:pBdr/>
              <w:pStyle w:val="Normal"/>
              <w:spacing/>
              <w:ind/>
              <w:rPr/>
            </w:pPr>
            <w:r>
              <w:rPr>
                <w:b/>
                <w:bCs/>
                <w:color w:val="FFFFFF"/>
                <w:sz w:val="20"/>
                <w:szCs w:val="20"/>
              </w:rPr>
              <w:t xml:space="preserve">Expected</w:t>
            </w:r>
          </w:p>
        </w:tc>
        <w:tc>
          <w:tcPr>
            <w:tcW w:w="2700" w:type="dxa"/>
            <w:tcMar>
              <w:top w:w="100" w:type="dxa"/>
              <w:left w:w="120" w:type="dxa"/>
              <w:bottom w:w="100" w:type="dxa"/>
              <w:right w:w="120" w:type="dxa"/>
            </w:tcMar>
            <w:tcBorders/>
            <w:shd w:fill="1F2A44" w:color="auto" w:val="clear"/>
            <w:vAlign w:val="top"/>
          </w:tcPr>
          <w:p>
            <w:pPr>
              <w:pBdr/>
              <w:pStyle w:val="Normal"/>
              <w:spacing/>
              <w:ind/>
              <w:rPr/>
            </w:pPr>
            <w:r>
              <w:rPr>
                <w:b/>
                <w:bCs/>
                <w:color w:val="FFFFFF"/>
                <w:sz w:val="20"/>
                <w:szCs w:val="20"/>
              </w:rPr>
              <w:t xml:space="preserve">What We Got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100" w:type="dxa"/>
              <w:left w:w="120" w:type="dxa"/>
              <w:bottom w:w="100" w:type="dxa"/>
              <w:right w:w="120" w:type="dxa"/>
            </w:tcMar>
            <w:tcBorders/>
            <w:shd w:fill="FFFFFF" w:color="auto" w:val="clear"/>
            <w:vAlign w:val="top"/>
          </w:tcPr>
          <w:p>
            <w:pPr>
              <w:pBdr/>
              <w:pStyle w:val="Normal"/>
              <w:spacing/>
              <w:ind/>
              <w:jc w:val="left"/>
              <w:rPr/>
            </w:pPr>
            <w:r>
              <w:rPr>
                <w:b w:val="0"/>
                <w:color w:val="1F2937"/>
                <w:sz w:val="20"/>
                <w:szCs w:val="20"/>
              </w:rPr>
              <w:t xml:space="preserve">Scenario Packages</w:t>
            </w:r>
          </w:p>
        </w:tc>
        <w:tc>
          <w:tcPr>
            <w:tcW w:w="2700" w:type="dxa"/>
            <w:tcMar>
              <w:top w:w="100" w:type="dxa"/>
              <w:left w:w="120" w:type="dxa"/>
              <w:bottom w:w="100" w:type="dxa"/>
              <w:right w:w="120" w:type="dxa"/>
            </w:tcMar>
            <w:tcBorders/>
            <w:shd w:fill="FFFFFF" w:color="auto" w:val="clear"/>
            <w:vAlign w:val="top"/>
          </w:tcPr>
          <w:p>
            <w:pPr>
              <w:pBdr/>
              <w:pStyle w:val="Normal"/>
              <w:spacing/>
              <w:ind/>
              <w:jc w:val="center"/>
              <w:rPr/>
            </w:pPr>
            <w:r>
              <w:rPr>
                <w:b w:val="0"/>
                <w:color w:val="1F2937"/>
                <w:sz w:val="20"/>
                <w:szCs w:val="20"/>
              </w:rPr>
              <w:t xml:space="preserve">1</w:t>
            </w:r>
          </w:p>
        </w:tc>
        <w:tc>
          <w:tcPr>
            <w:tcW w:w="2700" w:type="dxa"/>
            <w:tcMar>
              <w:top w:w="100" w:type="dxa"/>
              <w:left w:w="120" w:type="dxa"/>
              <w:bottom w:w="100" w:type="dxa"/>
              <w:right w:w="120" w:type="dxa"/>
            </w:tcMar>
            <w:tcBorders/>
            <w:shd w:fill="FFFFFF" w:color="auto" w:val="clear"/>
            <w:vAlign w:val="top"/>
          </w:tcPr>
          <w:p>
            <w:pPr>
              <w:pBdr/>
              <w:pStyle w:val="Normal"/>
              <w:spacing/>
              <w:ind/>
              <w:jc w:val="center"/>
              <w:rPr/>
            </w:pPr>
            <w:r>
              <w:rPr>
                <w:b/>
                <w:bCs/>
                <w:color w:val="15803D"/>
                <w:sz w:val="20"/>
                <w:szCs w:val="20"/>
              </w:rPr>
              <w:t xml:space="preserve">1 — Match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100" w:type="dxa"/>
              <w:left w:w="120" w:type="dxa"/>
              <w:bottom w:w="100" w:type="dxa"/>
              <w:right w:w="120" w:type="dxa"/>
            </w:tcMar>
            <w:tcBorders/>
            <w:shd w:fill="F3F4F6" w:color="auto" w:val="clear"/>
            <w:vAlign w:val="top"/>
          </w:tcPr>
          <w:p>
            <w:pPr>
              <w:pBdr/>
              <w:pStyle w:val="Normal"/>
              <w:spacing/>
              <w:ind/>
              <w:jc w:val="left"/>
              <w:rPr/>
            </w:pPr>
            <w:r>
              <w:rPr>
                <w:b w:val="0"/>
                <w:color w:val="1F2937"/>
                <w:sz w:val="20"/>
                <w:szCs w:val="20"/>
              </w:rPr>
              <w:t xml:space="preserve">Scenarios</w:t>
            </w:r>
          </w:p>
        </w:tc>
        <w:tc>
          <w:tcPr>
            <w:tcW w:w="2700" w:type="dxa"/>
            <w:tcMar>
              <w:top w:w="100" w:type="dxa"/>
              <w:left w:w="120" w:type="dxa"/>
              <w:bottom w:w="100" w:type="dxa"/>
              <w:right w:w="120" w:type="dxa"/>
            </w:tcMar>
            <w:tcBorders/>
            <w:shd w:fill="F3F4F6" w:color="auto" w:val="clear"/>
            <w:vAlign w:val="top"/>
          </w:tcPr>
          <w:p>
            <w:pPr>
              <w:pBdr/>
              <w:pStyle w:val="Normal"/>
              <w:spacing/>
              <w:ind/>
              <w:jc w:val="center"/>
              <w:rPr/>
            </w:pPr>
            <w:r>
              <w:rPr>
                <w:b w:val="0"/>
                <w:color w:val="1F2937"/>
                <w:sz w:val="20"/>
                <w:szCs w:val="20"/>
              </w:rPr>
              <w:t xml:space="preserve">50</w:t>
            </w:r>
          </w:p>
        </w:tc>
        <w:tc>
          <w:tcPr>
            <w:tcW w:w="2700" w:type="dxa"/>
            <w:tcMar>
              <w:top w:w="100" w:type="dxa"/>
              <w:left w:w="120" w:type="dxa"/>
              <w:bottom w:w="100" w:type="dxa"/>
              <w:right w:w="120" w:type="dxa"/>
            </w:tcMar>
            <w:tcBorders/>
            <w:shd w:fill="F3F4F6" w:color="auto" w:val="clear"/>
            <w:vAlign w:val="top"/>
          </w:tcPr>
          <w:p>
            <w:pPr>
              <w:pBdr/>
              <w:pStyle w:val="Normal"/>
              <w:spacing/>
              <w:ind/>
              <w:jc w:val="center"/>
              <w:rPr/>
            </w:pPr>
            <w:r>
              <w:rPr>
                <w:b/>
                <w:bCs/>
                <w:color w:val="15803D"/>
                <w:sz w:val="20"/>
                <w:szCs w:val="20"/>
              </w:rPr>
              <w:t xml:space="preserve">50 — Match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100" w:type="dxa"/>
              <w:left w:w="120" w:type="dxa"/>
              <w:bottom w:w="100" w:type="dxa"/>
              <w:right w:w="120" w:type="dxa"/>
            </w:tcMar>
            <w:tcBorders/>
            <w:shd w:fill="FFFFFF" w:color="auto" w:val="clear"/>
            <w:vAlign w:val="top"/>
          </w:tcPr>
          <w:p>
            <w:pPr>
              <w:pBdr/>
              <w:pStyle w:val="Normal"/>
              <w:spacing/>
              <w:ind/>
              <w:jc w:val="left"/>
              <w:rPr/>
            </w:pPr>
            <w:r>
              <w:rPr>
                <w:b w:val="0"/>
                <w:color w:val="1F2937"/>
                <w:sz w:val="20"/>
                <w:szCs w:val="20"/>
              </w:rPr>
              <w:t xml:space="preserve">Options</w:t>
            </w:r>
          </w:p>
        </w:tc>
        <w:tc>
          <w:tcPr>
            <w:tcW w:w="2700" w:type="dxa"/>
            <w:tcMar>
              <w:top w:w="100" w:type="dxa"/>
              <w:left w:w="120" w:type="dxa"/>
              <w:bottom w:w="100" w:type="dxa"/>
              <w:right w:w="120" w:type="dxa"/>
            </w:tcMar>
            <w:tcBorders/>
            <w:shd w:fill="FFFFFF" w:color="auto" w:val="clear"/>
            <w:vAlign w:val="top"/>
          </w:tcPr>
          <w:p>
            <w:pPr>
              <w:pBdr/>
              <w:pStyle w:val="Normal"/>
              <w:spacing/>
              <w:ind/>
              <w:jc w:val="center"/>
              <w:rPr/>
            </w:pPr>
            <w:r>
              <w:rPr>
                <w:b w:val="0"/>
                <w:color w:val="1F2937"/>
                <w:sz w:val="20"/>
                <w:szCs w:val="20"/>
              </w:rPr>
              <w:t xml:space="preserve">200</w:t>
            </w:r>
          </w:p>
        </w:tc>
        <w:tc>
          <w:tcPr>
            <w:tcW w:w="2700" w:type="dxa"/>
            <w:tcMar>
              <w:top w:w="100" w:type="dxa"/>
              <w:left w:w="120" w:type="dxa"/>
              <w:bottom w:w="100" w:type="dxa"/>
              <w:right w:w="120" w:type="dxa"/>
            </w:tcMar>
            <w:tcBorders/>
            <w:shd w:fill="FFFFFF" w:color="auto" w:val="clear"/>
            <w:vAlign w:val="top"/>
          </w:tcPr>
          <w:p>
            <w:pPr>
              <w:pBdr/>
              <w:pStyle w:val="Normal"/>
              <w:spacing/>
              <w:ind/>
              <w:jc w:val="center"/>
              <w:rPr/>
            </w:pPr>
            <w:r>
              <w:rPr>
                <w:b/>
                <w:bCs/>
                <w:color w:val="15803D"/>
                <w:sz w:val="20"/>
                <w:szCs w:val="20"/>
              </w:rPr>
              <w:t xml:space="preserve">200 — Match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100" w:type="dxa"/>
              <w:left w:w="120" w:type="dxa"/>
              <w:bottom w:w="100" w:type="dxa"/>
              <w:right w:w="120" w:type="dxa"/>
            </w:tcMar>
            <w:tcBorders/>
            <w:shd w:fill="F3F4F6" w:color="auto" w:val="clear"/>
            <w:vAlign w:val="top"/>
          </w:tcPr>
          <w:p>
            <w:pPr>
              <w:pBdr/>
              <w:pStyle w:val="Normal"/>
              <w:spacing/>
              <w:ind/>
              <w:jc w:val="left"/>
              <w:rPr/>
            </w:pPr>
            <w:r>
              <w:rPr>
                <w:b w:val="0"/>
                <w:color w:val="1F2937"/>
                <w:sz w:val="20"/>
                <w:szCs w:val="20"/>
              </w:rPr>
              <w:t xml:space="preserve">Option Scores</w:t>
            </w:r>
          </w:p>
        </w:tc>
        <w:tc>
          <w:tcPr>
            <w:tcW w:w="2700" w:type="dxa"/>
            <w:tcMar>
              <w:top w:w="100" w:type="dxa"/>
              <w:left w:w="120" w:type="dxa"/>
              <w:bottom w:w="100" w:type="dxa"/>
              <w:right w:w="120" w:type="dxa"/>
            </w:tcMar>
            <w:tcBorders/>
            <w:shd w:fill="F3F4F6" w:color="auto" w:val="clear"/>
            <w:vAlign w:val="top"/>
          </w:tcPr>
          <w:p>
            <w:pPr>
              <w:pBdr/>
              <w:pStyle w:val="Normal"/>
              <w:spacing/>
              <w:ind/>
              <w:jc w:val="center"/>
              <w:rPr/>
            </w:pPr>
            <w:r>
              <w:rPr>
                <w:b w:val="0"/>
                <w:color w:val="1F2937"/>
                <w:sz w:val="20"/>
                <w:szCs w:val="20"/>
              </w:rPr>
              <w:t xml:space="preserve">796</w:t>
            </w:r>
          </w:p>
        </w:tc>
        <w:tc>
          <w:tcPr>
            <w:tcW w:w="2700" w:type="dxa"/>
            <w:tcMar>
              <w:top w:w="100" w:type="dxa"/>
              <w:left w:w="120" w:type="dxa"/>
              <w:bottom w:w="100" w:type="dxa"/>
              <w:right w:w="120" w:type="dxa"/>
            </w:tcMar>
            <w:tcBorders/>
            <w:shd w:fill="F3F4F6" w:color="auto" w:val="clear"/>
            <w:vAlign w:val="top"/>
          </w:tcPr>
          <w:p>
            <w:pPr>
              <w:pBdr/>
              <w:pStyle w:val="Normal"/>
              <w:spacing/>
              <w:ind/>
              <w:jc w:val="center"/>
              <w:rPr/>
            </w:pPr>
            <w:r>
              <w:rPr>
                <w:b/>
                <w:bCs/>
                <w:color w:val="15803D"/>
                <w:sz w:val="20"/>
                <w:szCs w:val="20"/>
              </w:rPr>
              <w:t xml:space="preserve">796 — Match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100" w:type="dxa"/>
              <w:left w:w="120" w:type="dxa"/>
              <w:bottom w:w="100" w:type="dxa"/>
              <w:right w:w="120" w:type="dxa"/>
            </w:tcMar>
            <w:tcBorders/>
            <w:shd w:fill="FFFFFF" w:color="auto" w:val="clear"/>
            <w:vAlign w:val="top"/>
          </w:tcPr>
          <w:p>
            <w:pPr>
              <w:pBdr/>
              <w:pStyle w:val="Normal"/>
              <w:spacing/>
              <w:ind/>
              <w:jc w:val="left"/>
              <w:rPr/>
            </w:pPr>
            <w:r>
              <w:rPr>
                <w:b w:val="0"/>
                <w:color w:val="1F2937"/>
                <w:sz w:val="20"/>
                <w:szCs w:val="20"/>
              </w:rPr>
              <w:t xml:space="preserve">Dimensions</w:t>
            </w:r>
          </w:p>
        </w:tc>
        <w:tc>
          <w:tcPr>
            <w:tcW w:w="2700" w:type="dxa"/>
            <w:tcMar>
              <w:top w:w="100" w:type="dxa"/>
              <w:left w:w="120" w:type="dxa"/>
              <w:bottom w:w="100" w:type="dxa"/>
              <w:right w:w="120" w:type="dxa"/>
            </w:tcMar>
            <w:tcBorders/>
            <w:shd w:fill="FFFFFF" w:color="auto" w:val="clear"/>
            <w:vAlign w:val="top"/>
          </w:tcPr>
          <w:p>
            <w:pPr>
              <w:pBdr/>
              <w:pStyle w:val="Normal"/>
              <w:spacing/>
              <w:ind/>
              <w:jc w:val="center"/>
              <w:rPr/>
            </w:pPr>
            <w:r>
              <w:rPr>
                <w:b w:val="0"/>
                <w:color w:val="1F2937"/>
                <w:sz w:val="20"/>
                <w:szCs w:val="20"/>
              </w:rPr>
              <w:t xml:space="preserve">11</w:t>
            </w:r>
          </w:p>
        </w:tc>
        <w:tc>
          <w:tcPr>
            <w:tcW w:w="2700" w:type="dxa"/>
            <w:tcMar>
              <w:top w:w="100" w:type="dxa"/>
              <w:left w:w="120" w:type="dxa"/>
              <w:bottom w:w="100" w:type="dxa"/>
              <w:right w:w="120" w:type="dxa"/>
            </w:tcMar>
            <w:tcBorders/>
            <w:shd w:fill="FFFFFF" w:color="auto" w:val="clear"/>
            <w:vAlign w:val="top"/>
          </w:tcPr>
          <w:p>
            <w:pPr>
              <w:pBdr/>
              <w:pStyle w:val="Normal"/>
              <w:spacing/>
              <w:ind/>
              <w:jc w:val="center"/>
              <w:rPr/>
            </w:pPr>
            <w:r>
              <w:rPr>
                <w:b/>
                <w:bCs/>
                <w:color w:val="15803D"/>
                <w:sz w:val="20"/>
                <w:szCs w:val="20"/>
              </w:rPr>
              <w:t xml:space="preserve">11 — Match</w:t>
            </w:r>
          </w:p>
        </w:tc>
      </w:tr>
    </w:tbl>
    <w:p>
      <w:pPr>
        <w:pBdr/>
        <w:pStyle w:val="Normal"/>
        <w:spacing w:after="280"/>
        <w:ind/>
        <w:rPr/>
      </w:pPr>
    </w:p>
    <w:p>
      <w:pPr>
        <w:pBdr/>
        <w:pStyle w:val="Heading 2"/>
        <w:spacing w:before="320" w:after="140"/>
        <w:ind/>
        <w:rPr/>
      </w:pPr>
      <w:r>
        <w:rPr>
          <w:b/>
          <w:bCs/>
          <w:color w:val="1F2A44"/>
          <w:sz w:val="27"/>
          <w:szCs w:val="27"/>
        </w:rPr>
        <w:t xml:space="preserve">What we</w:t>
      </w:r>
      <w:r>
        <w:rPr>
          <w:b/>
          <w:bCs/>
          <w:color w:val="1F2A44"/>
          <w:sz w:val="26"/>
          <w:szCs w:val="27"/>
        </w:rPr>
        <w:t xml:space="preserve"> a</w:t>
      </w:r>
      <w:r>
        <w:rPr>
          <w:b/>
          <w:bCs/>
          <w:color w:val="1F2A44"/>
          <w:sz w:val="27"/>
          <w:szCs w:val="27"/>
        </w:rPr>
        <w:t xml:space="preserve">re building on</w:t>
      </w:r>
    </w:p>
    <w:p>
      <w:pPr>
        <w:pBdr/>
        <w:pStyle w:val="Normal"/>
        <w:spacing w:after="160" w:line="300" w:lineRule="auto"/>
        <w:ind/>
        <w:rPr/>
      </w:pPr>
      <w:r>
        <w:rPr>
          <w:color w:val="1F2937"/>
          <w:sz w:val="22"/>
          <w:szCs w:val="22"/>
        </w:rPr>
        <w:t xml:space="preserve">Just so it is on record here is the stack we settled on:</w:t>
      </w:r>
    </w:p>
    <w:tbl>
      <w:tblPr>
        <w:tblW w:w="900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600"/>
        <w:gridCol w:w="54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w="3600" w:type="dxa"/>
            <w:tcMar>
              <w:top w:w="100" w:type="dxa"/>
              <w:left w:w="120" w:type="dxa"/>
              <w:bottom w:w="100" w:type="dxa"/>
              <w:right w:w="120" w:type="dxa"/>
            </w:tcMar>
            <w:tcBorders/>
            <w:shd w:fill="1F2A44" w:color="auto" w:val="clear"/>
            <w:vAlign w:val="top"/>
          </w:tcPr>
          <w:p>
            <w:pPr>
              <w:pBdr/>
              <w:pStyle w:val="Normal"/>
              <w:spacing/>
              <w:ind/>
              <w:rPr/>
            </w:pPr>
            <w:r>
              <w:rPr>
                <w:b/>
                <w:bCs/>
                <w:color w:val="FFFFFF"/>
                <w:sz w:val="20"/>
                <w:szCs w:val="20"/>
              </w:rPr>
              <w:t xml:space="preserve">Part</w:t>
            </w:r>
          </w:p>
        </w:tc>
        <w:tc>
          <w:tcPr>
            <w:tcW w:w="5400" w:type="dxa"/>
            <w:tcMar>
              <w:top w:w="100" w:type="dxa"/>
              <w:left w:w="120" w:type="dxa"/>
              <w:bottom w:w="100" w:type="dxa"/>
              <w:right w:w="120" w:type="dxa"/>
            </w:tcMar>
            <w:tcBorders/>
            <w:shd w:fill="1F2A44" w:color="auto" w:val="clear"/>
            <w:vAlign w:val="top"/>
          </w:tcPr>
          <w:p>
            <w:pPr>
              <w:pBdr/>
              <w:pStyle w:val="Normal"/>
              <w:spacing/>
              <w:ind/>
              <w:rPr/>
            </w:pPr>
            <w:r>
              <w:rPr>
                <w:b/>
                <w:bCs/>
                <w:color w:val="FFFFFF"/>
                <w:sz w:val="20"/>
                <w:szCs w:val="20"/>
              </w:rPr>
              <w:t xml:space="preserve">What we are using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100" w:type="dxa"/>
              <w:left w:w="120" w:type="dxa"/>
              <w:bottom w:w="100" w:type="dxa"/>
              <w:right w:w="120" w:type="dxa"/>
            </w:tcMar>
            <w:tcBorders/>
            <w:shd w:fill="FFFFFF" w:color="auto" w:val="clear"/>
            <w:vAlign w:val="top"/>
          </w:tcPr>
          <w:p>
            <w:pPr>
              <w:pBdr/>
              <w:pStyle w:val="Normal"/>
              <w:spacing/>
              <w:ind/>
              <w:jc w:val="left"/>
              <w:rPr/>
            </w:pPr>
            <w:r>
              <w:rPr>
                <w:b w:val="0"/>
                <w:color w:val="1F2937"/>
                <w:sz w:val="20"/>
                <w:szCs w:val="20"/>
              </w:rPr>
              <w:t xml:space="preserve">Frontend</w:t>
            </w:r>
          </w:p>
        </w:tc>
        <w:tc>
          <w:tcPr>
            <w:tcW w:w="5400" w:type="dxa"/>
            <w:tcMar>
              <w:top w:w="100" w:type="dxa"/>
              <w:left w:w="120" w:type="dxa"/>
              <w:bottom w:w="100" w:type="dxa"/>
              <w:right w:w="120" w:type="dxa"/>
            </w:tcMar>
            <w:tcBorders/>
            <w:shd w:fill="FFFFFF" w:color="auto" w:val="clear"/>
            <w:vAlign w:val="top"/>
          </w:tcPr>
          <w:p>
            <w:pPr>
              <w:pBdr/>
              <w:pStyle w:val="Normal"/>
              <w:spacing/>
              <w:ind/>
              <w:jc w:val="center"/>
              <w:rPr/>
            </w:pPr>
            <w:r>
              <w:rPr>
                <w:b w:val="0"/>
                <w:color w:val="1F2937"/>
                <w:sz w:val="20"/>
                <w:szCs w:val="20"/>
              </w:rPr>
              <w:t xml:space="preserve">Next.js (TypeScript)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100" w:type="dxa"/>
              <w:left w:w="120" w:type="dxa"/>
              <w:bottom w:w="100" w:type="dxa"/>
              <w:right w:w="120" w:type="dxa"/>
            </w:tcMar>
            <w:tcBorders/>
            <w:shd w:fill="F3F4F6" w:color="auto" w:val="clear"/>
            <w:vAlign w:val="top"/>
          </w:tcPr>
          <w:p>
            <w:pPr>
              <w:pBdr/>
              <w:pStyle w:val="Normal"/>
              <w:spacing/>
              <w:ind/>
              <w:jc w:val="left"/>
              <w:rPr/>
            </w:pPr>
            <w:r>
              <w:rPr>
                <w:b w:val="0"/>
                <w:color w:val="1F2937"/>
                <w:sz w:val="20"/>
                <w:szCs w:val="20"/>
              </w:rPr>
              <w:t xml:space="preserve">Styling</w:t>
            </w:r>
          </w:p>
        </w:tc>
        <w:tc>
          <w:tcPr>
            <w:tcW w:w="5400" w:type="dxa"/>
            <w:tcMar>
              <w:top w:w="100" w:type="dxa"/>
              <w:left w:w="120" w:type="dxa"/>
              <w:bottom w:w="100" w:type="dxa"/>
              <w:right w:w="120" w:type="dxa"/>
            </w:tcMar>
            <w:tcBorders/>
            <w:shd w:fill="F3F4F6" w:color="auto" w:val="clear"/>
            <w:vAlign w:val="top"/>
          </w:tcPr>
          <w:p>
            <w:pPr>
              <w:pBdr/>
              <w:pStyle w:val="Normal"/>
              <w:spacing/>
              <w:ind/>
              <w:jc w:val="center"/>
              <w:rPr/>
            </w:pPr>
            <w:r>
              <w:rPr>
                <w:b w:val="0"/>
                <w:color w:val="1F2937"/>
                <w:sz w:val="20"/>
                <w:szCs w:val="20"/>
              </w:rPr>
              <w:t xml:space="preserve">Tailwind CSS + shadcn/ui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100" w:type="dxa"/>
              <w:left w:w="120" w:type="dxa"/>
              <w:bottom w:w="100" w:type="dxa"/>
              <w:right w:w="120" w:type="dxa"/>
            </w:tcMar>
            <w:tcBorders/>
            <w:shd w:fill="FFFFFF" w:color="auto" w:val="clear"/>
            <w:vAlign w:val="top"/>
          </w:tcPr>
          <w:p>
            <w:pPr>
              <w:pBdr/>
              <w:pStyle w:val="Normal"/>
              <w:spacing/>
              <w:ind/>
              <w:jc w:val="left"/>
              <w:rPr/>
            </w:pPr>
            <w:r>
              <w:rPr>
                <w:b w:val="0"/>
                <w:color w:val="1F2937"/>
                <w:sz w:val="20"/>
                <w:szCs w:val="20"/>
              </w:rPr>
              <w:t xml:space="preserve">Backend</w:t>
            </w:r>
          </w:p>
        </w:tc>
        <w:tc>
          <w:tcPr>
            <w:tcW w:w="5400" w:type="dxa"/>
            <w:tcMar>
              <w:top w:w="100" w:type="dxa"/>
              <w:left w:w="120" w:type="dxa"/>
              <w:bottom w:w="100" w:type="dxa"/>
              <w:right w:w="120" w:type="dxa"/>
            </w:tcMar>
            <w:tcBorders/>
            <w:shd w:fill="FFFFFF" w:color="auto" w:val="clear"/>
            <w:vAlign w:val="top"/>
          </w:tcPr>
          <w:p>
            <w:pPr>
              <w:pBdr/>
              <w:pStyle w:val="Normal"/>
              <w:spacing/>
              <w:ind/>
              <w:jc w:val="center"/>
              <w:rPr/>
            </w:pPr>
            <w:r>
              <w:rPr>
                <w:b w:val="0"/>
                <w:color w:val="1F2937"/>
                <w:sz w:val="20"/>
                <w:szCs w:val="20"/>
              </w:rPr>
              <w:t xml:space="preserve">Next.js API routes same codebase, no separate server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100" w:type="dxa"/>
              <w:left w:w="120" w:type="dxa"/>
              <w:bottom w:w="100" w:type="dxa"/>
              <w:right w:w="120" w:type="dxa"/>
            </w:tcMar>
            <w:tcBorders/>
            <w:shd w:fill="F3F4F6" w:color="auto" w:val="clear"/>
            <w:vAlign w:val="top"/>
          </w:tcPr>
          <w:p>
            <w:pPr>
              <w:pBdr/>
              <w:pStyle w:val="Normal"/>
              <w:spacing/>
              <w:ind/>
              <w:jc w:val="left"/>
              <w:rPr/>
            </w:pPr>
            <w:r>
              <w:rPr>
                <w:b w:val="0"/>
                <w:color w:val="1F2937"/>
                <w:sz w:val="20"/>
                <w:szCs w:val="20"/>
              </w:rPr>
              <w:t xml:space="preserve">Database</w:t>
            </w:r>
          </w:p>
        </w:tc>
        <w:tc>
          <w:tcPr>
            <w:tcW w:w="5400" w:type="dxa"/>
            <w:tcMar>
              <w:top w:w="100" w:type="dxa"/>
              <w:left w:w="120" w:type="dxa"/>
              <w:bottom w:w="100" w:type="dxa"/>
              <w:right w:w="120" w:type="dxa"/>
            </w:tcMar>
            <w:tcBorders/>
            <w:shd w:fill="F3F4F6" w:color="auto" w:val="clear"/>
            <w:vAlign w:val="top"/>
          </w:tcPr>
          <w:p>
            <w:pPr>
              <w:pBdr/>
              <w:pStyle w:val="Normal"/>
              <w:spacing/>
              <w:ind/>
              <w:jc w:val="center"/>
              <w:rPr/>
            </w:pPr>
            <w:r>
              <w:rPr>
                <w:b w:val="0"/>
                <w:color w:val="1F2937"/>
                <w:sz w:val="20"/>
                <w:szCs w:val="20"/>
              </w:rPr>
              <w:t xml:space="preserve">PostgreSQL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100" w:type="dxa"/>
              <w:left w:w="120" w:type="dxa"/>
              <w:bottom w:w="100" w:type="dxa"/>
              <w:right w:w="120" w:type="dxa"/>
            </w:tcMar>
            <w:tcBorders/>
            <w:shd w:fill="FFFFFF" w:color="auto" w:val="clear"/>
            <w:vAlign w:val="top"/>
          </w:tcPr>
          <w:p>
            <w:pPr>
              <w:pBdr/>
              <w:pStyle w:val="Normal"/>
              <w:spacing/>
              <w:ind/>
              <w:jc w:val="left"/>
              <w:rPr/>
            </w:pPr>
            <w:r>
              <w:rPr>
                <w:b w:val="0"/>
                <w:color w:val="1F2937"/>
                <w:sz w:val="20"/>
                <w:szCs w:val="20"/>
              </w:rPr>
              <w:t xml:space="preserve">ORM</w:t>
            </w:r>
          </w:p>
        </w:tc>
        <w:tc>
          <w:tcPr>
            <w:tcW w:w="5400" w:type="dxa"/>
            <w:tcMar>
              <w:top w:w="100" w:type="dxa"/>
              <w:left w:w="120" w:type="dxa"/>
              <w:bottom w:w="100" w:type="dxa"/>
              <w:right w:w="120" w:type="dxa"/>
            </w:tcMar>
            <w:tcBorders/>
            <w:shd w:fill="FFFFFF" w:color="auto" w:val="clear"/>
            <w:vAlign w:val="top"/>
          </w:tcPr>
          <w:p>
            <w:pPr>
              <w:pBdr/>
              <w:pStyle w:val="Normal"/>
              <w:spacing/>
              <w:ind/>
              <w:jc w:val="center"/>
              <w:rPr/>
            </w:pPr>
            <w:r>
              <w:rPr>
                <w:b w:val="0"/>
                <w:color w:val="1F2937"/>
                <w:sz w:val="20"/>
                <w:szCs w:val="20"/>
              </w:rPr>
              <w:t xml:space="preserve">Prisma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600" w:type="dxa"/>
            <w:tcMar>
              <w:top w:w="100" w:type="dxa"/>
              <w:left w:w="120" w:type="dxa"/>
              <w:bottom w:w="100" w:type="dxa"/>
              <w:right w:w="120" w:type="dxa"/>
            </w:tcMar>
            <w:tcBorders/>
            <w:shd w:fill="F3F4F6" w:color="auto" w:val="clear"/>
            <w:vAlign w:val="top"/>
          </w:tcPr>
          <w:p>
            <w:pPr>
              <w:pBdr/>
              <w:pStyle w:val="Normal"/>
              <w:spacing/>
              <w:ind/>
              <w:jc w:val="left"/>
              <w:rPr/>
            </w:pPr>
            <w:r>
              <w:rPr>
                <w:b w:val="0"/>
                <w:color w:val="1F2937"/>
                <w:sz w:val="20"/>
                <w:szCs w:val="20"/>
              </w:rPr>
              <w:t xml:space="preserve">Hosting</w:t>
            </w:r>
          </w:p>
        </w:tc>
        <w:tc>
          <w:tcPr>
            <w:tcW w:w="5400" w:type="dxa"/>
            <w:tcMar>
              <w:top w:w="100" w:type="dxa"/>
              <w:left w:w="120" w:type="dxa"/>
              <w:bottom w:w="100" w:type="dxa"/>
              <w:right w:w="120" w:type="dxa"/>
            </w:tcMar>
            <w:tcBorders/>
            <w:shd w:fill="F3F4F6" w:color="auto" w:val="clear"/>
            <w:vAlign w:val="top"/>
          </w:tcPr>
          <w:p>
            <w:pPr>
              <w:pBdr/>
              <w:pStyle w:val="Normal"/>
              <w:spacing/>
              <w:ind/>
              <w:jc w:val="center"/>
              <w:rPr/>
            </w:pPr>
            <w:r>
              <w:rPr>
                <w:b w:val="0"/>
                <w:color w:val="1F2937"/>
                <w:sz w:val="20"/>
                <w:szCs w:val="20"/>
              </w:rPr>
              <w:t xml:space="preserve">Vercel</w:t>
            </w:r>
          </w:p>
        </w:tc>
      </w:tr>
    </w:tbl>
    <w:p>
      <w:pPr>
        <w:pBdr/>
        <w:pStyle w:val="Normal"/>
        <w:spacing w:after="280"/>
        <w:ind/>
        <w:rPr/>
      </w:pPr>
    </w:p>
    <w:p>
      <w:pPr>
        <w:pBdr/>
        <w:pStyle w:val="Heading 2"/>
        <w:spacing w:before="320" w:after="140"/>
        <w:ind/>
        <w:rPr>
          <w:sz w:val="26"/>
        </w:rPr>
      </w:pPr>
      <w:r>
        <w:rPr>
          <w:b/>
          <w:bCs/>
          <w:color w:val="1F2A44"/>
          <w:sz w:val="27"/>
          <w:szCs w:val="27"/>
        </w:rPr>
        <w:t xml:space="preserve">Next up</w:t>
      </w:r>
    </w:p>
    <w:p>
      <w:pPr>
        <w:pBdr/>
        <w:pStyle w:val="List Paragraph"/>
        <w:numPr>
          <w:ilvl w:val="0"/>
          <w:numId w:val="2"/>
        </w:numPr>
        <w:spacing w:after="100" w:line="300" w:lineRule="auto"/>
        <w:ind/>
        <w:rPr/>
      </w:pPr>
      <w:r>
        <w:rPr>
          <w:color w:val="1F2937"/>
          <w:sz w:val="22"/>
          <w:szCs w:val="22"/>
        </w:rPr>
        <w:t xml:space="preserve">Building out the actual scenario flow one question at a time no going back with the timer running.</w:t>
      </w:r>
    </w:p>
    <w:p>
      <w:pPr>
        <w:pBdr/>
        <w:pStyle w:val="List Paragraph"/>
        <w:numPr>
          <w:ilvl w:val="0"/>
          <w:numId w:val="2"/>
        </w:numPr>
        <w:spacing w:after="100" w:line="300" w:lineRule="auto"/>
        <w:ind/>
        <w:rPr/>
      </w:pPr>
      <w:r>
        <w:rPr>
          <w:color w:val="1F2937"/>
          <w:sz w:val="22"/>
          <w:szCs w:val="22"/>
        </w:rPr>
        <w:t xml:space="preserve">Wiring up the scoring across all 11 dimensions.</w:t>
      </w:r>
    </w:p>
    <w:p>
      <w:pPr>
        <w:pBdr/>
        <w:pStyle w:val="List Paragraph"/>
        <w:numPr>
          <w:ilvl w:val="0"/>
          <w:numId w:val="2"/>
        </w:numPr>
        <w:spacing w:after="100" w:line="300" w:lineRule="auto"/>
        <w:ind/>
        <w:rPr/>
      </w:pPr>
      <w:r>
        <w:rPr>
          <w:color w:val="1F2937"/>
          <w:sz w:val="22"/>
          <w:szCs w:val="22"/>
        </w:rPr>
        <w:t xml:space="preserve">The results screen plus the automatic PDF email.</w:t>
      </w:r>
    </w:p>
    <w:p>
      <w:pPr>
        <w:pBdr/>
        <w:pStyle w:val="List Paragraph"/>
        <w:numPr>
          <w:ilvl w:val="0"/>
          <w:numId w:val="2"/>
        </w:numPr>
        <w:spacing w:after="100" w:line="300" w:lineRule="auto"/>
        <w:ind/>
        <w:rPr/>
      </w:pPr>
      <w:r>
        <w:rPr>
          <w:color w:val="1F2937"/>
          <w:sz w:val="22"/>
          <w:szCs w:val="22"/>
        </w:rPr>
        <w:t xml:space="preserve">A basic admin panel so you can edit scenarios and scoring without needing us for every change.</w:t>
      </w:r>
    </w:p>
    <w:p>
      <w:pPr>
        <w:pBdr/>
        <w:pStyle w:val="Heading 2"/>
        <w:spacing w:before="320" w:after="140"/>
        <w:ind/>
        <w:rPr/>
      </w:pPr>
      <w:r>
        <w:rPr>
          <w:b/>
          <w:bCs/>
          <w:color w:val="1F2A44"/>
          <w:sz w:val="26"/>
          <w:szCs w:val="27"/>
        </w:rPr>
        <w:t xml:space="preserve">One</w:t>
      </w:r>
      <w:r>
        <w:rPr>
          <w:b/>
          <w:bCs/>
          <w:color w:val="1F2A44"/>
          <w:sz w:val="27"/>
          <w:szCs w:val="27"/>
        </w:rPr>
        <w:t xml:space="preserve"> thing we</w:t>
      </w:r>
      <w:r>
        <w:rPr>
          <w:b/>
          <w:bCs/>
          <w:color w:val="1F2A44"/>
          <w:sz w:val="26"/>
          <w:szCs w:val="27"/>
        </w:rPr>
        <w:t xml:space="preserve"> a</w:t>
      </w:r>
      <w:r>
        <w:rPr>
          <w:b/>
          <w:bCs/>
          <w:color w:val="1F2A44"/>
          <w:sz w:val="27"/>
          <w:szCs w:val="27"/>
        </w:rPr>
        <w:t xml:space="preserve">re still waiting on</w:t>
      </w:r>
    </w:p>
    <w:p>
      <w:pPr>
        <w:pBdr/>
        <w:pStyle w:val="Normal"/>
        <w:spacing w:before="300"/>
        <w:ind/>
        <w:rPr/>
      </w:pPr>
      <w:r>
        <w:rPr/>
        <w:t xml:space="preserve">If you have any reference design please share it with me or else I will design it according to our requirement.</w:t>
      </w:r>
    </w:p>
    <w:p>
      <w:pPr>
        <w:pBdr/>
        <w:pStyle w:val="Normal"/>
        <w:spacing w:before="300"/>
        <w:ind/>
        <w:rPr/>
      </w:pPr>
    </w:p>
    <w:p>
      <w:pPr>
        <w:pBdr/>
        <w:pStyle w:val="Normal"/>
        <w:spacing w:after="160" w:line="300" w:lineRule="auto"/>
        <w:ind/>
        <w:rPr/>
      </w:pPr>
      <w:r>
        <w:rPr>
          <w:i/>
          <w:iCs/>
          <w:color w:val="4B5563"/>
          <w:sz w:val="22"/>
          <w:szCs w:val="22"/>
        </w:rPr>
        <w:t xml:space="preserve">Let us know and we will keep moving.</w:t>
      </w:r>
    </w:p>
    <w:sectPr>
      <w:type w:val="nextPage"/>
      <w:pgSz w:w="12240" w:h="15840"/>
      <w:pgMar w:top="1080" w:right="1152" w:bottom="1080" w:left="1152" w:header="708" w:footer="708"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after="0" w:line="240" w:lineRule="auto"/>
        <w:ind/>
        <w:rPr/>
      </w:pPr>
      <w:r>
        <w:rPr>
          <w:rStyle w:val="Endnote Reference"/>
        </w:rPr>
        <w:footnoteRef/>
      </w:r>
      <w:r>
        <w:rPr/>
        <w:separator/>
      </w:r>
    </w:p>
  </w:endnote>
  <w:endnote w:type="continuationSeparator" w:id="0">
    <w:p>
      <w:pPr>
        <w:pBdr/>
        <w:pStyle w:val="Normal"/>
        <w:spacing w:after="0" w:line="240" w:lineRule="auto"/>
        <w:ind/>
        <w:rPr/>
      </w:pPr>
      <w:r>
        <w:rPr>
          <w:rStyle w:val="Endnote Reference"/>
        </w:rPr>
        <w:footnoteRef/>
      </w: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after="0" w:line="240" w:lineRule="auto"/>
        <w:ind/>
        <w:rPr/>
      </w:pPr>
      <w:r>
        <w:rPr>
          <w:rStyle w:val="Footnote Reference"/>
        </w:rPr>
        <w:footnoteRef/>
      </w:r>
      <w:r>
        <w:rPr/>
        <w:separator/>
      </w:r>
    </w:p>
  </w:footnote>
  <w:footnote w:type="continuationSeparator" w:id="0">
    <w:p>
      <w:pPr>
        <w:pBdr/>
        <w:pStyle w:val="Normal"/>
        <w:spacing w:after="0" w:line="240" w:lineRule="auto"/>
        <w:ind/>
        <w:rPr/>
      </w:pPr>
      <w:r>
        <w:rPr>
          <w:rStyle w:val="Footnote Reference"/>
        </w:rPr>
        <w:footnoteRef/>
      </w: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8BC500"/>
    <w:lvl w:ilvl="0">
      <w:start w:val="0"/>
      <w:numFmt w:val="bullet"/>
      <w:suff w:val="tab"/>
      <w:lvlText w:val="●"/>
      <w:pPr>
        <w:pBdr/>
        <w:spacing/>
        <w:ind w:left="720" w:hanging="360"/>
      </w:pPr>
      <w:rPr/>
    </w:lvl>
    <w:lvl w:ilvl="1">
      <w:start w:val="0"/>
      <w:numFmt w:val="bullet"/>
      <w:suff w:val="tab"/>
      <w:lvlText w:val="○"/>
      <w:pPr>
        <w:pBdr/>
        <w:spacing/>
        <w:ind w:left="1440" w:hanging="360"/>
      </w:pPr>
      <w:rPr/>
    </w:lvl>
    <w:lvl w:ilvl="2">
      <w:start w:val="0"/>
      <w:numFmt w:val="bullet"/>
      <w:suff w:val="tab"/>
      <w:lvlText w:val="■"/>
      <w:pPr>
        <w:pBdr/>
        <w:spacing/>
        <w:ind w:left="2160" w:hanging="360"/>
      </w:pPr>
      <w:rPr/>
    </w:lvl>
    <w:lvl w:ilvl="3">
      <w:start w:val="0"/>
      <w:numFmt w:val="bullet"/>
      <w:suff w:val="tab"/>
      <w:lvlText w:val="●"/>
      <w:pPr>
        <w:pBdr/>
        <w:spacing/>
        <w:ind w:left="2880" w:hanging="360"/>
      </w:pPr>
      <w:rPr/>
    </w:lvl>
    <w:lvl w:ilvl="4">
      <w:start w:val="0"/>
      <w:numFmt w:val="bullet"/>
      <w:suff w:val="tab"/>
      <w:lvlText w:val="○"/>
      <w:pPr>
        <w:pBdr/>
        <w:spacing/>
        <w:ind w:left="3600" w:hanging="360"/>
      </w:pPr>
      <w:rPr/>
    </w:lvl>
    <w:lvl w:ilvl="5">
      <w:start w:val="0"/>
      <w:numFmt w:val="bullet"/>
      <w:suff w:val="tab"/>
      <w:lvlText w:val="■"/>
      <w:pPr>
        <w:pBdr/>
        <w:spacing/>
        <w:ind w:left="4320" w:hanging="360"/>
      </w:pPr>
      <w:rPr/>
    </w:lvl>
    <w:lvl w:ilvl="6">
      <w:start w:val="0"/>
      <w:numFmt w:val="bullet"/>
      <w:suff w:val="tab"/>
      <w:lvlText w:val="●"/>
      <w:pPr>
        <w:pBdr/>
        <w:spacing/>
        <w:ind w:left="5040" w:hanging="360"/>
      </w:pPr>
      <w:rPr/>
    </w:lvl>
    <w:lvl w:ilvl="7">
      <w:start w:val="0"/>
      <w:numFmt w:val="bullet"/>
      <w:suff w:val="tab"/>
      <w:lvlText w:val="●"/>
      <w:pPr>
        <w:pBdr/>
        <w:spacing/>
        <w:ind w:left="5760" w:hanging="360"/>
      </w:pPr>
      <w:rPr/>
    </w:lvl>
    <w:lvl w:ilvl="8">
      <w:start w:val="0"/>
      <w:numFmt w:val="bullet"/>
      <w:suff w:val="tab"/>
      <w:lvlText w:val="●"/>
      <w:pPr>
        <w:pBdr/>
        <w:spacing/>
        <w:ind w:left="6480" w:hanging="360"/>
      </w:pPr>
      <w:rPr/>
    </w:lvl>
  </w:abstract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Calibri"/>
        <w:b w:val="0"/>
        <w:i w:val="0"/>
        <w:caps w:val="0"/>
        <w:strike w:val="0"/>
        <w:dstrike w:val="0"/>
        <w:sz w:val="22"/>
        <w:szCs w:val="22"/>
        <w:u w:val="none"/>
        <w:vertAlign w:val="baseline"/>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ind/>
    </w:pPr>
    <w:rPr/>
  </w:style>
  <w:style w:type="character" w:styleId="Default Paragraph Font">
    <w:name w:val="Default Paragraph Font"/>
    <w:rPr/>
  </w:style>
  <w:style w:type="paragraph" w:styleId="Title">
    <w:name w:val="Title"/>
    <w:basedOn w:val="Normal"/>
    <w:next w:val="Normal"/>
    <w:pPr>
      <w:pBdr/>
      <w:spacing/>
      <w:ind/>
    </w:pPr>
    <w:rPr>
      <w:sz w:val="56"/>
      <w:szCs w:val="56"/>
    </w:rPr>
  </w:style>
  <w:style w:type="paragraph" w:styleId="Heading 1">
    <w:name w:val="Heading 1"/>
    <w:basedOn w:val="Normal"/>
    <w:next w:val="Normal"/>
    <w:pPr>
      <w:pBdr/>
      <w:spacing/>
      <w:ind/>
    </w:pPr>
    <w:rPr>
      <w:color w:val="2E74B5"/>
      <w:sz w:val="32"/>
      <w:szCs w:val="32"/>
    </w:rPr>
  </w:style>
  <w:style w:type="paragraph" w:styleId="Heading 2">
    <w:name w:val="Heading 2"/>
    <w:basedOn w:val="Normal"/>
    <w:next w:val="Normal"/>
    <w:pPr>
      <w:pBdr/>
      <w:spacing/>
      <w:ind/>
    </w:pPr>
    <w:rPr>
      <w:color w:val="2E74B5"/>
      <w:sz w:val="26"/>
      <w:szCs w:val="26"/>
    </w:rPr>
  </w:style>
  <w:style w:type="paragraph" w:styleId="Heading 3">
    <w:name w:val="Heading 3"/>
    <w:basedOn w:val="Normal"/>
    <w:next w:val="Normal"/>
    <w:pPr>
      <w:pBdr/>
      <w:spacing/>
      <w:ind/>
    </w:pPr>
    <w:rPr>
      <w:color w:val="1F4D78"/>
      <w:sz w:val="24"/>
      <w:szCs w:val="24"/>
    </w:rPr>
  </w:style>
  <w:style w:type="paragraph" w:styleId="Heading 4">
    <w:name w:val="Heading 4"/>
    <w:basedOn w:val="Normal"/>
    <w:next w:val="Normal"/>
    <w:pPr>
      <w:pBdr/>
      <w:spacing/>
      <w:ind/>
    </w:pPr>
    <w:rPr>
      <w:i/>
      <w:iCs/>
      <w:color w:val="2E74B5"/>
    </w:rPr>
  </w:style>
  <w:style w:type="paragraph" w:styleId="Heading 5">
    <w:name w:val="Heading 5"/>
    <w:basedOn w:val="Normal"/>
    <w:next w:val="Normal"/>
    <w:pPr>
      <w:pBdr/>
      <w:spacing/>
      <w:ind/>
    </w:pPr>
    <w:rPr>
      <w:color w:val="2E74B5"/>
    </w:rPr>
  </w:style>
  <w:style w:type="paragraph" w:styleId="Heading 6">
    <w:name w:val="Heading 6"/>
    <w:basedOn w:val="Normal"/>
    <w:next w:val="Normal"/>
    <w:pPr>
      <w:pBdr/>
      <w:spacing/>
      <w:ind/>
    </w:pPr>
    <w:rPr>
      <w:color w:val="1F4D78"/>
    </w:rPr>
  </w:style>
  <w:style w:type="paragraph" w:styleId="Strong">
    <w:name w:val="Strong"/>
    <w:basedOn w:val="Normal"/>
    <w:next w:val="Normal"/>
    <w:pPr>
      <w:pBdr/>
      <w:spacing/>
      <w:ind/>
    </w:pPr>
    <w:rPr>
      <w:b/>
      <w:bCs/>
    </w:rPr>
  </w:style>
  <w:style w:type="paragraph" w:styleId="List Paragraph">
    <w:name w:val="List Paragraph"/>
    <w:basedOn w:val="Normal"/>
    <w:next w:val="List Paragraph"/>
    <w:pPr>
      <w:pBdr/>
      <w:spacing/>
      <w:ind/>
    </w:pPr>
    <w:rPr/>
  </w:style>
  <w:style w:type="character" w:styleId="Hyperlink">
    <w:name w:val="Hyperlink"/>
    <w:basedOn w:val="Default Paragraph Font"/>
    <w:link w:val="Footnote Text Char"/>
    <w:rPr>
      <w:color w:val="0563C1"/>
      <w:u w:val="single"/>
    </w:rPr>
  </w:style>
  <w:style w:type="character" w:styleId="Footnote Text Char">
    <w:name w:val="Footnote Text Char"/>
    <w:basedOn w:val="Default Paragraph Font"/>
    <w:link w:val="Endnote Text Char"/>
    <w:rPr>
      <w:sz w:val="20"/>
      <w:szCs w:val="20"/>
    </w:rPr>
  </w:style>
  <w:style w:type="character" w:styleId="Endnote Text Char">
    <w:name w:val="Endnote Text Char"/>
    <w:basedOn w:val="Default Paragraph Font"/>
    <w:link w:val="Endnote Text"/>
    <w:rPr>
      <w:sz w:val="20"/>
      <w:szCs w:val="20"/>
    </w:rPr>
  </w:style>
  <w:style w:type="paragraph" w:styleId="Endnote Text">
    <w:name w:val="Endnote Text"/>
    <w:basedOn w:val="Normal"/>
    <w:next w:val="Endnote Text"/>
    <w:pPr>
      <w:pBdr/>
      <w:spacing w:after="0" w:line="240" w:lineRule="auto"/>
      <w:ind/>
    </w:pPr>
    <w:rPr>
      <w:sz w:val="20"/>
      <w:szCs w:val="20"/>
    </w:rPr>
  </w:style>
  <w:style w:type="character" w:styleId="Footnote Reference">
    <w:name w:val="Footnote Reference"/>
    <w:basedOn w:val="Default Paragraph Font"/>
    <w:rPr>
      <w:vertAlign w:val="superscript"/>
    </w:rPr>
  </w:style>
  <w:style w:type="paragraph" w:styleId="Footnote Text">
    <w:name w:val="Footnote Text"/>
    <w:basedOn w:val="Normal"/>
    <w:next w:val="Footnote Text"/>
    <w:pPr>
      <w:pBdr/>
      <w:spacing w:after="0" w:line="240" w:lineRule="auto"/>
      <w:ind/>
    </w:pPr>
    <w:rPr>
      <w:sz w:val="20"/>
      <w:szCs w:val="20"/>
    </w:rPr>
  </w:style>
  <w:style w:type="character" w:styleId="Endnote Reference">
    <w:name w:val="Endnote Reference"/>
    <w:basedOn w:val="Default Paragraph Font"/>
    <w:rPr>
      <w:vertAlign w:val="superscript"/>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endnotes" Target="endnotes.xml" /><Relationship Id="rId4" Type="http://schemas.openxmlformats.org/officeDocument/2006/relationships/footnotes" Target="footnotes.xml" /><Relationship Id="rId5" Type="http://schemas.openxmlformats.org/officeDocument/2006/relationships/numbering" Target="numbering.xml" /></Relationships>
</file>