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12548"/>
          <w:sz w:val="44"/>
          <w:szCs w:val="44"/>
        </w:rPr>
        <w:t xml:space="preserve">MANUAL DE USUARIO</w:t>
      </w:r>
    </w:p>
    <w:p>
      <w:pPr>
        <w:spacing w:after="0" w:before="40"/>
        <w:jc w:val="center"/>
      </w:pPr>
      <w:r>
        <w:rPr>
          <w:b/>
          <w:bCs/>
          <w:color w:val="112548"/>
          <w:sz w:val="44"/>
          <w:szCs w:val="44"/>
        </w:rPr>
        <w:t xml:space="preserve">CRM COMERCIAL HIDROTÉCNICA</w:t>
      </w:r>
    </w:p>
    <w:p>
      <w:pPr>
        <w:spacing w:after="800" w:before="200"/>
        <w:jc w:val="center"/>
      </w:pPr>
      <w:r>
        <w:rPr>
          <w:color w:val="555555"/>
          <w:sz w:val="24"/>
          <w:szCs w:val="24"/>
        </w:rPr>
        <w:t xml:space="preserve">Código HT-IN-05 · Versión 06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112548" w:val="clear"/>
          </w:tcPr>
          <w:p>
            <w:pPr>
              <w:jc w:val="center"/>
            </w:pPr>
            <w:r>
              <w:rPr>
                <w:b/>
                <w:bCs/>
                <w:color w:val="FFFFFF"/>
                <w:sz w:val="20"/>
                <w:szCs w:val="20"/>
              </w:rPr>
              <w:t xml:space="preserve">Elaborado por</w:t>
            </w:r>
          </w:p>
        </w:tc>
        <w:tc>
          <w:tcPr>
            <w:tcW w:type="dxa" w:w="3117"/>
            <w:shd w:fill="112548" w:val="clear"/>
          </w:tcPr>
          <w:p>
            <w:pPr>
              <w:jc w:val="center"/>
            </w:pPr>
            <w:r>
              <w:rPr>
                <w:b/>
                <w:bCs/>
                <w:color w:val="FFFFFF"/>
                <w:sz w:val="20"/>
                <w:szCs w:val="20"/>
              </w:rPr>
              <w:t xml:space="preserve">Revisado por</w:t>
            </w:r>
          </w:p>
        </w:tc>
        <w:tc>
          <w:tcPr>
            <w:tcW w:type="dxa" w:w="3116"/>
            <w:shd w:fill="112548" w:val="clear"/>
          </w:tcPr>
          <w:p>
            <w:pPr>
              <w:jc w:val="center"/>
            </w:pPr>
            <w:r>
              <w:rPr>
                <w:b/>
                <w:bCs/>
                <w:color w:val="FFFFFF"/>
                <w:sz w:val="20"/>
                <w:szCs w:val="20"/>
              </w:rPr>
              <w:t xml:space="preserve">Aprobado por</w:t>
            </w:r>
          </w:p>
        </w:tc>
      </w:tr>
      <w:tr>
        <w:tc>
          <w:tcPr>
            <w:tcW w:type="dxa" w:w="3117"/>
          </w:tcPr>
          <w:p>
            <w:pPr>
              <w:spacing w:after="40"/>
              <w:jc w:val="center"/>
            </w:pPr>
            <w:r>
              <w:t xml:space="preserve">Luis Devoto</w:t>
            </w:r>
          </w:p>
          <w:p>
            <w:pPr>
              <w:spacing w:after="40"/>
              <w:jc w:val="center"/>
            </w:pPr>
            <w:r>
              <w:t xml:space="preserve">Gerente General</w:t>
            </w:r>
          </w:p>
          <w:p>
            <w:pPr>
              <w:spacing w:after="0"/>
              <w:jc w:val="center"/>
            </w:pPr>
            <w:r>
              <w:t xml:space="preserve">07-08-2026</w:t>
            </w:r>
          </w:p>
        </w:tc>
        <w:tc>
          <w:tcPr>
            <w:tcW w:type="dxa" w:w="3117"/>
          </w:tcPr>
          <w:p>
            <w:pPr>
              <w:spacing w:after="40"/>
              <w:jc w:val="center"/>
            </w:pPr>
            <w:r>
              <w:t xml:space="preserve">Luis Devoto</w:t>
            </w:r>
          </w:p>
          <w:p>
            <w:pPr>
              <w:spacing w:after="40"/>
              <w:jc w:val="center"/>
            </w:pPr>
            <w:r>
              <w:t xml:space="preserve">Gerente General</w:t>
            </w:r>
          </w:p>
          <w:p>
            <w:pPr>
              <w:spacing w:after="0"/>
              <w:jc w:val="center"/>
            </w:pPr>
            <w:r>
              <w:t xml:space="preserve">(pendiente)</w:t>
            </w:r>
          </w:p>
        </w:tc>
        <w:tc>
          <w:tcPr>
            <w:tcW w:type="dxa" w:w="3116"/>
          </w:tcPr>
          <w:p>
            <w:pPr>
              <w:spacing w:after="40"/>
              <w:jc w:val="center"/>
            </w:pPr>
            <w:r>
              <w:t xml:space="preserve">Luis Devoto</w:t>
            </w:r>
          </w:p>
          <w:p>
            <w:pPr>
              <w:spacing w:after="40"/>
              <w:jc w:val="center"/>
            </w:pPr>
            <w:r>
              <w:t xml:space="preserve">Gerente General</w:t>
            </w:r>
          </w:p>
          <w:p>
            <w:pPr>
              <w:spacing w:after="0"/>
              <w:jc w:val="center"/>
            </w:pPr>
            <w:r>
              <w:t xml:space="preserve">(pendiente)</w:t>
            </w:r>
          </w:p>
        </w:tc>
      </w:tr>
    </w:tbl>
    <w:p>
      <w:r>
        <w:br w:type="page"/>
      </w:r>
    </w:p>
    <w:p>
      <w:pPr>
        <w:pStyle w:val="Heading1"/>
        <w:spacing w:after="160" w:before="320"/>
      </w:pPr>
      <w:r>
        <w:t xml:space="preserve">1. Control de cambios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900"/>
        <w:gridCol w:w="3550"/>
      </w:tblGrid>
      <w:tr>
        <w:trPr>
          <w:tblHeader/>
        </w:trPr>
        <w:tc>
          <w:tcPr>
            <w:tcW w:type="dxa" w:w="1400"/>
            <w:shd w:fill="112548" w:val="clear"/>
          </w:tcPr>
          <w:p>
            <w:r>
              <w:rPr>
                <w:b/>
                <w:bCs/>
                <w:color w:val="FFFFFF"/>
                <w:sz w:val="20"/>
                <w:szCs w:val="20"/>
              </w:rPr>
              <w:t xml:space="preserve">N° Ver.</w:t>
            </w:r>
          </w:p>
        </w:tc>
        <w:tc>
          <w:tcPr>
            <w:tcW w:type="dxa" w:w="1500"/>
            <w:shd w:fill="112548" w:val="clear"/>
          </w:tcPr>
          <w:p>
            <w:r>
              <w:rPr>
                <w:b/>
                <w:bCs/>
                <w:color w:val="FFFFFF"/>
                <w:sz w:val="20"/>
                <w:szCs w:val="20"/>
              </w:rPr>
              <w:t xml:space="preserve">Fecha</w:t>
            </w:r>
          </w:p>
        </w:tc>
        <w:tc>
          <w:tcPr>
            <w:tcW w:type="dxa" w:w="2900"/>
            <w:shd w:fill="112548" w:val="clear"/>
          </w:tcPr>
          <w:p>
            <w:r>
              <w:rPr>
                <w:b/>
                <w:bCs/>
                <w:color w:val="FFFFFF"/>
                <w:sz w:val="20"/>
                <w:szCs w:val="20"/>
              </w:rPr>
              <w:t xml:space="preserve">Autor</w:t>
            </w:r>
          </w:p>
        </w:tc>
        <w:tc>
          <w:tcPr>
            <w:tcW w:type="dxa" w:w="3550"/>
            <w:shd w:fill="112548" w:val="clear"/>
          </w:tcPr>
          <w:p>
            <w:r>
              <w:rPr>
                <w:b/>
                <w:bCs/>
                <w:color w:val="FFFFFF"/>
                <w:sz w:val="20"/>
                <w:szCs w:val="20"/>
              </w:rPr>
              <w:t xml:space="preserve">Descripción del cambio</w:t>
            </w:r>
          </w:p>
        </w:tc>
      </w:tr>
      <w:tr>
        <w:tc>
          <w:tcPr>
            <w:tcW w:type="dxa" w:w="1400"/>
          </w:tcPr>
          <w:p>
            <w:r>
              <w:rPr>
                <w:sz w:val="20"/>
                <w:szCs w:val="20"/>
              </w:rPr>
              <w:t xml:space="preserve">01</w:t>
            </w:r>
          </w:p>
        </w:tc>
        <w:tc>
          <w:tcPr>
            <w:tcW w:type="dxa" w:w="1500"/>
          </w:tcPr>
          <w:p>
            <w:r>
              <w:rPr>
                <w:sz w:val="20"/>
                <w:szCs w:val="20"/>
              </w:rPr>
              <w:t xml:space="preserve">Jul-2026</w:t>
            </w:r>
          </w:p>
        </w:tc>
        <w:tc>
          <w:tcPr>
            <w:tcW w:type="dxa" w:w="2900"/>
          </w:tcPr>
          <w:p>
            <w:r>
              <w:rPr>
                <w:sz w:val="20"/>
                <w:szCs w:val="20"/>
              </w:rPr>
              <w:t xml:space="preserve">Luis Devoto / Claude (IA)</w:t>
            </w:r>
          </w:p>
        </w:tc>
        <w:tc>
          <w:tcPr>
            <w:tcW w:type="dxa" w:w="3550"/>
          </w:tcPr>
          <w:p>
            <w:r>
              <w:rPr>
                <w:sz w:val="20"/>
                <w:szCs w:val="20"/>
              </w:rPr>
              <w:t xml:space="preserve">Creación del manual, para la capacitación de usuarios y el paso a producción del CRM Comercial (HT-AP-03), previsto para el 1 de agosto de 2026.</w:t>
            </w:r>
          </w:p>
        </w:tc>
      </w:tr>
      <w:tr>
        <w:tc>
          <w:tcPr>
            <w:tcW w:type="dxa" w:w="1400"/>
            <w:shd w:fill="F2F2F2" w:val="clear"/>
          </w:tcPr>
          <w:p>
            <w:r>
              <w:rPr>
                <w:sz w:val="20"/>
                <w:szCs w:val="20"/>
              </w:rPr>
              <w:t xml:space="preserve">02</w:t>
            </w:r>
          </w:p>
        </w:tc>
        <w:tc>
          <w:tcPr>
            <w:tcW w:type="dxa" w:w="1500"/>
            <w:shd w:fill="F2F2F2" w:val="clear"/>
          </w:tcPr>
          <w:p>
            <w:r>
              <w:rPr>
                <w:sz w:val="20"/>
                <w:szCs w:val="20"/>
              </w:rPr>
              <w:t xml:space="preserve">26-07-2026</w:t>
            </w:r>
          </w:p>
        </w:tc>
        <w:tc>
          <w:tcPr>
            <w:tcW w:type="dxa" w:w="2900"/>
            <w:shd w:fill="F2F2F2" w:val="clear"/>
          </w:tcPr>
          <w:p>
            <w:r>
              <w:rPr>
                <w:sz w:val="20"/>
                <w:szCs w:val="20"/>
              </w:rPr>
              <w:t xml:space="preserve">Luis Devoto / Claude (IA)</w:t>
            </w:r>
          </w:p>
        </w:tc>
        <w:tc>
          <w:tcPr>
            <w:tcW w:type="dxa" w:w="3550"/>
            <w:shd w:fill="F2F2F2" w:val="clear"/>
          </w:tcPr>
          <w:p>
            <w:r>
              <w:rPr>
                <w:sz w:val="20"/>
                <w:szCs w:val="20"/>
              </w:rPr>
              <w:t xml:space="preserve">Se agregan las secciones de Postventa y Despacho (módulos nuevos) y se actualiza Pipeline para reflejar los múltiples pipelines (Ventas Directas / Operaciones).</w:t>
            </w:r>
          </w:p>
        </w:tc>
      </w:tr>
      <w:tr>
        <w:tc>
          <w:tcPr>
            <w:tcW w:type="dxa" w:w="1400"/>
          </w:tcPr>
          <w:p>
            <w:r>
              <w:rPr>
                <w:sz w:val="20"/>
                <w:szCs w:val="20"/>
              </w:rPr>
              <w:t xml:space="preserve">03</w:t>
            </w:r>
          </w:p>
        </w:tc>
        <w:tc>
          <w:tcPr>
            <w:tcW w:type="dxa" w:w="1500"/>
          </w:tcPr>
          <w:p>
            <w:r>
              <w:rPr>
                <w:sz w:val="20"/>
                <w:szCs w:val="20"/>
              </w:rPr>
              <w:t xml:space="preserve">28-07-2026</w:t>
            </w:r>
          </w:p>
        </w:tc>
        <w:tc>
          <w:tcPr>
            <w:tcW w:type="dxa" w:w="2900"/>
          </w:tcPr>
          <w:p>
            <w:r>
              <w:rPr>
                <w:sz w:val="20"/>
                <w:szCs w:val="20"/>
              </w:rPr>
              <w:t xml:space="preserve">Luis Devoto / Claude (IA)</w:t>
            </w:r>
          </w:p>
        </w:tc>
        <w:tc>
          <w:tcPr>
            <w:tcW w:type="dxa" w:w="3550"/>
          </w:tcPr>
          <w:p>
            <w:r>
              <w:rPr>
                <w:sz w:val="20"/>
                <w:szCs w:val="20"/>
              </w:rPr>
              <w:t xml:space="preserve">Actualiza Despacho: un solo control de completado (ya no se elige "Completado" a mano), botón "Cerrar" y aviso "Guardado ✓", y el nuevo botón "Optimizar ruta" (orden sugerido y hora de llegada estimada con Google Maps).</w:t>
            </w:r>
          </w:p>
        </w:tc>
      </w:tr>
      <w:tr>
        <w:tc>
          <w:tcPr>
            <w:tcW w:type="dxa" w:w="1400"/>
            <w:shd w:fill="F2F2F2" w:val="clear"/>
          </w:tcPr>
          <w:p>
            <w:r>
              <w:rPr>
                <w:sz w:val="20"/>
                <w:szCs w:val="20"/>
              </w:rPr>
              <w:t xml:space="preserve">04</w:t>
            </w:r>
          </w:p>
        </w:tc>
        <w:tc>
          <w:tcPr>
            <w:tcW w:type="dxa" w:w="1500"/>
            <w:shd w:fill="F2F2F2" w:val="clear"/>
          </w:tcPr>
          <w:p>
            <w:r>
              <w:rPr>
                <w:sz w:val="20"/>
                <w:szCs w:val="20"/>
              </w:rPr>
              <w:t xml:space="preserve">07-08-2026</w:t>
            </w:r>
          </w:p>
        </w:tc>
        <w:tc>
          <w:tcPr>
            <w:tcW w:type="dxa" w:w="2900"/>
            <w:shd w:fill="F2F2F2" w:val="clear"/>
          </w:tcPr>
          <w:p>
            <w:r>
              <w:rPr>
                <w:sz w:val="20"/>
                <w:szCs w:val="20"/>
              </w:rPr>
              <w:t xml:space="preserve">Luis Devoto / Claude (IA)</w:t>
            </w:r>
          </w:p>
        </w:tc>
        <w:tc>
          <w:tcPr>
            <w:tcW w:type="dxa" w:w="3550"/>
            <w:shd w:fill="F2F2F2" w:val="clear"/>
          </w:tcPr>
          <w:p>
            <w:r>
              <w:rPr>
                <w:sz w:val="20"/>
                <w:szCs w:val="20"/>
              </w:rPr>
              <w:t xml:space="preserve">Pone al día el manual con todo lo agregado desde la v03: nueva sección Cotizador Operaciones (§5.3) y rol técnico + sección Servicio Técnico (§5.6, módulo nuevo); en Postventa, el negocio de origen pasa a ser opcional (contacto directo) y se documentan sus adjuntos; en Cotizaciones, mensaje de correo editable y forma de pago (con datos bancarios condicionales); en Pipeline, importador de oportunidades, fecha de compromiso con alerta de SLA y selector de pipeline al crear un negocio; en Despacho, el paso de "una sola foto de respaldo" a un historial de archivos que no se pierde al agregar uno nuevo (mismo cambio de selección múltiple en Postventa/Servicio Técnico); nueva sección Dashboard (§5.11) e Informe diario por correo (§5.13).</w:t>
            </w:r>
          </w:p>
        </w:tc>
      </w:tr>
      <w:tr>
        <w:tc>
          <w:tcPr>
            <w:tcW w:type="dxa" w:w="1400"/>
          </w:tcPr>
          <w:p>
            <w:r>
              <w:rPr>
                <w:sz w:val="20"/>
                <w:szCs w:val="20"/>
              </w:rPr>
              <w:t xml:space="preserve">05</w:t>
            </w:r>
          </w:p>
        </w:tc>
        <w:tc>
          <w:tcPr>
            <w:tcW w:type="dxa" w:w="1500"/>
          </w:tcPr>
          <w:p>
            <w:r>
              <w:rPr>
                <w:sz w:val="20"/>
                <w:szCs w:val="20"/>
              </w:rPr>
              <w:t xml:space="preserve">07-08-2026</w:t>
            </w:r>
          </w:p>
        </w:tc>
        <w:tc>
          <w:tcPr>
            <w:tcW w:type="dxa" w:w="2900"/>
          </w:tcPr>
          <w:p>
            <w:r>
              <w:rPr>
                <w:sz w:val="20"/>
                <w:szCs w:val="20"/>
              </w:rPr>
              <w:t xml:space="preserve">Luis Devoto / Claude (IA)</w:t>
            </w:r>
          </w:p>
        </w:tc>
        <w:tc>
          <w:tcPr>
            <w:tcW w:type="dxa" w:w="3550"/>
          </w:tcPr>
          <w:p>
            <w:r>
              <w:rPr>
                <w:sz w:val="20"/>
                <w:szCs w:val="20"/>
              </w:rPr>
              <w:t xml:space="preserve">Monto estimado editable a mano en la ficha del negocio y sincronizado automáticamente con el total de la cotización al generarla, editarla o generar una nueva versión (§5.1); nueva función "Avisar novedades" en Configuración para enviar por correo a todos los usuarios un resumen de los últimos cambios del sistema, que queda como estándar para toda futura promoción a producción (§5.12).</w:t>
            </w:r>
          </w:p>
        </w:tc>
      </w:tr>
      <w:tr>
        <w:tc>
          <w:tcPr>
            <w:tcW w:type="dxa" w:w="1400"/>
          </w:tcPr>
          <w:p>
            <w:r>
              <w:rPr>
                <w:sz w:val="20"/>
                <w:szCs w:val="20"/>
              </w:rPr>
              <w:t xml:space="preserve">06</w:t>
            </w:r>
          </w:p>
        </w:tc>
        <w:tc>
          <w:tcPr>
            <w:tcW w:type="dxa" w:w="1500"/>
          </w:tcPr>
          <w:p>
            <w:r>
              <w:rPr>
                <w:sz w:val="20"/>
                <w:szCs w:val="20"/>
              </w:rPr>
              <w:t xml:space="preserve">18-08-2026</w:t>
            </w:r>
          </w:p>
        </w:tc>
        <w:tc>
          <w:tcPr>
            <w:tcW w:type="dxa" w:w="2900"/>
          </w:tcPr>
          <w:p>
            <w:r>
              <w:rPr>
                <w:sz w:val="20"/>
                <w:szCs w:val="20"/>
              </w:rPr>
              <w:t xml:space="preserve">Luis Devoto / Claude (IA)</w:t>
            </w:r>
          </w:p>
        </w:tc>
        <w:tc>
          <w:tcPr>
            <w:tcW w:type="dxa" w:w="3550"/>
          </w:tcPr>
          <w:p>
            <w:r>
              <w:rPr>
                <w:sz w:val="20"/>
                <w:szCs w:val="20"/>
              </w:rPr>
              <w:t xml:space="preserve">Pone al día el manual con las mejoras promovidas a producción el 18-08-2026: monto estimado sincroniza el monto neto en vez del total (§5.1); nueva moneda UF al cotizar, además de CLP (§5.2); reasignar el vendedor dueño de un negocio ahora también lo puede hacer jefe comercial (§5.1); la ficha de una parada de Despacho muestra el nombre del lugar frecuente si la dirección coincide con uno (§5.5); las secuencias de seguimiento se disparan por etapa del pipeline y un paso de canal correo se envía solo, sin generar tarea, con el vendedor en copia (§5.12); campo Teléfono en Usuarios, mostrado en la firma de esos correos (§5.12); y filtro por cliente en Reportes (§5.11).</w:t>
            </w:r>
          </w:p>
        </w:tc>
      </w:tr>
    </w:tbl>
    <w:p>
      <w:pPr>
        <w:pStyle w:val="Heading1"/>
        <w:spacing w:after="160" w:before="320"/>
      </w:pPr>
      <w:r>
        <w:t xml:space="preserve">Tabla de contenidos</w:t>
      </w:r>
    </w:p>
    <w:sdt>
      <w:sdtPr>
        <w:alias w:val="Actualizar campo para generar (clic derecho → Actualizar campo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2. Propósito y alcance</w:t>
      </w:r>
    </w:p>
    <w:p>
      <w:pPr>
        <w:spacing w:after="140"/>
      </w:pPr>
      <w:r>
        <w:t xml:space="preserve">Este manual explica, paso a paso, cómo usar el CRM Comercial de Hidrotécnica SpA (HT-AP-03) según el rol de cada usuario. No explica decisiones de negocio (por ejemplo, cuándo aplicar un descuento) — esas quedan definidas en los procedimientos comerciales de la empresa; este documento cubre solo el manejo del sistema.</w:t>
      </w:r>
    </w:p>
    <w:p>
      <w:pPr>
        <w:spacing w:after="140"/>
      </w:pPr>
      <w:r>
        <w:t xml:space="preserve">Está dirigido a quienes usan el CRM en el día a día: vendedores, jefe comercial, administrador del sistema, gerencia, call center y personal técnico de terreno (rol técnico). Cada sección indica qué roles tienen acceso a la función descrita.</w:t>
      </w:r>
    </w:p>
    <w:p>
      <w:pPr>
        <w:spacing w:after="160"/>
      </w:pPr>
      <w:r>
        <w:rPr>
          <w:b/>
          <w:bCs/>
          <w:i/>
          <w:iCs/>
          <w:color w:val="555555"/>
        </w:rPr>
        <w:t xml:space="preserve">Nota: </w:t>
      </w:r>
      <w:r>
        <w:rPr>
          <w:i/>
          <w:iCs/>
          <w:color w:val="555555"/>
        </w:rPr>
        <w:t xml:space="preserve">Los nombres de botones, campos y pantallas citados en este manual corresponden literalmente a los que aparecen en el sistema al momento de esta versión. Si una pantalla cambia de nombre o ubicación en una actualización futura, este manual debe actualizarse (ver HT-MD-01).</w:t>
      </w:r>
    </w:p>
    <w:p>
      <w:pPr>
        <w:pStyle w:val="Heading1"/>
        <w:spacing w:after="160" w:before="320"/>
      </w:pPr>
      <w:r>
        <w:t xml:space="preserve">3. Antes de empezar</w:t>
      </w:r>
    </w:p>
    <w:p>
      <w:pPr>
        <w:pStyle w:val="Heading2"/>
        <w:spacing w:after="120" w:before="260"/>
      </w:pPr>
      <w:r>
        <w:t xml:space="preserve">3.1 Acceso al sistema</w:t>
      </w:r>
    </w:p>
    <w:p>
      <w:pPr>
        <w:spacing w:after="140"/>
      </w:pPr>
      <w:r>
        <w:t xml:space="preserve">El acceso se hace con un correo y una contraseña, entregados por el administrador del sistema. Al ingresar por primera vez con una contraseña temporal, el sistema exige cambiarla.</w:t>
      </w:r>
    </w:p>
    <w:p>
      <w:pPr>
        <w:pStyle w:val="ListParagraph"/>
        <w:numPr>
          <w:ilvl w:val="0"/>
          <w:numId w:val="2"/>
        </w:numPr>
        <w:spacing w:after="60"/>
      </w:pPr>
      <w:r>
        <w:t xml:space="preserve">¿Olvidaste tu contraseña? En la pantalla de ingreso hay un link "¿Olvidaste tu contraseña?" que envía un correo de recuperación, válido por 1 hora.</w:t>
      </w:r>
    </w:p>
    <w:p>
      <w:pPr>
        <w:pStyle w:val="ListParagraph"/>
        <w:numPr>
          <w:ilvl w:val="0"/>
          <w:numId w:val="2"/>
        </w:numPr>
        <w:spacing w:after="60"/>
      </w:pPr>
      <w:r>
        <w:t xml:space="preserve">¿Necesitas una cuenta nueva o cambiar tu rol? Debe solicitarse al administrador — se gestiona desde Configuración → Usuarios.</w:t>
      </w:r>
    </w:p>
    <w:p>
      <w:pPr>
        <w:pStyle w:val="Heading2"/>
        <w:spacing w:after="120" w:before="260"/>
      </w:pPr>
      <w:r>
        <w:t xml:space="preserve">3.2 Roles del sistema</w:t>
      </w:r>
    </w:p>
    <w:p>
      <w:pPr>
        <w:spacing w:after="140"/>
      </w:pPr>
      <w:r>
        <w:t xml:space="preserve">El sistema reconoce seis roles. El menú y las funciones disponibles cambian según el rol de cada usuario:</w:t>
      </w:r>
    </w:p>
    <w:p>
      <w:pPr>
        <w:pStyle w:val="ListParagraph"/>
        <w:numPr>
          <w:ilvl w:val="0"/>
          <w:numId w:val="2"/>
        </w:numPr>
        <w:spacing w:after="60"/>
      </w:pPr>
      <w:r>
        <w:rPr>
          <w:b/>
          <w:bCs/>
        </w:rPr>
        <w:t xml:space="preserve">Administrador</w:t>
      </w:r>
      <w:r>
        <w:t xml:space="preserve">: acceso completo, incluida la gestión de usuarios y toda la configuración.</w:t>
      </w:r>
    </w:p>
    <w:p>
      <w:pPr>
        <w:pStyle w:val="ListParagraph"/>
        <w:numPr>
          <w:ilvl w:val="0"/>
          <w:numId w:val="2"/>
        </w:numPr>
        <w:spacing w:after="60"/>
      </w:pPr>
      <w:r>
        <w:rPr>
          <w:b/>
          <w:bCs/>
        </w:rPr>
        <w:t xml:space="preserve">Jefe comercial</w:t>
      </w:r>
      <w:r>
        <w:t xml:space="preserve">: acceso equivalente al administrador, salvo la gestión de usuarios.</w:t>
      </w:r>
    </w:p>
    <w:p>
      <w:pPr>
        <w:pStyle w:val="ListParagraph"/>
        <w:numPr>
          <w:ilvl w:val="0"/>
          <w:numId w:val="2"/>
        </w:numPr>
        <w:spacing w:after="60"/>
      </w:pPr>
      <w:r>
        <w:rPr>
          <w:b/>
          <w:bCs/>
        </w:rPr>
        <w:t xml:space="preserve">Vendedor</w:t>
      </w:r>
      <w:r>
        <w:t xml:space="preserve">: gestiona sus propios negocios, cotizaciones, contactos/empresas y conversaciones de WhatsApp.</w:t>
      </w:r>
    </w:p>
    <w:p>
      <w:pPr>
        <w:pStyle w:val="ListParagraph"/>
        <w:numPr>
          <w:ilvl w:val="0"/>
          <w:numId w:val="2"/>
        </w:numPr>
        <w:spacing w:after="60"/>
      </w:pPr>
      <w:r>
        <w:rPr>
          <w:b/>
          <w:bCs/>
        </w:rPr>
        <w:t xml:space="preserve">Call center</w:t>
      </w:r>
      <w:r>
        <w:t xml:space="preserve">: gestiona la cola de asignación de leads, contactos/empresas y la bandeja de WhatsApp; no ve Pipeline, Cotizaciones ni Reportes.</w:t>
      </w:r>
    </w:p>
    <w:p>
      <w:pPr>
        <w:pStyle w:val="ListParagraph"/>
        <w:numPr>
          <w:ilvl w:val="0"/>
          <w:numId w:val="2"/>
        </w:numPr>
        <w:spacing w:after="60"/>
      </w:pPr>
      <w:r>
        <w:rPr>
          <w:b/>
          <w:bCs/>
        </w:rPr>
        <w:t xml:space="preserve">Gerencia</w:t>
      </w:r>
      <w:r>
        <w:t xml:space="preserve">: rol de supervisión — ve Pipeline, Reportes y Bandeja WhatsApp, sin funciones de edición de configuración.</w:t>
      </w:r>
    </w:p>
    <w:p>
      <w:pPr>
        <w:pStyle w:val="ListParagraph"/>
        <w:numPr>
          <w:ilvl w:val="0"/>
          <w:numId w:val="2"/>
        </w:numPr>
        <w:spacing w:after="60"/>
      </w:pPr>
      <w:r>
        <w:rPr>
          <w:b/>
          <w:bCs/>
        </w:rPr>
        <w:t xml:space="preserve">Técnico</w:t>
      </w:r>
      <w:r>
        <w:t xml:space="preserve"> (v1.22): rol acotado — ve únicamente el módulo Servicio Técnico (§5.6), nada más del sistema, ni siquiera Dashboard. Pensado para personal de terreno que solo necesita registrar y consultar casos de servicio técnico.</w:t>
      </w:r>
    </w:p>
    <w:p>
      <w:pPr>
        <w:spacing w:after="140"/>
      </w:pPr>
      <w:r>
        <w:t xml:space="preserve">La tabla de la sección 4 detalla el acceso módulo por módulo.</w:t>
      </w:r>
    </w:p>
    <w:p>
      <w:pPr>
        <w:pStyle w:val="Heading1"/>
        <w:spacing w:after="160" w:before="320"/>
      </w:pPr>
      <w:r>
        <w:t xml:space="preserve">4. Qué puede ver cada rol</w:t>
      </w:r>
    </w:p>
    <w:p>
      <w:pPr>
        <w:spacing w:after="140"/>
      </w:pPr>
      <w:r>
        <w:t xml:space="preserve">Referencia rápida de qué aparece en el menú de cada rol. "Sí" indica que el módulo aparece en el menú de ese rol; algunas pantallas sin restricción de rol a nivel de sistema igual no aparecen en el menú de todos los roles porque no corresponden a su función habitual.</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50"/>
        <w:gridCol w:w="1100"/>
        <w:gridCol w:w="1300"/>
        <w:gridCol w:w="1100"/>
        <w:gridCol w:w="1100"/>
      </w:tblGrid>
      <w:tr>
        <w:trPr>
          <w:tblHeader/>
        </w:trPr>
        <w:tc>
          <w:tcPr>
            <w:tcW w:type="dxa" w:w="2000"/>
            <w:shd w:fill="112548" w:val="clear"/>
          </w:tcPr>
          <w:p>
            <w:r>
              <w:rPr>
                <w:b/>
                <w:bCs/>
                <w:color w:val="FFFFFF"/>
                <w:sz w:val="20"/>
                <w:szCs w:val="20"/>
              </w:rPr>
              <w:t xml:space="preserve">Módulo</w:t>
            </w:r>
          </w:p>
        </w:tc>
        <w:tc>
          <w:tcPr>
            <w:tcW w:type="dxa" w:w="1100"/>
            <w:shd w:fill="112548" w:val="clear"/>
          </w:tcPr>
          <w:p>
            <w:r>
              <w:rPr>
                <w:b/>
                <w:bCs/>
                <w:color w:val="FFFFFF"/>
                <w:sz w:val="20"/>
                <w:szCs w:val="20"/>
              </w:rPr>
              <w:t xml:space="preserve">Admin.</w:t>
            </w:r>
          </w:p>
        </w:tc>
        <w:tc>
          <w:tcPr>
            <w:tcW w:type="dxa" w:w="1150"/>
            <w:shd w:fill="112548" w:val="clear"/>
          </w:tcPr>
          <w:p>
            <w:r>
              <w:rPr>
                <w:b/>
                <w:bCs/>
                <w:color w:val="FFFFFF"/>
                <w:sz w:val="20"/>
                <w:szCs w:val="20"/>
              </w:rPr>
              <w:t xml:space="preserve">Jefe com.</w:t>
            </w:r>
          </w:p>
        </w:tc>
        <w:tc>
          <w:tcPr>
            <w:tcW w:type="dxa" w:w="1100"/>
            <w:shd w:fill="112548" w:val="clear"/>
          </w:tcPr>
          <w:p>
            <w:r>
              <w:rPr>
                <w:b/>
                <w:bCs/>
                <w:color w:val="FFFFFF"/>
                <w:sz w:val="20"/>
                <w:szCs w:val="20"/>
              </w:rPr>
              <w:t xml:space="preserve">Vendedor</w:t>
            </w:r>
          </w:p>
        </w:tc>
        <w:tc>
          <w:tcPr>
            <w:tcW w:type="dxa" w:w="1300"/>
            <w:shd w:fill="112548" w:val="clear"/>
          </w:tcPr>
          <w:p>
            <w:r>
              <w:rPr>
                <w:b/>
                <w:bCs/>
                <w:color w:val="FFFFFF"/>
                <w:sz w:val="20"/>
                <w:szCs w:val="20"/>
              </w:rPr>
              <w:t xml:space="preserve">Call center</w:t>
            </w:r>
          </w:p>
        </w:tc>
        <w:tc>
          <w:tcPr>
            <w:tcW w:type="dxa" w:w="1100"/>
            <w:shd w:fill="112548" w:val="clear"/>
          </w:tcPr>
          <w:p>
            <w:r>
              <w:rPr>
                <w:b/>
                <w:bCs/>
                <w:color w:val="FFFFFF"/>
                <w:sz w:val="20"/>
                <w:szCs w:val="20"/>
              </w:rPr>
              <w:t xml:space="preserve">Gerencia</w:t>
            </w:r>
          </w:p>
        </w:tc>
        <w:tc>
          <w:tcPr>
            <w:tcW w:type="dxa" w:w="1100"/>
            <w:shd w:fill="112548" w:val="clear"/>
          </w:tcPr>
          <w:p>
            <w:r>
              <w:rPr>
                <w:b/>
                <w:bCs/>
                <w:color w:val="FFFFFF"/>
                <w:sz w:val="20"/>
                <w:szCs w:val="20"/>
              </w:rPr>
              <w:t xml:space="preserve">Técnico</w:t>
            </w:r>
          </w:p>
        </w:tc>
      </w:tr>
      <w:tr>
        <w:tc>
          <w:tcPr>
            <w:tcW w:type="dxa" w:w="2000"/>
          </w:tcPr>
          <w:p>
            <w:r>
              <w:rPr>
                <w:sz w:val="20"/>
                <w:szCs w:val="20"/>
              </w:rPr>
              <w:t xml:space="preserve">Dashboard</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w:t>
            </w:r>
          </w:p>
        </w:tc>
        <w:tc>
          <w:tcPr>
            <w:tcW w:type="dxa" w:w="1300"/>
          </w:tcPr>
          <w:p>
            <w:r>
              <w:rPr>
                <w:sz w:val="20"/>
                <w:szCs w:val="20"/>
              </w:rPr>
              <w:t xml:space="preserve">Sí</w:t>
            </w:r>
          </w:p>
        </w:tc>
        <w:tc>
          <w:tcPr>
            <w:tcW w:type="dxa" w:w="1100"/>
          </w:tcPr>
          <w:p>
            <w:r>
              <w:rPr>
                <w:sz w:val="20"/>
                <w:szCs w:val="20"/>
              </w:rPr>
              <w:t xml:space="preserve">Sí</w:t>
            </w:r>
          </w:p>
        </w:tc>
        <w:tc>
          <w:tcPr>
            <w:tcW w:type="dxa" w:w="1100"/>
          </w:tcPr>
          <w:p>
            <w:r>
              <w:rPr>
                <w:sz w:val="20"/>
                <w:szCs w:val="20"/>
              </w:rPr>
              <w:t xml:space="preserve">No</w:t>
            </w:r>
          </w:p>
        </w:tc>
      </w:tr>
      <w:tr>
        <w:tc>
          <w:tcPr>
            <w:tcW w:type="dxa" w:w="2000"/>
            <w:shd w:fill="F2F2F2" w:val="clear"/>
          </w:tcPr>
          <w:p>
            <w:r>
              <w:rPr>
                <w:sz w:val="20"/>
                <w:szCs w:val="20"/>
              </w:rPr>
              <w:t xml:space="preserve">Pipeline</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w:t>
            </w:r>
          </w:p>
        </w:tc>
        <w:tc>
          <w:tcPr>
            <w:tcW w:type="dxa" w:w="1300"/>
            <w:shd w:fill="F2F2F2" w:val="clear"/>
          </w:tcPr>
          <w:p>
            <w:r>
              <w:rPr>
                <w:sz w:val="20"/>
                <w:szCs w:val="20"/>
              </w:rPr>
              <w:t xml:space="preserve">No</w:t>
            </w:r>
          </w:p>
        </w:tc>
        <w:tc>
          <w:tcPr>
            <w:tcW w:type="dxa" w:w="1100"/>
            <w:shd w:fill="F2F2F2" w:val="clear"/>
          </w:tcPr>
          <w:p>
            <w:r>
              <w:rPr>
                <w:sz w:val="20"/>
                <w:szCs w:val="20"/>
              </w:rPr>
              <w:t xml:space="preserve">Sí</w:t>
            </w:r>
          </w:p>
        </w:tc>
        <w:tc>
          <w:tcPr>
            <w:tcW w:type="dxa" w:w="1100"/>
            <w:shd w:fill="F2F2F2" w:val="clear"/>
          </w:tcPr>
          <w:p>
            <w:r>
              <w:rPr>
                <w:sz w:val="20"/>
                <w:szCs w:val="20"/>
              </w:rPr>
              <w:t xml:space="preserve">No</w:t>
            </w:r>
          </w:p>
        </w:tc>
      </w:tr>
      <w:tr>
        <w:tc>
          <w:tcPr>
            <w:tcW w:type="dxa" w:w="2000"/>
          </w:tcPr>
          <w:p>
            <w:r>
              <w:rPr>
                <w:sz w:val="20"/>
                <w:szCs w:val="20"/>
              </w:rPr>
              <w:t xml:space="preserve">Cotizaciones</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w:t>
            </w:r>
          </w:p>
        </w:tc>
        <w:tc>
          <w:tcPr>
            <w:tcW w:type="dxa" w:w="1300"/>
          </w:tcPr>
          <w:p>
            <w:r>
              <w:rPr>
                <w:sz w:val="20"/>
                <w:szCs w:val="20"/>
              </w:rPr>
              <w:t xml:space="preserve">No</w:t>
            </w:r>
          </w:p>
        </w:tc>
        <w:tc>
          <w:tcPr>
            <w:tcW w:type="dxa" w:w="1100"/>
          </w:tcPr>
          <w:p>
            <w:r>
              <w:rPr>
                <w:sz w:val="20"/>
                <w:szCs w:val="20"/>
              </w:rPr>
              <w:t xml:space="preserve">No (*)</w:t>
            </w:r>
          </w:p>
        </w:tc>
        <w:tc>
          <w:tcPr>
            <w:tcW w:type="dxa" w:w="1100"/>
          </w:tcPr>
          <w:p>
            <w:r>
              <w:rPr>
                <w:sz w:val="20"/>
                <w:szCs w:val="20"/>
              </w:rPr>
              <w:t xml:space="preserve">No</w:t>
            </w:r>
          </w:p>
        </w:tc>
      </w:tr>
      <w:tr>
        <w:tc>
          <w:tcPr>
            <w:tcW w:type="dxa" w:w="2000"/>
            <w:shd w:fill="F2F2F2" w:val="clear"/>
          </w:tcPr>
          <w:p>
            <w:r>
              <w:rPr>
                <w:sz w:val="20"/>
                <w:szCs w:val="20"/>
              </w:rPr>
              <w:t xml:space="preserve">Bandeja WhatsApp</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w:t>
            </w:r>
          </w:p>
        </w:tc>
        <w:tc>
          <w:tcPr>
            <w:tcW w:type="dxa" w:w="1300"/>
            <w:shd w:fill="F2F2F2" w:val="clear"/>
          </w:tcPr>
          <w:p>
            <w:r>
              <w:rPr>
                <w:sz w:val="20"/>
                <w:szCs w:val="20"/>
              </w:rPr>
              <w:t xml:space="preserve">Sí</w:t>
            </w:r>
          </w:p>
        </w:tc>
        <w:tc>
          <w:tcPr>
            <w:tcW w:type="dxa" w:w="1100"/>
            <w:shd w:fill="F2F2F2" w:val="clear"/>
          </w:tcPr>
          <w:p>
            <w:r>
              <w:rPr>
                <w:sz w:val="20"/>
                <w:szCs w:val="20"/>
              </w:rPr>
              <w:t xml:space="preserve">Sí</w:t>
            </w:r>
          </w:p>
        </w:tc>
        <w:tc>
          <w:tcPr>
            <w:tcW w:type="dxa" w:w="1100"/>
            <w:shd w:fill="F2F2F2" w:val="clear"/>
          </w:tcPr>
          <w:p>
            <w:r>
              <w:rPr>
                <w:sz w:val="20"/>
                <w:szCs w:val="20"/>
              </w:rPr>
              <w:t xml:space="preserve">No</w:t>
            </w:r>
          </w:p>
        </w:tc>
      </w:tr>
      <w:tr>
        <w:tc>
          <w:tcPr>
            <w:tcW w:type="dxa" w:w="2000"/>
          </w:tcPr>
          <w:p>
            <w:r>
              <w:rPr>
                <w:sz w:val="20"/>
                <w:szCs w:val="20"/>
              </w:rPr>
              <w:t xml:space="preserve">Cola de asignación</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No</w:t>
            </w:r>
          </w:p>
        </w:tc>
        <w:tc>
          <w:tcPr>
            <w:tcW w:type="dxa" w:w="1300"/>
          </w:tcPr>
          <w:p>
            <w:r>
              <w:rPr>
                <w:sz w:val="20"/>
                <w:szCs w:val="20"/>
              </w:rPr>
              <w:t xml:space="preserve">Sí</w:t>
            </w:r>
          </w:p>
        </w:tc>
        <w:tc>
          <w:tcPr>
            <w:tcW w:type="dxa" w:w="1100"/>
          </w:tcPr>
          <w:p>
            <w:r>
              <w:rPr>
                <w:sz w:val="20"/>
                <w:szCs w:val="20"/>
              </w:rPr>
              <w:t xml:space="preserve">No</w:t>
            </w:r>
          </w:p>
        </w:tc>
        <w:tc>
          <w:tcPr>
            <w:tcW w:type="dxa" w:w="1100"/>
          </w:tcPr>
          <w:p>
            <w:r>
              <w:rPr>
                <w:sz w:val="20"/>
                <w:szCs w:val="20"/>
              </w:rPr>
              <w:t xml:space="preserve">No</w:t>
            </w:r>
          </w:p>
        </w:tc>
      </w:tr>
      <w:tr>
        <w:tc>
          <w:tcPr>
            <w:tcW w:type="dxa" w:w="2000"/>
            <w:shd w:fill="F2F2F2" w:val="clear"/>
          </w:tcPr>
          <w:p>
            <w:r>
              <w:rPr>
                <w:sz w:val="20"/>
                <w:szCs w:val="20"/>
              </w:rPr>
              <w:t xml:space="preserve">Empresas / Contactos</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w:t>
            </w:r>
          </w:p>
        </w:tc>
        <w:tc>
          <w:tcPr>
            <w:tcW w:type="dxa" w:w="1300"/>
            <w:shd w:fill="F2F2F2" w:val="clear"/>
          </w:tcPr>
          <w:p>
            <w:r>
              <w:rPr>
                <w:sz w:val="20"/>
                <w:szCs w:val="20"/>
              </w:rPr>
              <w:t xml:space="preserve">Sí</w:t>
            </w:r>
          </w:p>
        </w:tc>
        <w:tc>
          <w:tcPr>
            <w:tcW w:type="dxa" w:w="1100"/>
            <w:shd w:fill="F2F2F2" w:val="clear"/>
          </w:tcPr>
          <w:p>
            <w:r>
              <w:rPr>
                <w:sz w:val="20"/>
                <w:szCs w:val="20"/>
              </w:rPr>
              <w:t xml:space="preserve">No</w:t>
            </w:r>
          </w:p>
        </w:tc>
        <w:tc>
          <w:tcPr>
            <w:tcW w:type="dxa" w:w="1100"/>
            <w:shd w:fill="F2F2F2" w:val="clear"/>
          </w:tcPr>
          <w:p>
            <w:r>
              <w:rPr>
                <w:sz w:val="20"/>
                <w:szCs w:val="20"/>
              </w:rPr>
              <w:t xml:space="preserve">No</w:t>
            </w:r>
          </w:p>
        </w:tc>
      </w:tr>
      <w:tr>
        <w:tc>
          <w:tcPr>
            <w:tcW w:type="dxa" w:w="2000"/>
          </w:tcPr>
          <w:p>
            <w:r>
              <w:rPr>
                <w:sz w:val="20"/>
                <w:szCs w:val="20"/>
              </w:rPr>
              <w:t xml:space="preserve">Productos / Equivalentes</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w:t>
            </w:r>
          </w:p>
        </w:tc>
        <w:tc>
          <w:tcPr>
            <w:tcW w:type="dxa" w:w="1300"/>
          </w:tcPr>
          <w:p>
            <w:r>
              <w:rPr>
                <w:sz w:val="20"/>
                <w:szCs w:val="20"/>
              </w:rPr>
              <w:t xml:space="preserve">No</w:t>
            </w:r>
          </w:p>
        </w:tc>
        <w:tc>
          <w:tcPr>
            <w:tcW w:type="dxa" w:w="1100"/>
          </w:tcPr>
          <w:p>
            <w:r>
              <w:rPr>
                <w:sz w:val="20"/>
                <w:szCs w:val="20"/>
              </w:rPr>
              <w:t xml:space="preserve">No</w:t>
            </w:r>
          </w:p>
        </w:tc>
        <w:tc>
          <w:tcPr>
            <w:tcW w:type="dxa" w:w="1100"/>
          </w:tcPr>
          <w:p>
            <w:r>
              <w:rPr>
                <w:sz w:val="20"/>
                <w:szCs w:val="20"/>
              </w:rPr>
              <w:t xml:space="preserve">No</w:t>
            </w:r>
          </w:p>
        </w:tc>
      </w:tr>
      <w:tr>
        <w:tc>
          <w:tcPr>
            <w:tcW w:type="dxa" w:w="2000"/>
            <w:shd w:fill="F2F2F2" w:val="clear"/>
          </w:tcPr>
          <w:p>
            <w:r>
              <w:rPr>
                <w:sz w:val="20"/>
                <w:szCs w:val="20"/>
              </w:rPr>
              <w:t xml:space="preserve">Postventa</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 (***)</w:t>
            </w:r>
          </w:p>
        </w:tc>
        <w:tc>
          <w:tcPr>
            <w:tcW w:type="dxa" w:w="1300"/>
            <w:shd w:fill="F2F2F2" w:val="clear"/>
          </w:tcPr>
          <w:p>
            <w:r>
              <w:rPr>
                <w:sz w:val="20"/>
                <w:szCs w:val="20"/>
              </w:rPr>
              <w:t xml:space="preserve">No</w:t>
            </w:r>
          </w:p>
        </w:tc>
        <w:tc>
          <w:tcPr>
            <w:tcW w:type="dxa" w:w="1100"/>
            <w:shd w:fill="F2F2F2" w:val="clear"/>
          </w:tcPr>
          <w:p>
            <w:r>
              <w:rPr>
                <w:sz w:val="20"/>
                <w:szCs w:val="20"/>
              </w:rPr>
              <w:t xml:space="preserve">No</w:t>
            </w:r>
          </w:p>
        </w:tc>
        <w:tc>
          <w:tcPr>
            <w:tcW w:type="dxa" w:w="1100"/>
            <w:shd w:fill="F2F2F2" w:val="clear"/>
          </w:tcPr>
          <w:p>
            <w:r>
              <w:rPr>
                <w:sz w:val="20"/>
                <w:szCs w:val="20"/>
              </w:rPr>
              <w:t xml:space="preserve">No</w:t>
            </w:r>
          </w:p>
        </w:tc>
      </w:tr>
      <w:tr>
        <w:tc>
          <w:tcPr>
            <w:tcW w:type="dxa" w:w="2000"/>
          </w:tcPr>
          <w:p>
            <w:r>
              <w:rPr>
                <w:sz w:val="20"/>
                <w:szCs w:val="20"/>
              </w:rPr>
              <w:t xml:space="preserve">Despacho</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 (***)</w:t>
            </w:r>
          </w:p>
        </w:tc>
        <w:tc>
          <w:tcPr>
            <w:tcW w:type="dxa" w:w="1300"/>
          </w:tcPr>
          <w:p>
            <w:r>
              <w:rPr>
                <w:sz w:val="20"/>
                <w:szCs w:val="20"/>
              </w:rPr>
              <w:t xml:space="preserve">No</w:t>
            </w:r>
          </w:p>
        </w:tc>
        <w:tc>
          <w:tcPr>
            <w:tcW w:type="dxa" w:w="1100"/>
          </w:tcPr>
          <w:p>
            <w:r>
              <w:rPr>
                <w:sz w:val="20"/>
                <w:szCs w:val="20"/>
              </w:rPr>
              <w:t xml:space="preserve">No</w:t>
            </w:r>
          </w:p>
        </w:tc>
        <w:tc>
          <w:tcPr>
            <w:tcW w:type="dxa" w:w="1100"/>
          </w:tcPr>
          <w:p>
            <w:r>
              <w:rPr>
                <w:sz w:val="20"/>
                <w:szCs w:val="20"/>
              </w:rPr>
              <w:t xml:space="preserve">No</w:t>
            </w:r>
          </w:p>
        </w:tc>
      </w:tr>
      <w:tr>
        <w:tc>
          <w:tcPr>
            <w:tcW w:type="dxa" w:w="2000"/>
            <w:shd w:fill="F2F2F2" w:val="clear"/>
          </w:tcPr>
          <w:p>
            <w:r>
              <w:rPr>
                <w:sz w:val="20"/>
                <w:szCs w:val="20"/>
              </w:rPr>
              <w:t xml:space="preserve">Servicio Técnico (v1.22)</w:t>
            </w:r>
          </w:p>
        </w:tc>
        <w:tc>
          <w:tcPr>
            <w:tcW w:type="dxa" w:w="1100"/>
            <w:shd w:fill="F2F2F2" w:val="clear"/>
          </w:tcPr>
          <w:p>
            <w:r>
              <w:rPr>
                <w:sz w:val="20"/>
                <w:szCs w:val="20"/>
              </w:rPr>
              <w:t xml:space="preserve">Sí</w:t>
            </w:r>
          </w:p>
        </w:tc>
        <w:tc>
          <w:tcPr>
            <w:tcW w:type="dxa" w:w="1150"/>
            <w:shd w:fill="F2F2F2" w:val="clear"/>
          </w:tcPr>
          <w:p>
            <w:r>
              <w:rPr>
                <w:sz w:val="20"/>
                <w:szCs w:val="20"/>
              </w:rPr>
              <w:t xml:space="preserve">Sí</w:t>
            </w:r>
          </w:p>
        </w:tc>
        <w:tc>
          <w:tcPr>
            <w:tcW w:type="dxa" w:w="1100"/>
            <w:shd w:fill="F2F2F2" w:val="clear"/>
          </w:tcPr>
          <w:p>
            <w:r>
              <w:rPr>
                <w:sz w:val="20"/>
                <w:szCs w:val="20"/>
              </w:rPr>
              <w:t xml:space="preserve">Sí</w:t>
            </w:r>
          </w:p>
        </w:tc>
        <w:tc>
          <w:tcPr>
            <w:tcW w:type="dxa" w:w="1300"/>
            <w:shd w:fill="F2F2F2" w:val="clear"/>
          </w:tcPr>
          <w:p>
            <w:r>
              <w:rPr>
                <w:sz w:val="20"/>
                <w:szCs w:val="20"/>
              </w:rPr>
              <w:t xml:space="preserve">Sí</w:t>
            </w:r>
          </w:p>
        </w:tc>
        <w:tc>
          <w:tcPr>
            <w:tcW w:type="dxa" w:w="1100"/>
            <w:shd w:fill="F2F2F2" w:val="clear"/>
          </w:tcPr>
          <w:p>
            <w:r>
              <w:rPr>
                <w:sz w:val="20"/>
                <w:szCs w:val="20"/>
              </w:rPr>
              <w:t xml:space="preserve">Sí</w:t>
            </w:r>
          </w:p>
        </w:tc>
        <w:tc>
          <w:tcPr>
            <w:tcW w:type="dxa" w:w="1100"/>
            <w:shd w:fill="F2F2F2" w:val="clear"/>
          </w:tcPr>
          <w:p>
            <w:r>
              <w:rPr>
                <w:sz w:val="20"/>
                <w:szCs w:val="20"/>
              </w:rPr>
              <w:t xml:space="preserve">Sí</w:t>
            </w:r>
          </w:p>
        </w:tc>
      </w:tr>
      <w:tr>
        <w:tc>
          <w:tcPr>
            <w:tcW w:type="dxa" w:w="2000"/>
          </w:tcPr>
          <w:p>
            <w:r>
              <w:rPr>
                <w:sz w:val="20"/>
                <w:szCs w:val="20"/>
              </w:rPr>
              <w:t xml:space="preserve">Reportes</w:t>
            </w:r>
          </w:p>
        </w:tc>
        <w:tc>
          <w:tcPr>
            <w:tcW w:type="dxa" w:w="1100"/>
          </w:tcPr>
          <w:p>
            <w:r>
              <w:rPr>
                <w:sz w:val="20"/>
                <w:szCs w:val="20"/>
              </w:rPr>
              <w:t xml:space="preserve">Sí</w:t>
            </w:r>
          </w:p>
        </w:tc>
        <w:tc>
          <w:tcPr>
            <w:tcW w:type="dxa" w:w="1150"/>
          </w:tcPr>
          <w:p>
            <w:r>
              <w:rPr>
                <w:sz w:val="20"/>
                <w:szCs w:val="20"/>
              </w:rPr>
              <w:t xml:space="preserve">Sí</w:t>
            </w:r>
          </w:p>
        </w:tc>
        <w:tc>
          <w:tcPr>
            <w:tcW w:type="dxa" w:w="1100"/>
          </w:tcPr>
          <w:p>
            <w:r>
              <w:rPr>
                <w:sz w:val="20"/>
                <w:szCs w:val="20"/>
              </w:rPr>
              <w:t xml:space="preserve">Sí</w:t>
            </w:r>
          </w:p>
        </w:tc>
        <w:tc>
          <w:tcPr>
            <w:tcW w:type="dxa" w:w="1300"/>
          </w:tcPr>
          <w:p>
            <w:r>
              <w:rPr>
                <w:sz w:val="20"/>
                <w:szCs w:val="20"/>
              </w:rPr>
              <w:t xml:space="preserve">No</w:t>
            </w:r>
          </w:p>
        </w:tc>
        <w:tc>
          <w:tcPr>
            <w:tcW w:type="dxa" w:w="1100"/>
          </w:tcPr>
          <w:p>
            <w:r>
              <w:rPr>
                <w:sz w:val="20"/>
                <w:szCs w:val="20"/>
              </w:rPr>
              <w:t xml:space="preserve">Sí</w:t>
            </w:r>
          </w:p>
        </w:tc>
        <w:tc>
          <w:tcPr>
            <w:tcW w:type="dxa" w:w="1100"/>
          </w:tcPr>
          <w:p>
            <w:r>
              <w:rPr>
                <w:sz w:val="20"/>
                <w:szCs w:val="20"/>
              </w:rPr>
              <w:t xml:space="preserve">No</w:t>
            </w:r>
          </w:p>
        </w:tc>
      </w:tr>
      <w:tr>
        <w:tc>
          <w:tcPr>
            <w:tcW w:type="dxa" w:w="2000"/>
            <w:shd w:fill="F2F2F2" w:val="clear"/>
          </w:tcPr>
          <w:p>
            <w:r>
              <w:rPr>
                <w:sz w:val="20"/>
                <w:szCs w:val="20"/>
              </w:rPr>
              <w:t xml:space="preserve">Configuración</w:t>
            </w:r>
          </w:p>
        </w:tc>
        <w:tc>
          <w:tcPr>
            <w:tcW w:type="dxa" w:w="1100"/>
            <w:shd w:fill="F2F2F2" w:val="clear"/>
          </w:tcPr>
          <w:p>
            <w:r>
              <w:rPr>
                <w:sz w:val="20"/>
                <w:szCs w:val="20"/>
              </w:rPr>
              <w:t xml:space="preserve">Sí</w:t>
            </w:r>
          </w:p>
        </w:tc>
        <w:tc>
          <w:tcPr>
            <w:tcW w:type="dxa" w:w="1150"/>
            <w:shd w:fill="F2F2F2" w:val="clear"/>
          </w:tcPr>
          <w:p>
            <w:r>
              <w:rPr>
                <w:sz w:val="20"/>
                <w:szCs w:val="20"/>
              </w:rPr>
              <w:t xml:space="preserve">Sí (**)</w:t>
            </w:r>
          </w:p>
        </w:tc>
        <w:tc>
          <w:tcPr>
            <w:tcW w:type="dxa" w:w="1100"/>
            <w:shd w:fill="F2F2F2" w:val="clear"/>
          </w:tcPr>
          <w:p>
            <w:r>
              <w:rPr>
                <w:sz w:val="20"/>
                <w:szCs w:val="20"/>
              </w:rPr>
              <w:t xml:space="preserve">No</w:t>
            </w:r>
          </w:p>
        </w:tc>
        <w:tc>
          <w:tcPr>
            <w:tcW w:type="dxa" w:w="1300"/>
            <w:shd w:fill="F2F2F2" w:val="clear"/>
          </w:tcPr>
          <w:p>
            <w:r>
              <w:rPr>
                <w:sz w:val="20"/>
                <w:szCs w:val="20"/>
              </w:rPr>
              <w:t xml:space="preserve">No</w:t>
            </w:r>
          </w:p>
        </w:tc>
        <w:tc>
          <w:tcPr>
            <w:tcW w:type="dxa" w:w="1100"/>
            <w:shd w:fill="F2F2F2" w:val="clear"/>
          </w:tcPr>
          <w:p>
            <w:r>
              <w:rPr>
                <w:sz w:val="20"/>
                <w:szCs w:val="20"/>
              </w:rPr>
              <w:t xml:space="preserve">No</w:t>
            </w:r>
          </w:p>
        </w:tc>
        <w:tc>
          <w:tcPr>
            <w:tcW w:type="dxa" w:w="1100"/>
            <w:shd w:fill="F2F2F2" w:val="clear"/>
          </w:tcPr>
          <w:p>
            <w:r>
              <w:rPr>
                <w:sz w:val="20"/>
                <w:szCs w:val="20"/>
              </w:rPr>
              <w:t xml:space="preserve">No</w:t>
            </w:r>
          </w:p>
        </w:tc>
      </w:tr>
      <w:tr>
        <w:tc>
          <w:tcPr>
            <w:tcW w:type="dxa" w:w="2000"/>
          </w:tcPr>
          <w:p>
            <w:r>
              <w:rPr>
                <w:sz w:val="20"/>
                <w:szCs w:val="20"/>
              </w:rPr>
              <w:t xml:space="preserve">Usuarios</w:t>
            </w:r>
          </w:p>
        </w:tc>
        <w:tc>
          <w:tcPr>
            <w:tcW w:type="dxa" w:w="1100"/>
          </w:tcPr>
          <w:p>
            <w:r>
              <w:rPr>
                <w:sz w:val="20"/>
                <w:szCs w:val="20"/>
              </w:rPr>
              <w:t xml:space="preserve">Sí</w:t>
            </w:r>
          </w:p>
        </w:tc>
        <w:tc>
          <w:tcPr>
            <w:tcW w:type="dxa" w:w="1150"/>
          </w:tcPr>
          <w:p>
            <w:r>
              <w:rPr>
                <w:sz w:val="20"/>
                <w:szCs w:val="20"/>
              </w:rPr>
              <w:t xml:space="preserve">No</w:t>
            </w:r>
          </w:p>
        </w:tc>
        <w:tc>
          <w:tcPr>
            <w:tcW w:type="dxa" w:w="1100"/>
          </w:tcPr>
          <w:p>
            <w:r>
              <w:rPr>
                <w:sz w:val="20"/>
                <w:szCs w:val="20"/>
              </w:rPr>
              <w:t xml:space="preserve">No</w:t>
            </w:r>
          </w:p>
        </w:tc>
        <w:tc>
          <w:tcPr>
            <w:tcW w:type="dxa" w:w="1300"/>
          </w:tcPr>
          <w:p>
            <w:r>
              <w:rPr>
                <w:sz w:val="20"/>
                <w:szCs w:val="20"/>
              </w:rPr>
              <w:t xml:space="preserve">No</w:t>
            </w:r>
          </w:p>
        </w:tc>
        <w:tc>
          <w:tcPr>
            <w:tcW w:type="dxa" w:w="1100"/>
          </w:tcPr>
          <w:p>
            <w:r>
              <w:rPr>
                <w:sz w:val="20"/>
                <w:szCs w:val="20"/>
              </w:rPr>
              <w:t xml:space="preserve">No</w:t>
            </w:r>
          </w:p>
        </w:tc>
        <w:tc>
          <w:tcPr>
            <w:tcW w:type="dxa" w:w="1100"/>
          </w:tcPr>
          <w:p>
            <w:r>
              <w:rPr>
                <w:sz w:val="20"/>
                <w:szCs w:val="20"/>
              </w:rPr>
              <w:t xml:space="preserve">No</w:t>
            </w:r>
          </w:p>
        </w:tc>
      </w:tr>
    </w:tbl>
    <w:p>
      <w:pPr>
        <w:spacing w:after="140"/>
      </w:pPr>
      <w:r>
        <w:rPr>
          <w:i/>
          <w:iCs/>
          <w:color w:val="555555"/>
          <w:sz w:val="18"/>
          <w:szCs w:val="18"/>
        </w:rPr>
        <w:t xml:space="preserve">(*) Gerencia no tiene Cotizaciones en su menú, pero el sistema no restringe la pantalla por rol, así que puede abrirla si conoce la dirección directa.</w:t>
      </w:r>
    </w:p>
    <w:p>
      <w:pPr>
        <w:spacing w:after="140"/>
      </w:pPr>
      <w:r>
        <w:rPr>
          <w:i/>
          <w:iCs/>
          <w:color w:val="555555"/>
          <w:sz w:val="18"/>
          <w:szCs w:val="18"/>
        </w:rPr>
        <w:t xml:space="preserve">(**) El jefe comercial ve las mismas opciones de Configuración que el administrador, excepto Usuarios.</w:t>
      </w:r>
    </w:p>
    <w:p>
      <w:pPr>
        <w:spacing w:after="140"/>
      </w:pPr>
      <w:r>
        <w:rPr>
          <w:i/>
          <w:iCs/>
          <w:color w:val="555555"/>
          <w:sz w:val="18"/>
          <w:szCs w:val="18"/>
        </w:rPr>
        <w:t xml:space="preserve">(***) Cualquier vendedor puede crear un caso/despacho y ver los que él creó. Gestionar el tablero o las rutas completas (mover etapa, asignar técnico, completar paradas, etc.) requiere además el atributo "Encargado de postventa"/"Encargado de despacho", que el administrador marca en Configuración → Usuarios — es una atribución adicional, no un rol nuevo, para que alguien pueda cubrir esa función sin cambiar de rol.</w:t>
      </w:r>
    </w:p>
    <w:p>
      <w:pPr>
        <w:spacing w:after="140"/>
      </w:pPr>
      <w:r>
        <w:rPr>
          <w:i/>
          <w:iCs/>
          <w:color w:val="555555"/>
          <w:sz w:val="18"/>
          <w:szCs w:val="18"/>
        </w:rPr>
        <w:t xml:space="preserve">Servicio Técnico (v1.22) es el único módulo sin distinción de permisos dentro de él: cualquiera con acceso ve y gestiona cualquier caso por igual, no hay concepto de "dueño del caso" ni atribución adicional. El rol Técnico solo ve este módulo — ninguno de los demás.</w:t>
      </w:r>
    </w:p>
    <w:p>
      <w:pPr>
        <w:pStyle w:val="Heading1"/>
        <w:spacing w:after="160" w:before="320"/>
      </w:pPr>
      <w:r>
        <w:t xml:space="preserve">5. Módulos del sistema</w:t>
      </w:r>
    </w:p>
    <w:p>
      <w:pPr>
        <w:pStyle w:val="Heading2"/>
        <w:spacing w:after="120" w:before="260"/>
      </w:pPr>
      <w:r>
        <w:t xml:space="preserve">5.1 Pipeline (negocios)</w:t>
      </w:r>
    </w:p>
    <w:p>
      <w:pPr>
        <w:spacing w:after="140"/>
      </w:pPr>
      <w:r>
        <w:t xml:space="preserve">Roles con acceso: administrador, jefe comercial, vendedor, gerencia (gerencia solo consulta).</w:t>
      </w:r>
    </w:p>
    <w:p>
      <w:pPr>
        <w:spacing w:after="140"/>
      </w:pPr>
      <w:r>
        <w:t xml:space="preserve">El Pipeline muestra los negocios en un tablero de columnas, una por cada etapa configurada (por defecto en Ventas Directas: Lead, Calificado, Cotizado, Negociación, Ganado y Perdido — los nombres y el orden se pueden cambiar en Configuración → Config. pipeline). Cada columna muestra la cantidad de negocios, el monto total y, en las etapas abiertas, el monto ponderado (monto × probabilidad de cierre).</w:t>
      </w:r>
    </w:p>
    <w:p>
      <w:pPr>
        <w:pStyle w:val="Heading3"/>
        <w:spacing w:after="100" w:before="200"/>
      </w:pPr>
      <w:r>
        <w:t xml:space="preserve">Más de un pipeline (Ventas Directas / Operaciones)</w:t>
      </w:r>
    </w:p>
    <w:p>
      <w:pPr>
        <w:spacing w:after="140"/>
      </w:pPr>
      <w:r>
        <w:t xml:space="preserve">El sistema puede tener más de un pipeline, cada uno con sus propias etapas — por ejemplo, "Ventas Directas" y "Operaciones", que tiene un flujo distinto y más largo. Un selector en la parte superior del Pipeline permite elegir cuál se está viendo; Reportes tiene el mismo selector.</w:t>
      </w:r>
    </w:p>
    <w:p>
      <w:pPr>
        <w:pStyle w:val="ListParagraph"/>
        <w:numPr>
          <w:ilvl w:val="0"/>
          <w:numId w:val="2"/>
        </w:numPr>
        <w:spacing w:after="60"/>
      </w:pPr>
      <w:r>
        <w:t xml:space="preserve">Cada usuario tiene un pipeline por defecto (se configura en Usuarios); los negocios nuevos que crea quedan en el pipeline del dueño del negocio, no necesariamente en el de quien lo crea.</w:t>
      </w:r>
    </w:p>
    <w:p>
      <w:pPr>
        <w:pStyle w:val="ListParagraph"/>
        <w:numPr>
          <w:ilvl w:val="0"/>
          <w:numId w:val="2"/>
        </w:numPr>
        <w:spacing w:after="60"/>
      </w:pPr>
      <w:r>
        <w:t xml:space="preserve">El Pipeline suma filtros por vendedor y por rango de fecha estimada de cierre.</w:t>
      </w:r>
    </w:p>
    <w:p>
      <w:pPr>
        <w:pStyle w:val="ListParagraph"/>
        <w:numPr>
          <w:ilvl w:val="0"/>
          <w:numId w:val="2"/>
        </w:numPr>
        <w:spacing w:after="60"/>
      </w:pPr>
      <w:r>
        <w:t xml:space="preserve">"Mover a otro pipeline…": acción distinta de mover de etapa (disponible en la tarjeta del negocio, para administrador/jefe comercial), porque cada pipeline tiene sus propias etapas.</w:t>
      </w:r>
    </w:p>
    <w:p>
      <w:pPr>
        <w:pStyle w:val="Heading3"/>
        <w:spacing w:after="100" w:before="200"/>
      </w:pPr>
      <w:r>
        <w:t xml:space="preserve">Importar oportunidades (v1.21, solo administrador/jefe comercial)</w:t>
      </w:r>
    </w:p>
    <w:p>
      <w:pPr>
        <w:spacing w:after="140"/>
      </w:pPr>
      <w:r>
        <w:t xml:space="preserve">Para negocios que nacen directo de una orden de compra contra un contrato ya firmado (ej. grandes cadenas retail), sin pasar por una cotización. Botón "Importar oportunidades" en Pipeline: subir el CSV, previsualizar, confirmar. Cada fila crea el negocio directo en la etapa "Aceptado" del pipeline Operaciones, con su N° de orden de compra; la empresa y el contacto se buscan o se crean solos, pero el vendedor debe existir ya en el sistema.</w:t>
      </w:r>
    </w:p>
    <w:p>
      <w:pPr>
        <w:pStyle w:val="Heading3"/>
        <w:spacing w:after="100" w:before="200"/>
      </w:pPr>
      <w:r>
        <w:t xml:space="preserve">Crear un negocio nuevo</w:t>
      </w:r>
    </w:p>
    <w:p>
      <w:pPr>
        <w:pStyle w:val="ListParagraph"/>
        <w:numPr>
          <w:ilvl w:val="0"/>
          <w:numId w:val="3"/>
        </w:numPr>
        <w:spacing w:after="60"/>
      </w:pPr>
      <w:r>
        <w:t xml:space="preserve">Clic en "+ Nuevo negocio".</w:t>
      </w:r>
    </w:p>
    <w:p>
      <w:pPr>
        <w:pStyle w:val="ListParagraph"/>
        <w:numPr>
          <w:ilvl w:val="0"/>
          <w:numId w:val="3"/>
        </w:numPr>
        <w:spacing w:after="60"/>
      </w:pPr>
      <w:r>
        <w:t xml:space="preserve">Buscar el contacto (mínimo 2 letras) o crear uno si no existe.</w:t>
      </w:r>
    </w:p>
    <w:p>
      <w:pPr>
        <w:pStyle w:val="ListParagraph"/>
        <w:numPr>
          <w:ilvl w:val="0"/>
          <w:numId w:val="3"/>
        </w:numPr>
        <w:spacing w:after="60"/>
      </w:pPr>
      <w:r>
        <w:t xml:space="preserve">Completar "Título" (obligatorio) y, si se conoce, "Monto estimado".</w:t>
      </w:r>
    </w:p>
    <w:p>
      <w:pPr>
        <w:pStyle w:val="ListParagraph"/>
        <w:numPr>
          <w:ilvl w:val="0"/>
          <w:numId w:val="3"/>
        </w:numPr>
        <w:spacing w:after="60"/>
      </w:pPr>
      <w:r>
        <w:t xml:space="preserve">Elegir el "Pipeline" (v1.22): trae preseleccionado el pipeline por defecto del vendedor, pero se puede cambiar ahí mismo antes de guardar.</w:t>
      </w:r>
    </w:p>
    <w:p>
      <w:pPr>
        <w:pStyle w:val="ListParagraph"/>
        <w:numPr>
          <w:ilvl w:val="0"/>
          <w:numId w:val="3"/>
        </w:numPr>
        <w:spacing w:after="60"/>
      </w:pPr>
      <w:r>
        <w:t xml:space="preserve">Guardar. El negocio aparece en la primera etapa del pipeline elegido.</w:t>
      </w:r>
    </w:p>
    <w:p>
      <w:pPr>
        <w:pStyle w:val="Heading3"/>
        <w:spacing w:after="100" w:before="200"/>
      </w:pPr>
      <w:r>
        <w:t xml:space="preserve">Mover un negocio de etapa</w:t>
      </w:r>
    </w:p>
    <w:p>
      <w:pPr>
        <w:pStyle w:val="ListParagraph"/>
        <w:numPr>
          <w:ilvl w:val="0"/>
          <w:numId w:val="2"/>
        </w:numPr>
        <w:spacing w:after="60"/>
      </w:pPr>
      <w:r>
        <w:t xml:space="preserve">En computador: arrastrar la tarjeta a la columna de destino.</w:t>
      </w:r>
    </w:p>
    <w:p>
      <w:pPr>
        <w:pStyle w:val="ListParagraph"/>
        <w:numPr>
          <w:ilvl w:val="0"/>
          <w:numId w:val="2"/>
        </w:numPr>
        <w:spacing w:after="60"/>
      </w:pPr>
      <w:r>
        <w:t xml:space="preserve">En celular: usar el selector "Mover a etapa…" dentro de la tarjeta (el arrastre no funciona con el dedo).</w:t>
      </w:r>
    </w:p>
    <w:p>
      <w:pPr>
        <w:spacing w:after="160"/>
      </w:pPr>
      <w:r>
        <w:rPr>
          <w:b/>
          <w:bCs/>
          <w:i/>
          <w:iCs/>
          <w:color w:val="555555"/>
        </w:rPr>
        <w:t xml:space="preserve">Nota: </w:t>
      </w:r>
      <w:r>
        <w:rPr>
          <w:i/>
          <w:iCs/>
          <w:color w:val="555555"/>
        </w:rPr>
        <w:t xml:space="preserve">Si la etapa de destino es una etapa de "perdida", el sistema pide obligatoriamente una causa de no cierre antes de confirmar el cambio. Sin causa, no se puede continuar.</w:t>
      </w:r>
    </w:p>
    <w:p>
      <w:pPr>
        <w:pStyle w:val="Heading3"/>
        <w:spacing w:after="100" w:before="200"/>
      </w:pPr>
      <w:r>
        <w:t xml:space="preserve">Detalle de un negocio</w:t>
      </w:r>
    </w:p>
    <w:p>
      <w:pPr>
        <w:spacing w:after="140"/>
      </w:pPr>
      <w:r>
        <w:t xml:space="preserve">Al abrir un negocio se ve: sus cotizaciones (con acceso directo a "+ Cotizar"), notas y tareas, línea de tiempo de eventos, y — si la etapa es "ganada" — el link a la encuesta de satisfacción del cliente. También se puede ajustar ahí la probabilidad de cierre, el monto estimado (v1.24), la fecha estimada de cierre (esta última se usa como filtro en Reportes) y la "Fecha de compromiso" (v1.22).</w:t>
      </w:r>
    </w:p>
    <w:p>
      <w:pPr>
        <w:spacing w:after="160"/>
      </w:pPr>
      <w:r>
        <w:rPr>
          <w:b/>
          <w:bCs/>
          <w:i/>
          <w:iCs/>
          <w:color w:val="555555"/>
        </w:rPr>
        <w:t xml:space="preserve">Nota: </w:t>
      </w:r>
      <w:r>
        <w:rPr>
          <w:i/>
          <w:iCs/>
          <w:color w:val="555555"/>
        </w:rPr>
        <w:t xml:space="preserve">Solo puede editar un negocio el vendedor dueño (u otro usuario con permiso de edición); si no corresponde, los campos se ven mostrados pero no editables. Reasignar el vendedor dueño está reservado a administrador y jefe comercial (v1.28).</w:t>
      </w:r>
    </w:p>
    <w:p>
      <w:pPr>
        <w:pStyle w:val="Heading3"/>
        <w:spacing w:after="100" w:before="200"/>
      </w:pPr>
      <w:r>
        <w:t xml:space="preserve">Fecha de compromiso y alerta de SLA (v1.22)</w:t>
      </w:r>
    </w:p>
    <w:p>
      <w:pPr>
        <w:spacing w:after="140"/>
      </w:pPr>
      <w:r>
        <w:t xml:space="preserve">Es un campo opcional, distinto de la "fecha estimada de cierre" (esa es un pronóstico de venta): la fecha de compromiso registra una fecha pactada con el cliente, por ejemplo de entrega. Se edita en la ficha del negocio y, opcionalmente, al crearlo. La tarjeta del Pipeline y la ficha del negocio muestran una alerta según esta fecha: ámbar si quedan 3 días o menos, roja si ya venció, sin alerta si está lejos o no está definida — la misma lógica que usa Postventa y Servicio Técnico (§5.4, §5.6) con sus propias fechas.</w:t>
      </w:r>
    </w:p>
    <w:p>
      <w:pPr>
        <w:pStyle w:val="Heading3"/>
        <w:spacing w:after="100" w:before="200"/>
      </w:pPr>
      <w:r>
        <w:t xml:space="preserve">Monto estimado editable y sincronizado (v1.24)</w:t>
      </w:r>
    </w:p>
    <w:p>
      <w:pPr>
        <w:spacing w:after="140"/>
      </w:pPr>
      <w:r>
        <w:t xml:space="preserve">El monto estimado del negocio se edita a mano en su ficha, igual que la probabilidad de cierre. Además, se actualiza automáticamente con el monto neto (sin IVA) de la cotización —no el total— cada vez que se genera una cotización nueva, se edita en borrador, o se genera una nueva versión — sobrescribe cualquier valor cargado a mano, para que el monto siempre refleje la última cotización real.</w:t>
      </w:r>
    </w:p>
    <w:p>
      <w:pPr>
        <w:spacing w:after="140"/>
      </w:pPr>
      <w:r>
        <w:t xml:space="preserve">Exportar CSV: disponible solo para administrador y jefe comercial, botón "Exportar CSV" en la parte superior del Pipeline.</w:t>
      </w:r>
    </w:p>
    <w:p>
      <w:pPr>
        <w:pStyle w:val="Heading2"/>
        <w:spacing w:after="120" w:before="260"/>
      </w:pPr>
      <w:r>
        <w:t xml:space="preserve">5.2 Cotizaciones</w:t>
      </w:r>
    </w:p>
    <w:p>
      <w:pPr>
        <w:spacing w:after="140"/>
      </w:pPr>
      <w:r>
        <w:t xml:space="preserve">Roles que pueden crear/editar: administrador, jefe comercial, vendedor. El listado de cotizaciones también lo puede ver gerencia (sin poder crear).</w:t>
      </w:r>
    </w:p>
    <w:p>
      <w:pPr>
        <w:pStyle w:val="Heading3"/>
        <w:spacing w:after="100" w:before="200"/>
      </w:pPr>
      <w:r>
        <w:t xml:space="preserve">Crear una cotización</w:t>
      </w:r>
    </w:p>
    <w:p>
      <w:pPr>
        <w:pStyle w:val="ListParagraph"/>
        <w:numPr>
          <w:ilvl w:val="0"/>
          <w:numId w:val="3"/>
        </w:numPr>
        <w:spacing w:after="60"/>
      </w:pPr>
      <w:r>
        <w:t xml:space="preserve">Desde Cotizaciones, clic en "+ Nueva cotización", o desde el detalle de un negocio, clic en "+ Cotizar".</w:t>
      </w:r>
    </w:p>
    <w:p>
      <w:pPr>
        <w:pStyle w:val="ListParagraph"/>
        <w:numPr>
          <w:ilvl w:val="0"/>
          <w:numId w:val="3"/>
        </w:numPr>
        <w:spacing w:after="60"/>
      </w:pPr>
      <w:r>
        <w:t xml:space="preserve">Elegir "Negocio existente" (buscarlo) o "Negocio nuevo" (buscar el contacto/empresa; el negocio se crea solo al guardar).</w:t>
      </w:r>
    </w:p>
    <w:p>
      <w:pPr>
        <w:pStyle w:val="ListParagraph"/>
        <w:numPr>
          <w:ilvl w:val="0"/>
          <w:numId w:val="3"/>
        </w:numPr>
        <w:spacing w:after="60"/>
      </w:pPr>
      <w:r>
        <w:t xml:space="preserve">Agregar líneas de producto: buscar por nombre, código, marca o categoría.</w:t>
      </w:r>
    </w:p>
    <w:p>
      <w:pPr>
        <w:pStyle w:val="ListParagraph"/>
        <w:numPr>
          <w:ilvl w:val="0"/>
          <w:numId w:val="3"/>
        </w:numPr>
        <w:spacing w:after="60"/>
      </w:pPr>
      <w:r>
        <w:t xml:space="preserve">Para cada línea, marcar los casilleros que correspondan: "Imagen", "Descripción completa" y "Ficha técnica" — controlan qué ve el cliente en el PDF y en el link público. Se deshabilitan si el producto no tiene ese dato cargado en el maestro.</w:t>
      </w:r>
    </w:p>
    <w:p>
      <w:pPr>
        <w:pStyle w:val="ListParagraph"/>
        <w:numPr>
          <w:ilvl w:val="0"/>
          <w:numId w:val="3"/>
        </w:numPr>
        <w:spacing w:after="60"/>
      </w:pPr>
      <w:r>
        <w:t xml:space="preserve">Elegir la "Forma de pago" (v1.22): catálogo configurable (Configuración → Formas de pago) — por ejemplo Transferencia bancaria, Efectivo o Cheque.</w:t>
      </w:r>
    </w:p>
    <w:p>
      <w:pPr>
        <w:pStyle w:val="ListParagraph"/>
        <w:numPr>
          <w:ilvl w:val="0"/>
          <w:numId w:val="3"/>
        </w:numPr>
        <w:spacing w:after="60"/>
      </w:pPr>
      <w:r>
        <w:t xml:space="preserve">Completar descuento, IVA (19% por defecto), validez en días (15 por defecto) y condiciones comerciales.</w:t>
      </w:r>
    </w:p>
    <w:p>
      <w:pPr>
        <w:pStyle w:val="ListParagraph"/>
        <w:numPr>
          <w:ilvl w:val="0"/>
          <w:numId w:val="3"/>
        </w:numPr>
        <w:spacing w:after="60"/>
      </w:pPr>
      <w:r>
        <w:t xml:space="preserve">Guardar.</w:t>
      </w:r>
    </w:p>
    <w:p>
      <w:pPr>
        <w:spacing w:after="160"/>
      </w:pPr>
      <w:r>
        <w:rPr>
          <w:b/>
          <w:bCs/>
          <w:i/>
          <w:iCs/>
          <w:color w:val="555555"/>
        </w:rPr>
        <w:t xml:space="preserve">Nota: </w:t>
      </w:r>
      <w:r>
        <w:rPr>
          <w:i/>
          <w:iCs/>
          <w:color w:val="555555"/>
        </w:rPr>
        <w:t xml:space="preserve">Un descuento superior a 10% requiere aprobación del administrador antes de poder enviarse — ver más abajo.</w:t>
      </w:r>
    </w:p>
    <w:p>
      <w:pPr>
        <w:spacing w:after="140"/>
      </w:pPr>
      <w:r>
        <w:t xml:space="preserve">Una cotización solo se puede editar mientras está en estado "borrador". Para corregir una ya enviada, hay que generar una "Nueva versión" (botón en el detalle) en vez de editar la original.</w:t>
      </w:r>
    </w:p>
    <w:p>
      <w:pPr>
        <w:pStyle w:val="Heading3"/>
        <w:spacing w:after="100" w:before="200"/>
      </w:pPr>
      <w:r>
        <w:t xml:space="preserve">Moneda: CLP o UF (v1.27)</w:t>
      </w:r>
    </w:p>
    <w:p>
      <w:pPr>
        <w:spacing w:after="140"/>
      </w:pPr>
      <w:r>
        <w:t xml:space="preserve">Al crear la cotización se puede elegir moneda UF además de CLP. En UF, los ítems se ingresan con descripción libre (no se puede usar el buscador del catálogo de productos, que solo tiene precios en CLP). El cliente ve todo en UF de punta a punta — PDF, link público, correo — sin conversión a pesos. Internamente (Pipeline, Reportes, monto estimado del negocio) el sistema sigue viendo el equivalente en CLP, convertido con el valor de la UF del día en que se guardó la cotización.</w:t>
      </w:r>
    </w:p>
    <w:p>
      <w:pPr>
        <w:pStyle w:val="Heading3"/>
        <w:spacing w:after="100" w:before="200"/>
      </w:pPr>
      <w:r>
        <w:t xml:space="preserve">Aprobación de descuento</w:t>
      </w:r>
    </w:p>
    <w:p>
      <w:pPr>
        <w:pStyle w:val="ListParagraph"/>
        <w:numPr>
          <w:ilvl w:val="0"/>
          <w:numId w:val="2"/>
        </w:numPr>
        <w:spacing w:after="60"/>
      </w:pPr>
      <w:r>
        <w:t xml:space="preserve">Si la cotización requiere aprobación, aparece un aviso. El vendedor presiona "Solicitar aprobación".</w:t>
      </w:r>
    </w:p>
    <w:p>
      <w:pPr>
        <w:pStyle w:val="ListParagraph"/>
        <w:numPr>
          <w:ilvl w:val="0"/>
          <w:numId w:val="2"/>
        </w:numPr>
        <w:spacing w:after="60"/>
      </w:pPr>
      <w:r>
        <w:t xml:space="preserve">El administrador ve el botón "Aprobar" en esa misma cotización y confirma ahí.</w:t>
      </w:r>
    </w:p>
    <w:p>
      <w:pPr>
        <w:pStyle w:val="Heading3"/>
        <w:spacing w:after="100" w:before="200"/>
      </w:pPr>
      <w:r>
        <w:t xml:space="preserve">Enviar la cotización al cliente</w:t>
      </w:r>
    </w:p>
    <w:p>
      <w:pPr>
        <w:pStyle w:val="ListParagraph"/>
        <w:numPr>
          <w:ilvl w:val="0"/>
          <w:numId w:val="3"/>
        </w:numPr>
        <w:spacing w:after="60"/>
      </w:pPr>
      <w:r>
        <w:t xml:space="preserve">Abrir la cotización y marcar los casilleros "Correo" y/o "WhatsApp" (se deshabilitan si el contacto no tiene email o teléfono registrado).</w:t>
      </w:r>
    </w:p>
    <w:p>
      <w:pPr>
        <w:pStyle w:val="ListParagraph"/>
        <w:numPr>
          <w:ilvl w:val="0"/>
          <w:numId w:val="3"/>
        </w:numPr>
        <w:spacing w:after="60"/>
      </w:pPr>
      <w:r>
        <w:t xml:space="preserve">Mensaje del correo (v1.22): trae precargado el mensaje configurado por defecto (Configuración → Datos de empresa), pero se puede editar ahí mismo, solo para este envío — no cambia el default de la empresa.</w:t>
      </w:r>
    </w:p>
    <w:p>
      <w:pPr>
        <w:pStyle w:val="ListParagraph"/>
        <w:numPr>
          <w:ilvl w:val="0"/>
          <w:numId w:val="3"/>
        </w:numPr>
        <w:spacing w:after="60"/>
      </w:pPr>
      <w:r>
        <w:t xml:space="preserve">Clic en "Enviar cotización". Cada canal se envía por separado y muestra su propio resultado (éxito o error).</w:t>
      </w:r>
    </w:p>
    <w:p>
      <w:pPr>
        <w:spacing w:after="160"/>
      </w:pPr>
      <w:r>
        <w:rPr>
          <w:b/>
          <w:bCs/>
          <w:i/>
          <w:iCs/>
          <w:color w:val="555555"/>
        </w:rPr>
        <w:t xml:space="preserve">Nota: </w:t>
      </w:r>
      <w:r>
        <w:rPr>
          <w:i/>
          <w:iCs/>
          <w:color w:val="555555"/>
        </w:rPr>
        <w:t xml:space="preserve">Los datos bancarios de la empresa en el correo dependen de la forma de pago elegida (v1.22): si tiene el flag "incluye datos bancarios" activado (por ejemplo Transferencia bancaria), el correo agrega ese bloque; si no (Efectivo, Cheque), no lo incluye. El PDF de la cotización sigue mostrando los datos bancarios siempre, sin condicionarlos — es un comportamiento distinto, solo del cuerpo del correo.</w:t>
      </w:r>
    </w:p>
    <w:p>
      <w:pPr>
        <w:spacing w:after="140"/>
      </w:pPr>
      <w:r>
        <w:t xml:space="preserve">El correo incluye — si está activado — un botón de WhatsApp con el texto configurable en Configuración → Datos de empresa.</w:t>
      </w:r>
    </w:p>
    <w:p>
      <w:pPr>
        <w:pStyle w:val="Heading3"/>
        <w:spacing w:after="100" w:before="200"/>
      </w:pPr>
      <w:r>
        <w:t xml:space="preserve">Otras acciones en el detalle de una cotización</w:t>
      </w:r>
    </w:p>
    <w:p>
      <w:pPr>
        <w:pStyle w:val="ListParagraph"/>
        <w:numPr>
          <w:ilvl w:val="0"/>
          <w:numId w:val="2"/>
        </w:numPr>
        <w:spacing w:after="60"/>
      </w:pPr>
      <w:r>
        <w:t xml:space="preserve">"Descargar PDF": genera y descarga el PDF de la cotización.</w:t>
      </w:r>
    </w:p>
    <w:p>
      <w:pPr>
        <w:pStyle w:val="ListParagraph"/>
        <w:numPr>
          <w:ilvl w:val="0"/>
          <w:numId w:val="2"/>
        </w:numPr>
        <w:spacing w:after="60"/>
      </w:pPr>
      <w:r>
        <w:t xml:space="preserve">"Copiar link público" / "Ver como cliente": el link público (formato /c/token) es la misma página que recibe el cliente, sin necesidad de iniciar sesión.</w:t>
      </w:r>
    </w:p>
    <w:p>
      <w:pPr>
        <w:pStyle w:val="ListParagraph"/>
        <w:numPr>
          <w:ilvl w:val="0"/>
          <w:numId w:val="2"/>
        </w:numPr>
        <w:spacing w:after="60"/>
      </w:pPr>
      <w:r>
        <w:t xml:space="preserve">"Nueva versión": crea una copia editable para corregir una cotización ya enviada.</w:t>
      </w:r>
    </w:p>
    <w:p>
      <w:pPr>
        <w:pStyle w:val="ListParagraph"/>
        <w:numPr>
          <w:ilvl w:val="0"/>
          <w:numId w:val="2"/>
        </w:numPr>
        <w:spacing w:after="60"/>
      </w:pPr>
      <w:r>
        <w:t xml:space="preserve">Panel "Pipeline del negocio": permite cambiar la etapa y la probabilidad de cierre del negocio sin salir de la cotización.</w:t>
      </w:r>
    </w:p>
    <w:p>
      <w:pPr>
        <w:pStyle w:val="Heading2"/>
        <w:spacing w:after="120" w:before="260"/>
      </w:pPr>
      <w:r>
        <w:t xml:space="preserve">5.3 Cotizador Operaciones (v1.17-v1.18)</w:t>
      </w:r>
    </w:p>
    <w:p>
      <w:pPr>
        <w:spacing w:after="140"/>
      </w:pPr>
      <w:r>
        <w:t xml:space="preserve">Roles con acceso: administrador, jefe comercial, vendedor. Cotizador especializado para trabajos que nacen de una solicitud de mantención/reparación en Fracttal — no de una negociación de venta de equipos. Usa el pipeline Operaciones (§5.1); los materiales se cotizan contra el mismo catálogo de Productos que usa el resto del sistema, no hay un catálogo aparte para Operaciones.</w:t>
      </w:r>
    </w:p>
    <w:p>
      <w:pPr>
        <w:pStyle w:val="Heading3"/>
        <w:spacing w:after="100" w:before="200"/>
      </w:pPr>
      <w:r>
        <w:t xml:space="preserve">Crear una cotización de Operaciones</w:t>
      </w:r>
    </w:p>
    <w:p>
      <w:pPr>
        <w:pStyle w:val="ListParagraph"/>
        <w:numPr>
          <w:ilvl w:val="0"/>
          <w:numId w:val="3"/>
        </w:numPr>
        <w:spacing w:after="60"/>
      </w:pPr>
      <w:r>
        <w:t xml:space="preserve">Desde "+ Nueva cotización" o "+ Cotizar", elegir "Operaciones" en el selector "Origen" (en vez de "Ventas Directas").</w:t>
      </w:r>
    </w:p>
    <w:p>
      <w:pPr>
        <w:pStyle w:val="ListParagraph"/>
        <w:numPr>
          <w:ilvl w:val="0"/>
          <w:numId w:val="3"/>
        </w:numPr>
        <w:spacing w:after="60"/>
      </w:pPr>
      <w:r>
        <w:t xml:space="preserve">"Importar desde Fracttal" (opcional): pegar el texto del correo "Nueva solicitud creada" en el recuadro y presionar "Extraer datos". El sistema reconoce automáticamente el N° de solicitud, el hallazgo, los materiales mencionados, las horas de mano de obra sugeridas y la comuna. Presionar "Aplicar al formulario" para cargar esos datos, o "Cancelar" para descartar la lectura y completar a mano.</w:t>
      </w:r>
    </w:p>
    <w:p>
      <w:pPr>
        <w:pStyle w:val="ListParagraph"/>
        <w:numPr>
          <w:ilvl w:val="0"/>
          <w:numId w:val="3"/>
        </w:numPr>
        <w:spacing w:after="60"/>
      </w:pPr>
      <w:r>
        <w:t xml:space="preserve">Revisar/completar "Hallazgo", "N° solicitud Fracttal" y "Justificación técnica / observaciones".</w:t>
      </w:r>
    </w:p>
    <w:p>
      <w:pPr>
        <w:pStyle w:val="ListParagraph"/>
        <w:numPr>
          <w:ilvl w:val="0"/>
          <w:numId w:val="3"/>
        </w:numPr>
        <w:spacing w:after="60"/>
      </w:pPr>
      <w:r>
        <w:t xml:space="preserve">Elegir "Modalidad de precio": "Con desglose" (muestra materiales, elementos menores, markup y mano de obra por separado) o "Suma alzada" (solo el total, con nota de valor fijo e invariante).</w:t>
      </w:r>
    </w:p>
    <w:p>
      <w:pPr>
        <w:pStyle w:val="ListParagraph"/>
        <w:numPr>
          <w:ilvl w:val="0"/>
          <w:numId w:val="3"/>
        </w:numPr>
        <w:spacing w:after="60"/>
      </w:pPr>
      <w:r>
        <w:t xml:space="preserve">Completar "Comuna", "HH normales" y "HH fuera de horario (×1.5)" — de esto depende el cálculo de mano de obra y traslado.</w:t>
      </w:r>
    </w:p>
    <w:p>
      <w:pPr>
        <w:pStyle w:val="ListParagraph"/>
        <w:numPr>
          <w:ilvl w:val="0"/>
          <w:numId w:val="3"/>
        </w:numPr>
        <w:spacing w:after="60"/>
      </w:pPr>
      <w:r>
        <w:t xml:space="preserve">Agregar los materiales como líneas normales de cotización (buscar por nombre/código/marca/categoría); cada línea admite además un "Factor" de ajuste sobre el precio del maestro.</w:t>
      </w:r>
    </w:p>
    <w:p>
      <w:pPr>
        <w:pStyle w:val="ListParagraph"/>
        <w:numPr>
          <w:ilvl w:val="0"/>
          <w:numId w:val="3"/>
        </w:numPr>
        <w:spacing w:after="60"/>
      </w:pPr>
      <w:r>
        <w:t xml:space="preserve">Si corresponde generar una propuesta formal, elegir la "Plantilla de propuesta (Word)": Simple Suministro, Estándar Suministro y Montaje, Llave en Mano Regulado, o Lavado y Sanitización de Estanques (o "Ninguna" para solo un PDF de ítems). Completar los 5 textos narrativos que trae la plantilla (Objeto de la propuesta, Alcances, Exclusiones, Condiciones de ejecución, Otras consideraciones) — vienen precargados con el texto tipo, editables por cotización.</w:t>
      </w:r>
    </w:p>
    <w:p>
      <w:pPr>
        <w:pStyle w:val="ListParagraph"/>
        <w:numPr>
          <w:ilvl w:val="0"/>
          <w:numId w:val="3"/>
        </w:numPr>
        <w:spacing w:after="60"/>
      </w:pPr>
      <w:r>
        <w:t xml:space="preserve">Guardar.</w:t>
      </w:r>
    </w:p>
    <w:p>
      <w:pPr>
        <w:spacing w:after="160"/>
      </w:pPr>
      <w:r>
        <w:rPr>
          <w:b/>
          <w:bCs/>
          <w:i/>
          <w:iCs/>
          <w:color w:val="555555"/>
        </w:rPr>
        <w:t xml:space="preserve">Nota: </w:t>
      </w:r>
      <w:r>
        <w:rPr>
          <w:i/>
          <w:iCs/>
          <w:color w:val="555555"/>
        </w:rPr>
        <w:t xml:space="preserve">El sistema no elige el material de forma automática sin poder revisarlo: si no encuentra una coincidencia confiable en el catálogo para algo mencionado en la solicitud, deja esa línea con precio 0 para completarla a mano — nunca da de alta un producto nuevo en el maestro por sí solo.</w:t>
      </w:r>
    </w:p>
    <w:p>
      <w:pPr>
        <w:pStyle w:val="Heading3"/>
        <w:spacing w:after="100" w:before="200"/>
      </w:pPr>
      <w:r>
        <w:t xml:space="preserve">Consideraciones de ejecución</w:t>
      </w:r>
    </w:p>
    <w:p>
      <w:pPr>
        <w:spacing w:after="140"/>
      </w:pPr>
      <w:r>
        <w:t xml:space="preserve">Para cotizaciones con plantilla de propuesta: lista de advertencias con una etiqueta cada una (Info, Atención, Corte agua, Horario no hábil, Acceso, Otro), que aparecen al final de "Condiciones de ejecución" en el Word generado.</w:t>
      </w:r>
    </w:p>
    <w:p>
      <w:pPr>
        <w:pStyle w:val="Heading3"/>
        <w:spacing w:after="100" w:before="200"/>
      </w:pPr>
      <w:r>
        <w:t xml:space="preserve">Generar y enviar el documento final</w:t>
      </w:r>
    </w:p>
    <w:p>
      <w:pPr>
        <w:pStyle w:val="ListParagraph"/>
        <w:numPr>
          <w:ilvl w:val="0"/>
          <w:numId w:val="3"/>
        </w:numPr>
        <w:spacing w:after="60"/>
      </w:pPr>
      <w:r>
        <w:t xml:space="preserve">"Descargar Word": genera el .docx con la plantilla elegida, los 5 textos, los ítems y los montos ya calculados.</w:t>
      </w:r>
    </w:p>
    <w:p>
      <w:pPr>
        <w:pStyle w:val="ListParagraph"/>
        <w:numPr>
          <w:ilvl w:val="0"/>
          <w:numId w:val="3"/>
        </w:numPr>
        <w:spacing w:after="60"/>
      </w:pPr>
      <w:r>
        <w:t xml:space="preserve">Retocar el Word fuera del sistema (agregar fotos, ajustar detalles) y convertirlo a PDF.</w:t>
      </w:r>
    </w:p>
    <w:p>
      <w:pPr>
        <w:pStyle w:val="ListParagraph"/>
        <w:numPr>
          <w:ilvl w:val="0"/>
          <w:numId w:val="3"/>
        </w:numPr>
        <w:spacing w:after="60"/>
      </w:pPr>
      <w:r>
        <w:t xml:space="preserve">"Subir documento final (PDF)": sube esa versión retocada. Se puede reemplazar ("Reemplazar documento final") mientras no se haya enviado.</w:t>
      </w:r>
    </w:p>
    <w:p>
      <w:pPr>
        <w:pStyle w:val="ListParagraph"/>
        <w:numPr>
          <w:ilvl w:val="0"/>
          <w:numId w:val="3"/>
        </w:numPr>
        <w:spacing w:after="60"/>
      </w:pPr>
      <w:r>
        <w:t xml:space="preserve">Recién con el documento final subido queda habilitado "Enviar cotización", igual que cualquier otra cotización (§5.2).</w:t>
      </w:r>
    </w:p>
    <w:p>
      <w:pPr>
        <w:spacing w:after="160"/>
      </w:pPr>
      <w:r>
        <w:rPr>
          <w:b/>
          <w:bCs/>
          <w:i/>
          <w:iCs/>
          <w:color w:val="555555"/>
        </w:rPr>
        <w:t xml:space="preserve">Nota: </w:t>
      </w:r>
      <w:r>
        <w:rPr>
          <w:i/>
          <w:iCs/>
          <w:color w:val="555555"/>
        </w:rPr>
        <w:t xml:space="preserve">El Word que genera el sistema nunca se envía directo al cliente — siempre pasa por el paso de retocar y subir el PDF final. Una cotización sin plantilla ("Ninguna") no tiene este paso: se descarga y envía el PDF de ítems como cualquier cotización de Ventas Directas.</w:t>
      </w:r>
    </w:p>
    <w:p>
      <w:pPr>
        <w:spacing w:after="140"/>
      </w:pPr>
      <w:r>
        <w:t xml:space="preserve">Mantenedores de Operaciones — mano de obra, comunas y sinónimos de materiales — se configuran en Configuración → Cotizador Operaciones (administrador/jefe comercial, ver §5.12).</w:t>
      </w:r>
    </w:p>
    <w:p>
      <w:pPr>
        <w:pStyle w:val="Heading2"/>
        <w:spacing w:after="120" w:before="260"/>
      </w:pPr>
      <w:r>
        <w:t xml:space="preserve">5.4 Postventa</w:t>
      </w:r>
    </w:p>
    <w:p>
      <w:pPr>
        <w:spacing w:after="140"/>
      </w:pPr>
      <w:r>
        <w:t xml:space="preserve">Roles con acceso: administrador, jefe comercial, vendedor. Gestionar el tablero completo (mover etapa, asignar técnico, prioridad, SLA) requiere además el atributo "Encargado de postventa" (ver nota (***) en la sección 4) — un vendedor sin ese atributo puede crear casos y ver los que él creó, pero no gestionar el resto.</w:t>
      </w:r>
    </w:p>
    <w:p>
      <w:pPr>
        <w:spacing w:after="140"/>
      </w:pPr>
      <w:r>
        <w:t xml:space="preserve">Todo caso de postventa (garantía o reclamo técnico) se vincula normalmente a un negocio de origen, para no perder la trazabilidad hacia la venta que lo generó. Desde v1.21, el negocio de origen es opcional.</w:t>
      </w:r>
    </w:p>
    <w:p>
      <w:pPr>
        <w:pStyle w:val="Heading3"/>
        <w:spacing w:after="100" w:before="200"/>
      </w:pPr>
      <w:r>
        <w:t xml:space="preserve">Crear un caso de postventa</w:t>
      </w:r>
    </w:p>
    <w:p>
      <w:pPr>
        <w:pStyle w:val="ListParagraph"/>
        <w:numPr>
          <w:ilvl w:val="0"/>
          <w:numId w:val="3"/>
        </w:numPr>
        <w:spacing w:after="60"/>
      </w:pPr>
      <w:r>
        <w:t xml:space="preserve">Clic en "+ Nuevo caso" (en Postventa), o desde el detalle de un negocio, clic en "Crear caso de postventa".</w:t>
      </w:r>
    </w:p>
    <w:p>
      <w:pPr>
        <w:pStyle w:val="ListParagraph"/>
        <w:numPr>
          <w:ilvl w:val="0"/>
          <w:numId w:val="3"/>
        </w:numPr>
        <w:spacing w:after="60"/>
      </w:pPr>
      <w:r>
        <w:t xml:space="preserve">Buscar el negocio de origen. Si el reclamo no tiene una venta registrada en el CRM (v1.21) — por ejemplo, un equipo vendido por otro canal o una garantía antigua — usar el link "¿Sin venta asociada?" para buscar directamente el contacto en su lugar; la empresa del caso se toma sola de la ficha del contacto.</w:t>
      </w:r>
    </w:p>
    <w:p>
      <w:pPr>
        <w:pStyle w:val="ListParagraph"/>
        <w:numPr>
          <w:ilvl w:val="0"/>
          <w:numId w:val="3"/>
        </w:numPr>
        <w:spacing w:after="60"/>
      </w:pPr>
      <w:r>
        <w:t xml:space="preserve">Completar título (obligatorio), descripción, producto/equipo reclamado (buscable en el catálogo, opcional), detalle del equipo, prioridad y fecha límite de respuesta (obligatoria).</w:t>
      </w:r>
    </w:p>
    <w:p>
      <w:pPr>
        <w:pStyle w:val="ListParagraph"/>
        <w:numPr>
          <w:ilvl w:val="0"/>
          <w:numId w:val="3"/>
        </w:numPr>
        <w:spacing w:after="60"/>
      </w:pPr>
      <w:r>
        <w:t xml:space="preserve">Fotos (v1.22, opcional): se pueden seleccionar una o varias fotos ahí mismo, sin tener que crear el caso primero y volver a abrirlo para subirlas.</w:t>
      </w:r>
    </w:p>
    <w:p>
      <w:pPr>
        <w:pStyle w:val="ListParagraph"/>
        <w:numPr>
          <w:ilvl w:val="0"/>
          <w:numId w:val="3"/>
        </w:numPr>
        <w:spacing w:after="60"/>
      </w:pPr>
      <w:r>
        <w:t xml:space="preserve">Guardar. El caso aparece en la primera etapa abierta del tablero.</w:t>
      </w:r>
    </w:p>
    <w:p>
      <w:pPr>
        <w:pStyle w:val="Heading3"/>
        <w:spacing w:after="100" w:before="200"/>
      </w:pPr>
      <w:r>
        <w:t xml:space="preserve">Gestionar el tablero</w:t>
      </w:r>
    </w:p>
    <w:p>
      <w:pPr>
        <w:pStyle w:val="ListParagraph"/>
        <w:numPr>
          <w:ilvl w:val="0"/>
          <w:numId w:val="2"/>
        </w:numPr>
        <w:spacing w:after="60"/>
      </w:pPr>
      <w:r>
        <w:t xml:space="preserve">Arrastrar la tarjeta a otra columna (o usar el selector "Mover a etapa…" en celular) para cambiar de etapa. Las etapas "Resuelto" y "Rechazado" cierran el caso.</w:t>
      </w:r>
    </w:p>
    <w:p>
      <w:pPr>
        <w:pStyle w:val="ListParagraph"/>
        <w:numPr>
          <w:ilvl w:val="0"/>
          <w:numId w:val="2"/>
        </w:numPr>
        <w:spacing w:after="60"/>
      </w:pPr>
      <w:r>
        <w:t xml:space="preserve">Abrir una tarjeta para asignar técnico, cambiar prioridad o la fecha límite de respuesta.</w:t>
      </w:r>
    </w:p>
    <w:p>
      <w:pPr>
        <w:pStyle w:val="ListParagraph"/>
        <w:numPr>
          <w:ilvl w:val="0"/>
          <w:numId w:val="2"/>
        </w:numPr>
        <w:spacing w:after="60"/>
      </w:pPr>
      <w:r>
        <w:t xml:space="preserve">Filtro Todos / Vencidos / Por vencer, junto al botón "+ Nuevo caso".</w:t>
      </w:r>
    </w:p>
    <w:p>
      <w:pPr>
        <w:spacing w:after="160"/>
      </w:pPr>
      <w:r>
        <w:rPr>
          <w:b/>
          <w:bCs/>
          <w:i/>
          <w:iCs/>
          <w:color w:val="555555"/>
        </w:rPr>
        <w:t xml:space="preserve">Nota: </w:t>
      </w:r>
      <w:r>
        <w:rPr>
          <w:i/>
          <w:iCs/>
          <w:color w:val="555555"/>
        </w:rPr>
        <w:t xml:space="preserve">Cada tarjeta muestra una alerta de SLA según la fecha límite de respuesta: amarillo si quedan 3 días o menos, rojo si ya venció. Los casos sin etapa asignada (por ejemplo, creados antes de definir alguna etapa abierta) se muestran en una columna aparte "Sin etapa asignada", para que nunca queden invisibles.</w:t>
      </w:r>
    </w:p>
    <w:p>
      <w:pPr>
        <w:spacing w:after="140"/>
      </w:pPr>
      <w:r>
        <w:t xml:space="preserve">Las etapas intermedias del tablero (además de las fijas "Resuelto"/"Rechazado") se configuran en Configuración → Config Postventa, con reordenamiento mediante flechas subir/bajar.</w:t>
      </w:r>
    </w:p>
    <w:p>
      <w:pPr>
        <w:pStyle w:val="Heading3"/>
        <w:spacing w:after="100" w:before="200"/>
      </w:pPr>
      <w:r>
        <w:t xml:space="preserve">Adjuntos de un caso (v1.21)</w:t>
      </w:r>
    </w:p>
    <w:p>
      <w:pPr>
        <w:spacing w:after="140"/>
      </w:pPr>
      <w:r>
        <w:t xml:space="preserve">Dentro del detalle de un caso, la sección "Adjuntos" guarda todos los archivos que se le suban — foto cliente, video cliente, informe técnico u otro, con descripción, quién lo subió y cuándo — ninguno reemplaza al anterior. Para agregar uno, elegir el tipo, escribir una descripción (opcional) y seleccionar el o los archivos (selección múltiple desde v1.23). Puede eliminar un adjunto quien lo subió, o quien gestiona Postventa.</w:t>
      </w:r>
    </w:p>
    <w:p>
      <w:pPr>
        <w:pStyle w:val="Heading2"/>
        <w:spacing w:after="120" w:before="260"/>
      </w:pPr>
      <w:r>
        <w:t xml:space="preserve">5.5 Despacho</w:t>
      </w:r>
    </w:p>
    <w:p>
      <w:pPr>
        <w:spacing w:after="140"/>
      </w:pPr>
      <w:r>
        <w:t xml:space="preserve">Roles con acceso: administrador, jefe comercial, vendedor. Gestionar el módulo completo (agregar/editar paradas, marcarlas completadas, subir fotos, ver todas las rutas) requiere además el atributo "Encargado de despacho" (ver nota (***) en la sección 4) — un vendedor sin ese atributo puede crear una ruta y ver las que él creó, pero no gestionar el resto.</w:t>
      </w:r>
    </w:p>
    <w:p>
      <w:pPr>
        <w:spacing w:after="140"/>
      </w:pPr>
      <w:r>
        <w:t xml:space="preserve">Un despacho es una ruta con una o más paradas de retiro o entrega. Puede originarse en un negocio cerrado o en un caso de postventa (ambos vínculos son opcionales) o registrarse suelto, para logística interna sin relación a una venta.</w:t>
      </w:r>
    </w:p>
    <w:p>
      <w:pPr>
        <w:pStyle w:val="Heading3"/>
        <w:spacing w:after="100" w:before="200"/>
      </w:pPr>
      <w:r>
        <w:t xml:space="preserve">Crear un despacho</w:t>
      </w:r>
    </w:p>
    <w:p>
      <w:pPr>
        <w:pStyle w:val="ListParagraph"/>
        <w:numPr>
          <w:ilvl w:val="0"/>
          <w:numId w:val="3"/>
        </w:numPr>
        <w:spacing w:after="60"/>
      </w:pPr>
      <w:r>
        <w:t xml:space="preserve">Clic en "+ Nuevo despacho" (en Despacho), o desde el detalle de un negocio o de un caso de postventa, clic en "Crear despacho".</w:t>
      </w:r>
    </w:p>
    <w:p>
      <w:pPr>
        <w:pStyle w:val="ListParagraph"/>
        <w:numPr>
          <w:ilvl w:val="0"/>
          <w:numId w:val="3"/>
        </w:numPr>
        <w:spacing w:after="60"/>
      </w:pPr>
      <w:r>
        <w:t xml:space="preserve">Completar el título de la ruta y, si corresponde, buscar el negocio relacionado.</w:t>
      </w:r>
    </w:p>
    <w:p>
      <w:pPr>
        <w:pStyle w:val="ListParagraph"/>
        <w:numPr>
          <w:ilvl w:val="0"/>
          <w:numId w:val="3"/>
        </w:numPr>
        <w:spacing w:after="60"/>
      </w:pPr>
      <w:r>
        <w:t xml:space="preserve">Agregar una o más paradas. Cada parada exige: tipo (retiro o entrega), dirección, comuna, fecha, contacto y el documento de respaldo (factura o guía de despacho para una entrega, O/C para un retiro, "otro" para casos internos).</w:t>
      </w:r>
    </w:p>
    <w:p>
      <w:pPr>
        <w:pStyle w:val="ListParagraph"/>
        <w:numPr>
          <w:ilvl w:val="0"/>
          <w:numId w:val="3"/>
        </w:numPr>
        <w:spacing w:after="60"/>
      </w:pPr>
      <w:r>
        <w:t xml:space="preserve">"Lugar frecuente" (opcional): si la dirección ya está guardada como lugar frecuente (ej. un proveedor habitual), elegirla autocompleta dirección, comuna y contacto — el tipo y el documento se siguen eligiendo aparte. Si la dirección de una parada ya creada coincide con un lugar frecuente, su nombre aparece también en la ficha de la parada (v1.28).</w:t>
      </w:r>
    </w:p>
    <w:p>
      <w:pPr>
        <w:pStyle w:val="ListParagraph"/>
        <w:numPr>
          <w:ilvl w:val="0"/>
          <w:numId w:val="3"/>
        </w:numPr>
        <w:spacing w:after="60"/>
      </w:pPr>
      <w:r>
        <w:t xml:space="preserve">Guardar.</w:t>
      </w:r>
    </w:p>
    <w:p>
      <w:pPr>
        <w:pStyle w:val="Heading3"/>
        <w:spacing w:after="100" w:before="200"/>
      </w:pPr>
      <w:r>
        <w:t xml:space="preserve">Gestionar las paradas de una ruta</w:t>
      </w:r>
    </w:p>
    <w:p>
      <w:pPr>
        <w:pStyle w:val="ListParagraph"/>
        <w:numPr>
          <w:ilvl w:val="0"/>
          <w:numId w:val="2"/>
        </w:numPr>
        <w:spacing w:after="60"/>
      </w:pPr>
      <w:r>
        <w:t xml:space="preserve">Marcar una parada como "completada" con el casillero correspondiente — exige haber subido antes al menos un archivo de respaldo.</w:t>
      </w:r>
    </w:p>
    <w:p>
      <w:pPr>
        <w:pStyle w:val="ListParagraph"/>
        <w:numPr>
          <w:ilvl w:val="0"/>
          <w:numId w:val="2"/>
        </w:numPr>
        <w:spacing w:after="60"/>
      </w:pPr>
      <w:r>
        <w:t xml:space="preserve">"Editar": corrige los datos de una parada ya creada (dirección, fecha, contacto, etc.).</w:t>
      </w:r>
    </w:p>
    <w:p>
      <w:pPr>
        <w:pStyle w:val="ListParagraph"/>
        <w:numPr>
          <w:ilvl w:val="0"/>
          <w:numId w:val="2"/>
        </w:numPr>
        <w:spacing w:after="60"/>
      </w:pPr>
      <w:r>
        <w:rPr>
          <w:b/>
          <w:bCs/>
        </w:rPr>
        <w:t xml:space="preserve">Archivos de respaldo (v1.23)</w:t>
      </w:r>
      <w:r>
        <w:t xml:space="preserve">: "Ver archivos de respaldo" / "Sin archivos de respaldo" muestra el historial de la parada — ninguno se pierde al subir uno nuevo, a diferencia de antes ("Reemplazar foto"). "+ Agregar archivo(s)" permite elegir uno o varios de una vez, desde el celular (foto nueva o ya existente) o el computador. Cada archivo se puede ver o eliminar por separado; solo quien gestiona despacho puede subir o eliminar.</w:t>
      </w:r>
    </w:p>
    <w:p>
      <w:pPr>
        <w:pStyle w:val="ListParagraph"/>
        <w:numPr>
          <w:ilvl w:val="0"/>
          <w:numId w:val="2"/>
        </w:numPr>
        <w:spacing w:after="60"/>
      </w:pPr>
      <w:r>
        <w:t xml:space="preserve">"+ Agregar otra parada": suma una parada más a una ruta ya creada.</w:t>
      </w:r>
    </w:p>
    <w:p>
      <w:pPr>
        <w:pStyle w:val="ListParagraph"/>
        <w:numPr>
          <w:ilvl w:val="0"/>
          <w:numId w:val="2"/>
        </w:numPr>
        <w:spacing w:after="60"/>
      </w:pPr>
      <w:r>
        <w:t xml:space="preserve">"Cerrar": cierra la ficha de la ruta. Cada acción (marcar parada, cambiar estado, editar, agregar/eliminar parada) muestra un aviso "Guardado ✓" junto al título, para confirmar que quedó registrada.</w:t>
      </w:r>
    </w:p>
    <w:p>
      <w:pPr>
        <w:spacing w:after="160"/>
      </w:pPr>
      <w:r>
        <w:rPr>
          <w:b/>
          <w:bCs/>
          <w:i/>
          <w:iCs/>
          <w:color w:val="555555"/>
        </w:rPr>
        <w:t xml:space="preserve">Nota: </w:t>
      </w:r>
      <w:r>
        <w:rPr>
          <w:i/>
          <w:iCs/>
          <w:color w:val="555555"/>
        </w:rPr>
        <w:t xml:space="preserve">La vista de Despacho es una lista/calendario por fecha, no un tablero de etapas. El estado de la ruta (programado, en ruta, completado, cancelado) es un flujo fijo, no configurable, y "Completado" no se elige a mano: sale solo cuando todas las paradas quedan completadas, y vuelve a "En ruta" si se agrega una parada nueva o se destilda alguna. Filtros disponibles: rango de fecha y estado.</w:t>
      </w:r>
    </w:p>
    <w:p>
      <w:pPr>
        <w:spacing w:after="140"/>
      </w:pPr>
      <w:r>
        <w:t xml:space="preserve">Lugares frecuentes de retiro/entrega (Configuración → Lugares frecuentes de despacho, administrador/jefe comercial/encargado): se guardan con nombre, dirección, comuna y contacto, para usarlos al crear una parada.</w:t>
      </w:r>
    </w:p>
    <w:p>
      <w:pPr>
        <w:pStyle w:val="Heading3"/>
        <w:spacing w:after="100" w:before="200"/>
      </w:pPr>
      <w:r>
        <w:t xml:space="preserve">Optimizar ruta (v1.16)</w:t>
      </w:r>
    </w:p>
    <w:p>
      <w:pPr>
        <w:spacing w:after="140"/>
      </w:pPr>
      <w:r>
        <w:t xml:space="preserve">Cuando hay 2 o más paradas pendientes de un mismo día, aparece el botón "Optimizar ruta".</w:t>
      </w:r>
    </w:p>
    <w:p>
      <w:pPr>
        <w:pStyle w:val="ListParagraph"/>
        <w:numPr>
          <w:ilvl w:val="0"/>
          <w:numId w:val="3"/>
        </w:numPr>
        <w:spacing w:after="60"/>
      </w:pPr>
      <w:r>
        <w:t xml:space="preserve">Ajustar, si hace falta, el campo "Hora de salida" (por defecto trae la hora de apertura configurada en Configuración → Bot de WhatsApp → Horario de atención).</w:t>
      </w:r>
    </w:p>
    <w:p>
      <w:pPr>
        <w:pStyle w:val="ListParagraph"/>
        <w:numPr>
          <w:ilvl w:val="0"/>
          <w:numId w:val="3"/>
        </w:numPr>
        <w:spacing w:after="60"/>
      </w:pPr>
      <w:r>
        <w:t xml:space="preserve">Clic en "Optimizar ruta". El sistema calcula el orden más eficiente para visitar las paradas, ida y vuelta desde la dirección de la empresa, y muestra la hora estimada de llegada a cada una y de vuelta a la empresa.</w:t>
      </w:r>
    </w:p>
    <w:p>
      <w:pPr>
        <w:pStyle w:val="ListParagraph"/>
        <w:numPr>
          <w:ilvl w:val="0"/>
          <w:numId w:val="3"/>
        </w:numPr>
        <w:spacing w:after="60"/>
      </w:pPr>
      <w:r>
        <w:t xml:space="preserve">"Aplicar este orden": reordena las paradas según lo sugerido. "Descartar": no cambia nada.</w:t>
      </w:r>
    </w:p>
    <w:p>
      <w:pPr>
        <w:spacing w:after="160"/>
      </w:pPr>
      <w:r>
        <w:rPr>
          <w:b/>
          <w:bCs/>
          <w:i/>
          <w:iCs/>
          <w:color w:val="555555"/>
        </w:rPr>
        <w:t xml:space="preserve">Nota: </w:t>
      </w:r>
      <w:r>
        <w:rPr>
          <w:i/>
          <w:iCs/>
          <w:color w:val="555555"/>
        </w:rPr>
        <w:t xml:space="preserve">Es una sugerencia — el encargado decide si la aplica. Solo funciona si todas las paradas pendientes son del mismo día; si detecta fechas distintas, avisa y no calcula. La hora de llegada es una estimación informativa: todavía no valida ventanas horarias propias de cada parada, ni contempla dos vehículos o un orden fijo obligatorio — son mejoras que siguen en el backlog del proyecto (ver HT-AP-03, nota de cambio v1.16).</w:t>
      </w:r>
    </w:p>
    <w:p>
      <w:pPr>
        <w:pStyle w:val="Heading2"/>
        <w:spacing w:after="120" w:before="260"/>
      </w:pPr>
      <w:r>
        <w:t xml:space="preserve">5.6 Servicio Técnico de bombas (v1.22)</w:t>
      </w:r>
    </w:p>
    <w:p>
      <w:pPr>
        <w:spacing w:after="140"/>
      </w:pPr>
      <w:r>
        <w:t xml:space="preserve">Roles con acceso: todos — administrador, jefe comercial, vendedor, call center, gerencia y el rol dedicado técnico (§3.2, §4). A diferencia de Postventa y Despacho, aquí no existe el atributo "Encargado": cualquiera con acceso al módulo ve y gestiona cualquier caso por igual, no hay concepto de "caso propio".</w:t>
      </w:r>
    </w:p>
    <w:p>
      <w:pPr>
        <w:spacing w:after="140"/>
      </w:pPr>
      <w:r>
        <w:t xml:space="preserve">Tablero Kanban para revisiones, reparaciones y mantenciones de bombas — construido igual que Postventa, pero sin la lógica de ventas: un caso se vincula, igual que en Postventa, a un negocio de origen (opcional) o a un contacto directo vía "¿Sin venta asociada?".</w:t>
      </w:r>
    </w:p>
    <w:p>
      <w:pPr>
        <w:pStyle w:val="Heading3"/>
        <w:spacing w:after="100" w:before="200"/>
      </w:pPr>
      <w:r>
        <w:t xml:space="preserve">Crear un caso de Servicio Técnico</w:t>
      </w:r>
    </w:p>
    <w:p>
      <w:pPr>
        <w:pStyle w:val="ListParagraph"/>
        <w:numPr>
          <w:ilvl w:val="0"/>
          <w:numId w:val="3"/>
        </w:numPr>
        <w:spacing w:after="60"/>
      </w:pPr>
      <w:r>
        <w:t xml:space="preserve">Clic en "+ Nuevo caso" (en Servicio Técnico).</w:t>
      </w:r>
    </w:p>
    <w:p>
      <w:pPr>
        <w:pStyle w:val="ListParagraph"/>
        <w:numPr>
          <w:ilvl w:val="0"/>
          <w:numId w:val="3"/>
        </w:numPr>
        <w:spacing w:after="60"/>
      </w:pPr>
      <w:r>
        <w:t xml:space="preserve">Buscar el negocio de origen o, con "¿Sin venta asociada?", el contacto directo.</w:t>
      </w:r>
    </w:p>
    <w:p>
      <w:pPr>
        <w:pStyle w:val="ListParagraph"/>
        <w:numPr>
          <w:ilvl w:val="0"/>
          <w:numId w:val="3"/>
        </w:numPr>
        <w:spacing w:after="60"/>
      </w:pPr>
      <w:r>
        <w:t xml:space="preserve">Completar título (obligatorio), descripción, equipo/bomba reclamada (buscable en el catálogo, opcional), detalle del equipo, prioridad y fecha de compromiso (opcional).</w:t>
      </w:r>
    </w:p>
    <w:p>
      <w:pPr>
        <w:pStyle w:val="ListParagraph"/>
        <w:numPr>
          <w:ilvl w:val="0"/>
          <w:numId w:val="3"/>
        </w:numPr>
        <w:spacing w:after="60"/>
      </w:pPr>
      <w:r>
        <w:t xml:space="preserve">Fotos (opcional): igual que en Postventa, se pueden seleccionar una o varias fotos ahí mismo, al crear el caso.</w:t>
      </w:r>
    </w:p>
    <w:p>
      <w:pPr>
        <w:pStyle w:val="ListParagraph"/>
        <w:numPr>
          <w:ilvl w:val="0"/>
          <w:numId w:val="3"/>
        </w:numPr>
        <w:spacing w:after="60"/>
      </w:pPr>
      <w:r>
        <w:t xml:space="preserve">Guardar. El caso aparece en la primera etapa abierta del tablero.</w:t>
      </w:r>
    </w:p>
    <w:p>
      <w:pPr>
        <w:pStyle w:val="Heading3"/>
        <w:spacing w:after="100" w:before="200"/>
      </w:pPr>
      <w:r>
        <w:t xml:space="preserve">Gestionar el tablero</w:t>
      </w:r>
    </w:p>
    <w:p>
      <w:pPr>
        <w:pStyle w:val="ListParagraph"/>
        <w:numPr>
          <w:ilvl w:val="0"/>
          <w:numId w:val="2"/>
        </w:numPr>
        <w:spacing w:after="60"/>
      </w:pPr>
      <w:r>
        <w:t xml:space="preserve">Arrastrar la tarjeta a otra columna (o "Mover a etapa…" en celular). Las etapas "Resuelto" y "Rechazado" cierran el caso.</w:t>
      </w:r>
    </w:p>
    <w:p>
      <w:pPr>
        <w:pStyle w:val="ListParagraph"/>
        <w:numPr>
          <w:ilvl w:val="0"/>
          <w:numId w:val="2"/>
        </w:numPr>
        <w:spacing w:after="60"/>
      </w:pPr>
      <w:r>
        <w:t xml:space="preserve">Abrir una tarjeta para asignar técnico, cambiar prioridad o la fecha de compromiso.</w:t>
      </w:r>
    </w:p>
    <w:p>
      <w:pPr>
        <w:spacing w:after="160"/>
      </w:pPr>
      <w:r>
        <w:rPr>
          <w:b/>
          <w:bCs/>
          <w:i/>
          <w:iCs/>
          <w:color w:val="555555"/>
        </w:rPr>
        <w:t xml:space="preserve">Nota: </w:t>
      </w:r>
      <w:r>
        <w:rPr>
          <w:i/>
          <w:iCs/>
          <w:color w:val="555555"/>
        </w:rPr>
        <w:t xml:space="preserve">La fecha de compromiso usa la misma alerta de SLA que el Pipeline (§5.1): ámbar si quedan 3 días o menos, roja si ya venció.</w:t>
      </w:r>
    </w:p>
    <w:p>
      <w:pPr>
        <w:spacing w:after="140"/>
      </w:pPr>
      <w:r>
        <w:t xml:space="preserve">Las etapas intermedias del tablero (además de las fijas "Resuelto"/"Rechazado") se configuran en Configuración → Config Servicio Técnico, con reordenamiento subir/bajar — la única función de este módulo restringida a administrador/jefe comercial; todo lo demás es parejo para cualquiera con acceso.</w:t>
      </w:r>
    </w:p>
    <w:p>
      <w:pPr>
        <w:pStyle w:val="Heading3"/>
        <w:spacing w:after="100" w:before="200"/>
      </w:pPr>
      <w:r>
        <w:t xml:space="preserve">Adjuntos de un caso</w:t>
      </w:r>
    </w:p>
    <w:p>
      <w:pPr>
        <w:spacing w:after="140"/>
      </w:pPr>
      <w:r>
        <w:t xml:space="preserve">Mismo mecanismo que Postventa (§5.4): historial de archivos con tipo, descripción, quién lo subió y cuándo, ninguno se pierde. Selección múltiple al agregar uno nuevo (v1.23). Puede eliminar un adjunto quien lo subió, o administrador/jefe comercial.</w:t>
      </w:r>
    </w:p>
    <w:p>
      <w:pPr>
        <w:pStyle w:val="Heading3"/>
        <w:spacing w:after="100" w:before="200"/>
      </w:pPr>
      <w:r>
        <w:t xml:space="preserve">Rol técnico</w:t>
      </w:r>
    </w:p>
    <w:p>
      <w:pPr>
        <w:spacing w:after="140"/>
      </w:pPr>
      <w:r>
        <w:t xml:space="preserve">Pensado para personal de terreno que solo necesita este módulo: al entrar, ve únicamente Servicio Técnico — no aparece ningún otro elemento del menú, ni Dashboard. Se crea y edita igual que cualquier otro usuario, en Configuración → Usuarios.</w:t>
      </w:r>
    </w:p>
    <w:p>
      <w:pPr>
        <w:pStyle w:val="Heading2"/>
        <w:spacing w:after="120" w:before="260"/>
      </w:pPr>
      <w:r>
        <w:t xml:space="preserve">5.7 Bandeja WhatsApp</w:t>
      </w:r>
    </w:p>
    <w:p>
      <w:pPr>
        <w:spacing w:after="140"/>
      </w:pPr>
      <w:r>
        <w:t xml:space="preserve">Roles con acceso: administrador, jefe comercial, vendedor, call center, gerencia. Según la configuración del bot de WhatsApp, un vendedor puede ver solo sus propias conversaciones o todas — eso lo define el administrador/jefe comercial en Configuración → Bot de WhatsApp.</w:t>
      </w:r>
    </w:p>
    <w:p>
      <w:pPr>
        <w:spacing w:after="140"/>
      </w:pPr>
      <w:r>
        <w:t xml:space="preserve">La pantalla se actualiza sola: la lista de conversaciones cada 15 segundos y el chat abierto cada 8 segundos.</w:t>
      </w:r>
    </w:p>
    <w:p>
      <w:pPr>
        <w:pStyle w:val="Heading3"/>
        <w:spacing w:after="100" w:before="200"/>
      </w:pPr>
      <w:r>
        <w:t xml:space="preserve">Usar la bandeja</w:t>
      </w:r>
    </w:p>
    <w:p>
      <w:pPr>
        <w:pStyle w:val="ListParagraph"/>
        <w:numPr>
          <w:ilvl w:val="0"/>
          <w:numId w:val="2"/>
        </w:numPr>
        <w:spacing w:after="60"/>
      </w:pPr>
      <w:r>
        <w:t xml:space="preserve">Filtrar por vendedor, por estado del lead (nuevo, asignado, convertido, descartado) o por conversación abierta/cerrada/todas.</w:t>
      </w:r>
    </w:p>
    <w:p>
      <w:pPr>
        <w:pStyle w:val="ListParagraph"/>
        <w:numPr>
          <w:ilvl w:val="0"/>
          <w:numId w:val="2"/>
        </w:numPr>
        <w:spacing w:after="60"/>
      </w:pPr>
      <w:r>
        <w:t xml:space="preserve">Escribir un mensaje en el recuadro inferior y presionar "Enviar".</w:t>
      </w:r>
    </w:p>
    <w:p>
      <w:pPr>
        <w:pStyle w:val="ListParagraph"/>
        <w:numPr>
          <w:ilvl w:val="0"/>
          <w:numId w:val="2"/>
        </w:numPr>
        <w:spacing w:after="60"/>
      </w:pPr>
      <w:r>
        <w:t xml:space="preserve">Adjuntar un archivo con el botón 📎, o insertar un emoji con el botón 😀.</w:t>
      </w:r>
    </w:p>
    <w:p>
      <w:pPr>
        <w:pStyle w:val="ListParagraph"/>
        <w:numPr>
          <w:ilvl w:val="0"/>
          <w:numId w:val="2"/>
        </w:numPr>
        <w:spacing w:after="60"/>
      </w:pPr>
      <w:r>
        <w:t xml:space="preserve">"Crear cotización" desde la conversación: lleva directo a cotizar para ese contacto o negocio.</w:t>
      </w:r>
    </w:p>
    <w:p>
      <w:pPr>
        <w:pStyle w:val="ListParagraph"/>
        <w:numPr>
          <w:ilvl w:val="0"/>
          <w:numId w:val="2"/>
        </w:numPr>
        <w:spacing w:after="60"/>
      </w:pPr>
      <w:r>
        <w:t xml:space="preserve">"Cerrar conversación": la cierra manualmente (pide confirmación).</w:t>
      </w:r>
    </w:p>
    <w:p>
      <w:pPr>
        <w:spacing w:after="160"/>
      </w:pPr>
      <w:r>
        <w:rPr>
          <w:b/>
          <w:bCs/>
          <w:i/>
          <w:iCs/>
          <w:color w:val="555555"/>
        </w:rPr>
        <w:t xml:space="preserve">Nota: </w:t>
      </w:r>
      <w:r>
        <w:rPr>
          <w:i/>
          <w:iCs/>
          <w:color w:val="555555"/>
        </w:rPr>
        <w:t xml:space="preserve">Si pasan más de 24 horas desde el último mensaje del cliente, la conversación se cierra sola y ya no se puede enviar texto libre — solo se reabre cuando el cliente vuelve a escribir. Esta es una regla de WhatsApp (Meta), no del CRM: fuera de esa ventana solo se puede responder con una plantilla aprobada, función que aún no está disponible en el sistema.</w:t>
      </w:r>
    </w:p>
    <w:p>
      <w:pPr>
        <w:pStyle w:val="Heading2"/>
        <w:spacing w:after="120" w:before="260"/>
      </w:pPr>
      <w:r>
        <w:t xml:space="preserve">5.8 Contactos y Empresas</w:t>
      </w:r>
    </w:p>
    <w:p>
      <w:pPr>
        <w:spacing w:after="140"/>
      </w:pPr>
      <w:r>
        <w:t xml:space="preserve">Roles con acceso: administrador, jefe comercial, vendedor y call center. Un contacto puede (opcionalmente) asociarse a una empresa; la ficha de una empresa lista todos sus contactos.</w:t>
      </w:r>
    </w:p>
    <w:p>
      <w:pPr>
        <w:pStyle w:val="Heading3"/>
        <w:spacing w:after="100" w:before="200"/>
      </w:pPr>
      <w:r>
        <w:t xml:space="preserve">Crear o editar un contacto</w:t>
      </w:r>
    </w:p>
    <w:p>
      <w:pPr>
        <w:pStyle w:val="ListParagraph"/>
        <w:numPr>
          <w:ilvl w:val="0"/>
          <w:numId w:val="3"/>
        </w:numPr>
        <w:spacing w:after="60"/>
      </w:pPr>
      <w:r>
        <w:t xml:space="preserve">Completar Nombre (obligatorio) y, según corresponda, Apellido, Email, Teléfono, Empresa, Vendedor asignado, RUT comprador y Cargo.</w:t>
      </w:r>
    </w:p>
    <w:p>
      <w:pPr>
        <w:pStyle w:val="ListParagraph"/>
        <w:numPr>
          <w:ilvl w:val="0"/>
          <w:numId w:val="3"/>
        </w:numPr>
        <w:spacing w:after="60"/>
      </w:pPr>
      <w:r>
        <w:t xml:space="preserve">Al salir de los campos Email o Teléfono, el sistema avisa si detecta un posible duplicado, y sugiere una empresa según el dominio del correo (con botón "Asociar").</w:t>
      </w:r>
    </w:p>
    <w:p>
      <w:pPr>
        <w:pStyle w:val="ListParagraph"/>
        <w:numPr>
          <w:ilvl w:val="0"/>
          <w:numId w:val="3"/>
        </w:numPr>
        <w:spacing w:after="60"/>
      </w:pPr>
      <w:r>
        <w:t xml:space="preserve">Guardar. Si el teléfono ya está registrado en otro contacto, el sistema lo indica y no permite guardar duplicado.</w:t>
      </w:r>
    </w:p>
    <w:p>
      <w:pPr>
        <w:spacing w:after="140"/>
      </w:pPr>
      <w:r>
        <w:t xml:space="preserve">Selección múltiple: se pueden marcar varios contactos y aplicar en lote "Asignar a empresa…", "Marcar revisado" o "Desactivar".</w:t>
      </w:r>
    </w:p>
    <w:p>
      <w:pPr>
        <w:pStyle w:val="Heading3"/>
        <w:spacing w:after="100" w:before="200"/>
      </w:pPr>
      <w:r>
        <w:t xml:space="preserve">Fusionar contactos duplicados</w:t>
      </w:r>
    </w:p>
    <w:p>
      <w:pPr>
        <w:spacing w:after="140"/>
      </w:pPr>
      <w:r>
        <w:t xml:space="preserve">En Contactos → "Duplicados" se agrupan los posibles duplicados (por email o por nombre + empresa). Por cada grupo se elige cuál es el registro "Maestro" y se presiona "Fusionar en el maestro seleccionado" — los duplicados quedan inactivos, no se eliminan.</w:t>
      </w:r>
    </w:p>
    <w:p>
      <w:pPr>
        <w:pStyle w:val="Heading3"/>
        <w:spacing w:after="100" w:before="200"/>
      </w:pPr>
      <w:r>
        <w:t xml:space="preserve">Empresas</w:t>
      </w:r>
    </w:p>
    <w:p>
      <w:pPr>
        <w:spacing w:after="140"/>
      </w:pPr>
      <w:r>
        <w:t xml:space="preserve">Los campos de una empresa son: Razón social (obligatorio), RUT, Dominio de correo, Teléfono, Giro, Dirección, Comuna, Ciudad y Vendedor de cuenta.</w:t>
      </w:r>
    </w:p>
    <w:p>
      <w:pPr>
        <w:spacing w:after="140"/>
      </w:pPr>
      <w:r>
        <w:t xml:space="preserve">Importar/exportar CSV de contactos y empresas: disponible solo para administrador y jefe comercial.</w:t>
      </w:r>
    </w:p>
    <w:p>
      <w:pPr>
        <w:pStyle w:val="Heading2"/>
        <w:spacing w:after="120" w:before="260"/>
      </w:pPr>
      <w:r>
        <w:t xml:space="preserve">5.9 Cola de asignación de leads</w:t>
      </w:r>
    </w:p>
    <w:p>
      <w:pPr>
        <w:spacing w:after="140"/>
      </w:pPr>
      <w:r>
        <w:t xml:space="preserve">Roles con acceso: administrador, jefe comercial y call center.</w:t>
      </w:r>
    </w:p>
    <w:p>
      <w:pPr>
        <w:spacing w:after="140"/>
      </w:pPr>
      <w:r>
        <w:t xml:space="preserve">Aquí llegan los leads nuevos (por ejemplo, desde el formulario web) para asignarlos a un vendedor.</w:t>
      </w:r>
    </w:p>
    <w:p>
      <w:pPr>
        <w:pStyle w:val="Heading3"/>
        <w:spacing w:after="100" w:before="200"/>
      </w:pPr>
      <w:r>
        <w:t xml:space="preserve">Asignar un lead nuevo</w:t>
      </w:r>
    </w:p>
    <w:p>
      <w:pPr>
        <w:pStyle w:val="ListParagraph"/>
        <w:numPr>
          <w:ilvl w:val="0"/>
          <w:numId w:val="3"/>
        </w:numPr>
        <w:spacing w:after="60"/>
      </w:pPr>
      <w:r>
        <w:t xml:space="preserve">Filtrar por estado "nuevo".</w:t>
      </w:r>
    </w:p>
    <w:p>
      <w:pPr>
        <w:pStyle w:val="ListParagraph"/>
        <w:numPr>
          <w:ilvl w:val="0"/>
          <w:numId w:val="3"/>
        </w:numPr>
        <w:spacing w:after="60"/>
      </w:pPr>
      <w:r>
        <w:t xml:space="preserve">Si el sistema sugiere un vendedor (según las reglas de asignación configuradas), aparece marcado como "Sugerido"; se puede aceptar o cambiar por otro.</w:t>
      </w:r>
    </w:p>
    <w:p>
      <w:pPr>
        <w:pStyle w:val="ListParagraph"/>
        <w:numPr>
          <w:ilvl w:val="0"/>
          <w:numId w:val="3"/>
        </w:numPr>
        <w:spacing w:after="60"/>
      </w:pPr>
      <w:r>
        <w:t xml:space="preserve">Presionar "Asignar". El lead pasa a estado "asignado".</w:t>
      </w:r>
    </w:p>
    <w:p>
      <w:pPr>
        <w:pStyle w:val="ListParagraph"/>
        <w:numPr>
          <w:ilvl w:val="0"/>
          <w:numId w:val="3"/>
        </w:numPr>
        <w:spacing w:after="60"/>
      </w:pPr>
      <w:r>
        <w:t xml:space="preserve">También se puede descartar el lead directamente con el botón "✕" (pide confirmación).</w:t>
      </w:r>
    </w:p>
    <w:p>
      <w:pPr>
        <w:pStyle w:val="Heading3"/>
        <w:spacing w:after="100" w:before="200"/>
      </w:pPr>
      <w:r>
        <w:t xml:space="preserve">Convertir un lead asignado en negocio</w:t>
      </w:r>
    </w:p>
    <w:p>
      <w:pPr>
        <w:pStyle w:val="ListParagraph"/>
        <w:numPr>
          <w:ilvl w:val="0"/>
          <w:numId w:val="3"/>
        </w:numPr>
        <w:spacing w:after="60"/>
      </w:pPr>
      <w:r>
        <w:t xml:space="preserve">Con el lead en estado "asignado", presionar "Convertir a negocio".</w:t>
      </w:r>
    </w:p>
    <w:p>
      <w:pPr>
        <w:pStyle w:val="ListParagraph"/>
        <w:numPr>
          <w:ilvl w:val="0"/>
          <w:numId w:val="3"/>
        </w:numPr>
        <w:spacing w:after="60"/>
      </w:pPr>
      <w:r>
        <w:t xml:space="preserve">El sistema crea el negocio y lleva directo a su ficha.</w:t>
      </w:r>
    </w:p>
    <w:p>
      <w:pPr>
        <w:spacing w:after="140"/>
      </w:pPr>
      <w:r>
        <w:t xml:space="preserve">El orden de asignación automática (cuando no se elige manualmente) es: vendedor de cuenta de la empresa → regla configurada por categoría de producto → reparto por turno (round-robin) entre los vendedores marcados como participantes. Esto se configura en Configuración → Reglas de asignación.</w:t>
      </w:r>
    </w:p>
    <w:p>
      <w:pPr>
        <w:pStyle w:val="Heading2"/>
        <w:spacing w:after="120" w:before="260"/>
      </w:pPr>
      <w:r>
        <w:t xml:space="preserve">5.10 Búsqueda de equivalentes de productos</w:t>
      </w:r>
    </w:p>
    <w:p>
      <w:pPr>
        <w:spacing w:after="140"/>
      </w:pPr>
      <w:r>
        <w:t xml:space="preserve">Se usa para encontrar un producto alternativo (de otra marca u otro modelo) que cumpla con los mismos requisitos técnicos — bombas, hidroneumáticos o filtros de piscina, en pestañas separadas.</w:t>
      </w:r>
    </w:p>
    <w:p>
      <w:pPr>
        <w:pStyle w:val="Heading3"/>
        <w:spacing w:after="100" w:before="200"/>
      </w:pPr>
      <w:r>
        <w:t xml:space="preserve">Bombas</w:t>
      </w:r>
    </w:p>
    <w:p>
      <w:pPr>
        <w:pStyle w:val="ListParagraph"/>
        <w:numPr>
          <w:ilvl w:val="0"/>
          <w:numId w:val="2"/>
        </w:numPr>
        <w:spacing w:after="60"/>
      </w:pPr>
      <w:r>
        <w:t xml:space="preserve">Buscar por modelo base para ver sus sustitutos declarados en el maestro, o filtrar directamente por tipo, caudal, altura manométrica, potencia, voltaje, marca y precio máximo.</w:t>
      </w:r>
    </w:p>
    <w:p>
      <w:pPr>
        <w:pStyle w:val="ListParagraph"/>
        <w:numPr>
          <w:ilvl w:val="0"/>
          <w:numId w:val="2"/>
        </w:numPr>
        <w:spacing w:after="60"/>
      </w:pPr>
      <w:r>
        <w:t xml:space="preserve">Los resultados muestran primero los sustitutos declarados, luego los candidatos calculados por similitud de especificaciones. Si el resultado se basa solo en valores máximos (sin curva de caudal/altura real cargada), el sistema lo advierte con "Solo valores máx. — verificar ficha".</w:t>
      </w:r>
    </w:p>
    <w:p>
      <w:pPr>
        <w:pStyle w:val="Heading3"/>
        <w:spacing w:after="100" w:before="200"/>
      </w:pPr>
      <w:r>
        <w:t xml:space="preserve">Hidroneumáticos y filtros de piscina</w:t>
      </w:r>
    </w:p>
    <w:p>
      <w:pPr>
        <w:spacing w:after="140"/>
      </w:pPr>
      <w:r>
        <w:t xml:space="preserve">Se filtra por litros/volumen, presión mínima (hidroneumáticos), orientación y marca; en filtros de piscina también se puede buscar por código de modelo para ver equivalentes dentro de un ±30% de volumen.</w:t>
      </w:r>
    </w:p>
    <w:p>
      <w:pPr>
        <w:pStyle w:val="Heading3"/>
        <w:spacing w:after="100" w:before="200"/>
      </w:pPr>
      <w:r>
        <w:t xml:space="preserve">Generar una cotización desde la búsqueda</w:t>
      </w:r>
    </w:p>
    <w:p>
      <w:pPr>
        <w:pStyle w:val="ListParagraph"/>
        <w:numPr>
          <w:ilvl w:val="0"/>
          <w:numId w:val="3"/>
        </w:numPr>
        <w:spacing w:after="60"/>
      </w:pPr>
      <w:r>
        <w:t xml:space="preserve">Marcar "Elegir" en cada producto de interés.</w:t>
      </w:r>
    </w:p>
    <w:p>
      <w:pPr>
        <w:pStyle w:val="ListParagraph"/>
        <w:numPr>
          <w:ilvl w:val="0"/>
          <w:numId w:val="3"/>
        </w:numPr>
        <w:spacing w:after="60"/>
      </w:pPr>
      <w:r>
        <w:t xml:space="preserve">Presionar "Generar cotización" en la barra que aparece abajo.</w:t>
      </w:r>
    </w:p>
    <w:p>
      <w:pPr>
        <w:pStyle w:val="ListParagraph"/>
        <w:numPr>
          <w:ilvl w:val="0"/>
          <w:numId w:val="3"/>
        </w:numPr>
        <w:spacing w:after="60"/>
      </w:pPr>
      <w:r>
        <w:t xml:space="preserve">Elegir el negocio/contacto — el sistema abre una cotización nueva con esos productos ya cargados como líneas.</w:t>
      </w:r>
    </w:p>
    <w:p>
      <w:pPr>
        <w:pStyle w:val="Heading2"/>
        <w:spacing w:after="120" w:before="260"/>
      </w:pPr>
      <w:r>
        <w:t xml:space="preserve">5.11 Reportes</w:t>
      </w:r>
    </w:p>
    <w:p>
      <w:pPr>
        <w:pStyle w:val="Heading3"/>
        <w:spacing w:after="100" w:before="200"/>
      </w:pPr>
      <w:r>
        <w:t xml:space="preserve">Dashboard (v1.19)</w:t>
      </w:r>
    </w:p>
    <w:p>
      <w:pPr>
        <w:spacing w:after="140"/>
      </w:pPr>
      <w:r>
        <w:t xml:space="preserve">Es la pantalla de inicio del sistema: muestra la actividad real del mes en curso — dos tarjetas de total (cotizado / cerrado-ganado) y un gráfico de barras comparando cotizado vs. cerrado-ganado por vendedor, con tabla de detalle debajo. Un vendedor solo ve lo propio, igual que el resto de Reportería.</w:t>
      </w:r>
    </w:p>
    <w:p>
      <w:pPr>
        <w:spacing w:after="140"/>
      </w:pPr>
      <w:r>
        <w:t xml:space="preserve">Roles con acceso: administrador, jefe comercial, vendedor y gerencia. El filtro por vendedor solo lo pueden usar administrador, jefe comercial y gerencia. Cada reporte se puede filtrar por pipeline (Ventas Directas por defecto) y, desde v1.28, también por cliente.</w:t>
      </w:r>
    </w:p>
    <w:p>
      <w:pPr>
        <w:pStyle w:val="ListParagraph"/>
        <w:numPr>
          <w:ilvl w:val="0"/>
          <w:numId w:val="2"/>
        </w:numPr>
        <w:spacing w:after="60"/>
      </w:pPr>
      <w:r>
        <w:t xml:space="preserve">Cotizaciones por día (solo administrador/jefe comercial): cantidad y monto por fecha de creación, con detalle por vendedor al expandir una fila.</w:t>
      </w:r>
    </w:p>
    <w:p>
      <w:pPr>
        <w:pStyle w:val="ListParagraph"/>
        <w:numPr>
          <w:ilvl w:val="0"/>
          <w:numId w:val="2"/>
        </w:numPr>
        <w:spacing w:after="60"/>
      </w:pPr>
      <w:r>
        <w:t xml:space="preserve">Embudo por etapa: negocios por etapa según su fecha estimada de cierre; al expandir una etapa se listan sus negocios.</w:t>
      </w:r>
    </w:p>
    <w:p>
      <w:pPr>
        <w:pStyle w:val="ListParagraph"/>
        <w:numPr>
          <w:ilvl w:val="0"/>
          <w:numId w:val="2"/>
        </w:numPr>
        <w:spacing w:after="60"/>
      </w:pPr>
      <w:r>
        <w:t xml:space="preserve">Causas de no cierre: cantidad y monto perdido por causa, según la fecha real de cierre.</w:t>
      </w:r>
    </w:p>
    <w:p>
      <w:pPr>
        <w:pStyle w:val="ListParagraph"/>
        <w:numPr>
          <w:ilvl w:val="0"/>
          <w:numId w:val="2"/>
        </w:numPr>
        <w:spacing w:after="60"/>
      </w:pPr>
      <w:r>
        <w:t xml:space="preserve">Tiempo promedio por etapa: cuántos días en promedio pasa un negocio en cada etapa.</w:t>
      </w:r>
    </w:p>
    <w:p>
      <w:pPr>
        <w:pStyle w:val="ListParagraph"/>
        <w:numPr>
          <w:ilvl w:val="0"/>
          <w:numId w:val="2"/>
        </w:numPr>
        <w:spacing w:after="60"/>
      </w:pPr>
      <w:r>
        <w:t xml:space="preserve">Ranking de vendedores: negocios ganados/perdidos, tasa de cierre y monto ganado por vendedor.</w:t>
      </w:r>
    </w:p>
    <w:p>
      <w:pPr>
        <w:spacing w:after="140"/>
      </w:pPr>
      <w:r>
        <w:t xml:space="preserve">Cada sección tiene su propio botón "Exportar CSV".</w:t>
      </w:r>
    </w:p>
    <w:p>
      <w:pPr>
        <w:spacing w:after="160"/>
      </w:pPr>
      <w:r>
        <w:rPr>
          <w:b/>
          <w:bCs/>
          <w:i/>
          <w:iCs/>
          <w:color w:val="555555"/>
        </w:rPr>
        <w:t xml:space="preserve">Nota: </w:t>
      </w:r>
      <w:r>
        <w:rPr>
          <w:i/>
          <w:iCs/>
          <w:color w:val="555555"/>
        </w:rPr>
        <w:t xml:space="preserve">El filtro de fecha del Embudo usa la fecha estimada de cierre (para negocios abiertos); el de Causas de no cierre y Ranking usa la fecha real de cierre (negocios ya cerrados) — son filtros distintos aunque se vean parecidos.</w:t>
      </w:r>
    </w:p>
    <w:p>
      <w:pPr>
        <w:pStyle w:val="Heading3"/>
        <w:spacing w:after="100" w:before="200"/>
      </w:pPr>
      <w:r>
        <w:t xml:space="preserve">Acceso de solo lectura para herramientas de BI</w:t>
      </w:r>
    </w:p>
    <w:p>
      <w:pPr>
        <w:spacing w:after="140"/>
      </w:pPr>
      <w:r>
        <w:t xml:space="preserve">Para conectar Power BI, Looker Studio u otra herramienta externa directo a la base de datos (combinando esta fuente con otros sistemas), existe un usuario de PostgreSQL de solo lectura — se solicita al administrador, no se gestiona desde una pantalla del CRM. Cuando esa conexión no es viable por restricciones de red de la empresa, el Informe diario por correo (§5.13) cubre la misma necesidad con datos ya armados.</w:t>
      </w:r>
    </w:p>
    <w:p>
      <w:pPr>
        <w:pStyle w:val="Heading2"/>
        <w:spacing w:after="120" w:before="260"/>
      </w:pPr>
      <w:r>
        <w:t xml:space="preserve">5.12 Configuración</w:t>
      </w:r>
    </w:p>
    <w:p>
      <w:pPr>
        <w:spacing w:after="140"/>
      </w:pPr>
      <w:r>
        <w:t xml:space="preserve">Acceso: administrador (todas las opciones) y jefe comercial (todas menos Usuarios). Se entra por el ícono de engranaje en la cabecera.</w:t>
      </w:r>
    </w:p>
    <w:p>
      <w:pPr>
        <w:pStyle w:val="ListParagraph"/>
        <w:numPr>
          <w:ilvl w:val="0"/>
          <w:numId w:val="2"/>
        </w:numPr>
        <w:spacing w:after="60"/>
      </w:pPr>
      <w:r>
        <w:rPr>
          <w:b/>
          <w:bCs/>
        </w:rPr>
        <w:t xml:space="preserve">Usuarios</w:t>
      </w:r>
      <w:r>
        <w:t xml:space="preserve"> (solo administrador): crear/editar usuarios, asignar rol (incluido técnico, v1.22), cargar su teléfono de contacto (v1.28 — aparece en la firma de los correos de seguimiento, ver más abajo), restablecer contraseñas y desactivar usuarios. Al desactivar a alguien con negocios/contactos/empresas abiertos asignados, el sistema exige elegir a quién se reasignan antes de continuar; lo ya cerrado queda en el histórico sin reasignar.</w:t>
      </w:r>
    </w:p>
    <w:p>
      <w:pPr>
        <w:pStyle w:val="ListParagraph"/>
        <w:numPr>
          <w:ilvl w:val="0"/>
          <w:numId w:val="2"/>
        </w:numPr>
        <w:spacing w:after="60"/>
      </w:pPr>
      <w:r>
        <w:rPr>
          <w:b/>
          <w:bCs/>
        </w:rPr>
        <w:t xml:space="preserve">Datos de empresa</w:t>
      </w:r>
      <w:r>
        <w:t xml:space="preserve">: razón social, RUT, dirección, contacto, datos bancarios, y los textos que se usan al enviar una cotización por correo y por WhatsApp (incluyendo si se muestra o no el botón de WhatsApp en el correo).</w:t>
      </w:r>
    </w:p>
    <w:p>
      <w:pPr>
        <w:pStyle w:val="ListParagraph"/>
        <w:numPr>
          <w:ilvl w:val="0"/>
          <w:numId w:val="2"/>
        </w:numPr>
        <w:spacing w:after="60"/>
      </w:pPr>
      <w:r>
        <w:rPr>
          <w:b/>
          <w:bCs/>
        </w:rPr>
        <w:t xml:space="preserve">Formas de pago</w:t>
      </w:r>
      <w:r>
        <w:t xml:space="preserve"> (v1.22): catálogo de formas de pago (Transferencia bancaria, Efectivo, Cheque, u otras que se agreguen), cada una con el flag "incluye datos bancarios" que controla si el correo de la cotización los muestra.</w:t>
      </w:r>
    </w:p>
    <w:p>
      <w:pPr>
        <w:pStyle w:val="ListParagraph"/>
        <w:numPr>
          <w:ilvl w:val="0"/>
          <w:numId w:val="2"/>
        </w:numPr>
        <w:spacing w:after="60"/>
      </w:pPr>
      <w:r>
        <w:rPr>
          <w:b/>
          <w:bCs/>
        </w:rPr>
        <w:t xml:space="preserve">Config. pipeline</w:t>
      </w:r>
      <w:r>
        <w:t xml:space="preserve">: selector de pipeline (Ventas Directas / Operaciones), nombre y % de cierre de cada etapa, activar/desactivar etapas abiertas, reordenar con las flechas subir/bajar; también permite crear un pipeline nuevo.</w:t>
      </w:r>
    </w:p>
    <w:p>
      <w:pPr>
        <w:pStyle w:val="ListParagraph"/>
        <w:numPr>
          <w:ilvl w:val="0"/>
          <w:numId w:val="2"/>
        </w:numPr>
        <w:spacing w:after="60"/>
      </w:pPr>
      <w:r>
        <w:rPr>
          <w:b/>
          <w:bCs/>
        </w:rPr>
        <w:t xml:space="preserve">Cotizador Operaciones</w:t>
      </w:r>
      <w:r>
        <w:t xml:space="preserve"> (v1.18): mano de obra (constantes de cálculo), comunas (kilómetros, horas de tránsito y costo de traslado) y sinónimos de materiales (para el reconocimiento automático de solicitudes Fracttal, §5.3).</w:t>
      </w:r>
    </w:p>
    <w:p>
      <w:pPr>
        <w:pStyle w:val="ListParagraph"/>
        <w:numPr>
          <w:ilvl w:val="0"/>
          <w:numId w:val="2"/>
        </w:numPr>
        <w:spacing w:after="60"/>
      </w:pPr>
      <w:r>
        <w:rPr>
          <w:b/>
          <w:bCs/>
        </w:rPr>
        <w:t xml:space="preserve">Config Postventa</w:t>
      </w:r>
      <w:r>
        <w:t xml:space="preserve"> (visible además para quien tenga el atributo "Encargado de postventa"): etapas intermedias del tablero de Postventa, con reordenamiento.</w:t>
      </w:r>
    </w:p>
    <w:p>
      <w:pPr>
        <w:pStyle w:val="ListParagraph"/>
        <w:numPr>
          <w:ilvl w:val="0"/>
          <w:numId w:val="2"/>
        </w:numPr>
        <w:spacing w:after="60"/>
      </w:pPr>
      <w:r>
        <w:rPr>
          <w:b/>
          <w:bCs/>
        </w:rPr>
        <w:t xml:space="preserve">Config Servicio Técnico</w:t>
      </w:r>
      <w:r>
        <w:t xml:space="preserve"> (v1.22): etapas intermedias del tablero de Servicio Técnico, con reordenamiento — igual que Config Postventa, pero sin atribución de "encargado", ver §5.6.</w:t>
      </w:r>
    </w:p>
    <w:p>
      <w:pPr>
        <w:pStyle w:val="ListParagraph"/>
        <w:numPr>
          <w:ilvl w:val="0"/>
          <w:numId w:val="2"/>
        </w:numPr>
        <w:spacing w:after="60"/>
      </w:pPr>
      <w:r>
        <w:rPr>
          <w:b/>
          <w:bCs/>
        </w:rPr>
        <w:t xml:space="preserve">Lugares frecuentes de despacho</w:t>
      </w:r>
      <w:r>
        <w:t xml:space="preserve"> (visible además para quien tenga el atributo "Encargado de despacho"): direcciones habituales de retiro/entrega (nombre, dirección, comuna, contacto) para autocompletar al crear una parada.</w:t>
      </w:r>
    </w:p>
    <w:p>
      <w:pPr>
        <w:pStyle w:val="ListParagraph"/>
        <w:numPr>
          <w:ilvl w:val="0"/>
          <w:numId w:val="2"/>
        </w:numPr>
        <w:spacing w:after="60"/>
      </w:pPr>
      <w:r>
        <w:rPr>
          <w:b/>
          <w:bCs/>
        </w:rPr>
        <w:t xml:space="preserve">Reglas de asignación</w:t>
      </w:r>
      <w:r>
        <w:t xml:space="preserve">: mapeo de categoría de producto → vendedor, para la asignación automática de leads.</w:t>
      </w:r>
    </w:p>
    <w:p>
      <w:pPr>
        <w:pStyle w:val="ListParagraph"/>
        <w:numPr>
          <w:ilvl w:val="0"/>
          <w:numId w:val="2"/>
        </w:numPr>
        <w:spacing w:after="60"/>
      </w:pPr>
      <w:r>
        <w:rPr>
          <w:b/>
          <w:bCs/>
        </w:rPr>
        <w:t xml:space="preserve">Secuencias de seguimiento</w:t>
      </w:r>
      <w:r>
        <w:t xml:space="preserve">: pasos automáticos de seguimiento para un negocio, con los días de espera entre cada uno. Se disparan al mover el negocio a una etapa del pipeline que tenga una secuencia asociada (Configuración → Config. pipeline) — no hay una secuencia “predeterminada” fija. Un paso de canal correo se envía solo (v1.28, con el correo y teléfono del vendedor en la firma, y el vendedor en copia); los canales WhatsApp, llamada y tarea generan una tarea para que el vendedor la ejecute a mano.</w:t>
      </w:r>
    </w:p>
    <w:p>
      <w:pPr>
        <w:pStyle w:val="ListParagraph"/>
        <w:numPr>
          <w:ilvl w:val="0"/>
          <w:numId w:val="2"/>
        </w:numPr>
        <w:spacing w:after="60"/>
      </w:pPr>
      <w:r>
        <w:rPr>
          <w:b/>
          <w:bCs/>
        </w:rPr>
        <w:t xml:space="preserve">Bot de WhatsApp</w:t>
      </w:r>
      <w:r>
        <w:t xml:space="preserve">: horario de atención, mensaje fuera de horario, opciones de categorización del bot (deben coincidir con las categorías usadas en Reglas de asignación), y quién puede ver la Bandeja WhatsApp (todos los vendedores o solo el asignado).</w:t>
      </w:r>
    </w:p>
    <w:p>
      <w:pPr>
        <w:pStyle w:val="ListParagraph"/>
        <w:numPr>
          <w:ilvl w:val="0"/>
          <w:numId w:val="2"/>
        </w:numPr>
        <w:spacing w:after="60"/>
      </w:pPr>
      <w:r>
        <w:rPr>
          <w:b/>
          <w:bCs/>
        </w:rPr>
        <w:t xml:space="preserve">Encuesta post-cierre</w:t>
      </w:r>
      <w:r>
        <w:t xml:space="preserve">: texto de la pregunta de satisfacción (0-10 más comentario) que recibe el cliente cuando su negocio pasa a "ganada".</w:t>
      </w:r>
    </w:p>
    <w:p>
      <w:pPr>
        <w:pStyle w:val="ListParagraph"/>
        <w:numPr>
          <w:ilvl w:val="0"/>
          <w:numId w:val="2"/>
        </w:numPr>
        <w:spacing w:after="60"/>
      </w:pPr>
      <w:r>
        <w:rPr>
          <w:b/>
          <w:bCs/>
        </w:rPr>
        <w:t xml:space="preserve">Avisar novedades</w:t>
      </w:r>
      <w:r>
        <w:t xml:space="preserve"> (v1.24): redactar un título y una lista de cambios (uno por línea) y enviarlos por correo a todos los usuarios activos con correo — mismo público que el informe diario (§5.13). Se usa cada vez que se promueve un conjunto de cambios a producción, para avisar en lenguaje simple qué cambió.</w:t>
      </w:r>
    </w:p>
    <w:p>
      <w:pPr>
        <w:pStyle w:val="Heading2"/>
        <w:spacing w:after="120" w:before="260"/>
      </w:pPr>
      <w:r>
        <w:t xml:space="preserve">5.13 Informe diario por correo (v1.20)</w:t>
      </w:r>
    </w:p>
    <w:p>
      <w:pPr>
        <w:spacing w:after="140"/>
      </w:pPr>
      <w:r>
        <w:t xml:space="preserve">No es una pantalla del CRM: todos los usuarios activos reciben, a las 8:00 AM hora de Chile, un correo automático con las cotizaciones generadas y los negocios ganados el día anterior (de ambos pipelines), con dos CSV adjuntos para el detalle. Cada cotización cuenta solo su última versión, igual que "Cotizaciones por día" (§5.11). El sistema no lo reenvía dos veces el mismo día.</w:t>
      </w:r>
    </w:p>
    <w:p>
      <w:pPr>
        <w:spacing w:after="140"/>
      </w:pPr>
      <w:r>
        <w:t xml:space="preserve">Es una alternativa práctica al acceso de solo lectura para BI externo (§5.11) cuando conectar una herramienta de BI directamente a la base de datos no es viable por restricciones de red de la empresa.</w:t>
      </w:r>
    </w:p>
    <w:p>
      <w:pPr>
        <w:pStyle w:val="Heading1"/>
        <w:spacing w:after="160" w:before="320"/>
      </w:pPr>
      <w:r>
        <w:t xml:space="preserve">6. Referencias</w:t>
      </w:r>
    </w:p>
    <w:p>
      <w:pPr>
        <w:spacing w:after="140"/>
      </w:pPr>
      <w:r>
        <w:t xml:space="preserve">Este manual se complementa con los siguientes documentos, disponibles en SharePoint (Documentos Gestión Hidrotecnica):</w:t>
      </w:r>
    </w:p>
    <w:p>
      <w:pPr>
        <w:pStyle w:val="ListParagraph"/>
        <w:numPr>
          <w:ilvl w:val="0"/>
          <w:numId w:val="2"/>
        </w:numPr>
        <w:spacing w:after="60"/>
      </w:pPr>
      <w:r>
        <w:t xml:space="preserve">HT-AP-03 — Documento consolidado del CRM Comercial (visión general del proyecto, arquitectura y decisiones de diseño).</w:t>
      </w:r>
    </w:p>
    <w:p>
      <w:pPr>
        <w:pStyle w:val="ListParagraph"/>
        <w:numPr>
          <w:ilvl w:val="0"/>
          <w:numId w:val="2"/>
        </w:numPr>
        <w:spacing w:after="60"/>
      </w:pPr>
      <w:r>
        <w:t xml:space="preserve">HT-PL-05 — Estándar de Desarrollo para Nuevas Aplicaciones Internas.</w:t>
      </w:r>
    </w:p>
    <w:p>
      <w:pPr>
        <w:spacing w:after="140"/>
      </w:pPr>
      <w:r>
        <w:t xml:space="preserve">Este manual no cubre plantillas de mensajes de WhatsApp para clientes fuera de la ventana de 24 horas: esa función está pendiente de habilitarse (ver nota de cambio v1.8, §7) y se documentará por separado cuando esté disponible.</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i/>
        <w:iCs/>
        <w:color w:val="555555"/>
        <w:sz w:val="16"/>
        <w:szCs w:val="16"/>
      </w:rPr>
      <w:t xml:space="preserve">Uso interno</w:t>
    </w:r>
    <w:r>
      <w:rPr>
        <w:color w:val="555555"/>
        <w:sz w:val="16"/>
        <w:szCs w:val="16"/>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2548" w:sz="6" w:space="4"/>
      </w:pBdr>
      <w:tabs>
        <w:tab w:val="right" w:pos="9026"/>
      </w:tabs>
    </w:pPr>
    <w:r>
      <w:rPr>
        <w:b/>
        <w:bCs/>
        <w:color w:val="112548"/>
        <w:sz w:val="20"/>
        <w:szCs w:val="20"/>
      </w:rPr>
      <w:t xml:space="preserve">HIDROTÉCNICA</w:t>
    </w:r>
    <w:r>
      <w:rPr>
        <w:color w:val="555555"/>
        <w:sz w:val="18"/>
        <w:szCs w:val="18"/>
      </w:rPr>
      <w:t xml:space="preserve">	HT-IN-05 · v06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12548"/>
      <w:sz w:val="30"/>
      <w:szCs w:val="30"/>
    </w:rPr>
  </w:style>
  <w:style w:type="paragraph" w:styleId="Heading2">
    <w:name w:val="Heading 2"/>
    <w:basedOn w:val="Normal"/>
    <w:next w:val="Normal"/>
    <w:qFormat/>
    <w:pPr>
      <w:spacing w:after="120" w:before="260"/>
    </w:pPr>
    <w:rPr>
      <w:b/>
      <w:bCs/>
      <w:color w:val="112548"/>
      <w:sz w:val="26"/>
      <w:szCs w:val="26"/>
    </w:rPr>
  </w:style>
  <w:style w:type="paragraph" w:styleId="Heading3">
    <w:name w:val="Heading 3"/>
    <w:basedOn w:val="Normal"/>
    <w:next w:val="Normal"/>
    <w:qFormat/>
    <w:pPr>
      <w:spacing w:after="100" w:before="200"/>
    </w:pPr>
    <w:rPr>
      <w:b/>
      <w:bCs/>
      <w:color w:val="34B3DE"/>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endnotes" Target="endnotes.xml"/><Relationship Id="rId9" Type="http://schemas.openxmlformats.org/officeDocument/2006/relationships/footer" Target="footer1.xml"/><Relationship Id="rId14" Type="http://schemas.openxmlformats.org/officeDocument/2006/relationships/customXml" Target="../customXml/item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30112DE281BF43B0F21AEEE1373BC6" ma:contentTypeVersion="12" ma:contentTypeDescription="Crear nuevo documento." ma:contentTypeScope="" ma:versionID="9ce18751d9fd7d048f25ecd8a1e56879">
  <xsd:schema xmlns:xsd="http://www.w3.org/2001/XMLSchema" xmlns:xs="http://www.w3.org/2001/XMLSchema" xmlns:p="http://schemas.microsoft.com/office/2006/metadata/properties" xmlns:ns2="7b820798-fe67-4227-a053-5459e5319d19" xmlns:ns3="ccbee4e3-81df-464c-9f54-e29a5fa7c4db" targetNamespace="http://schemas.microsoft.com/office/2006/metadata/properties" ma:root="true" ma:fieldsID="fe60c90fd228d3cb345e52cdb7c65940" ns2:_="" ns3:_="">
    <xsd:import namespace="7b820798-fe67-4227-a053-5459e5319d19"/>
    <xsd:import namespace="ccbee4e3-81df-464c-9f54-e29a5fa7c4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820798-fe67-4227-a053-5459e5319d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59e6503d-5cf0-44c6-ba94-cc3a6bba969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cbee4e3-81df-464c-9f54-e29a5fa7c4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da29d35-3c84-4ca2-a127-09517b682dc3}" ma:internalName="TaxCatchAll" ma:showField="CatchAllData" ma:web="ccbee4e3-81df-464c-9f54-e29a5fa7c4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820798-fe67-4227-a053-5459e5319d19">
      <Terms xmlns="http://schemas.microsoft.com/office/infopath/2007/PartnerControls"/>
    </lcf76f155ced4ddcb4097134ff3c332f>
    <TaxCatchAll xmlns="ccbee4e3-81df-464c-9f54-e29a5fa7c4db" xsi:nil="true"/>
  </documentManagement>
</p:properties>
</file>

<file path=customXml/itemProps1.xml><?xml version="1.0" encoding="utf-8"?>
<ds:datastoreItem xmlns:ds="http://schemas.openxmlformats.org/officeDocument/2006/customXml" ds:itemID="{365D6A90-EE4C-493D-AD89-99D7364D7B02}"/>
</file>

<file path=customXml/itemProps2.xml><?xml version="1.0" encoding="utf-8"?>
<ds:datastoreItem xmlns:ds="http://schemas.openxmlformats.org/officeDocument/2006/customXml" ds:itemID="{FBC88DB4-07AA-4C79-8294-5558FB93515F}"/>
</file>

<file path=customXml/itemProps3.xml><?xml version="1.0" encoding="utf-8"?>
<ds:datastoreItem xmlns:ds="http://schemas.openxmlformats.org/officeDocument/2006/customXml" ds:itemID="{9AA249DE-CA81-4D7C-8D2D-E3DF736D2DC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2026-08-07T16:07:31Z</dcterms:created>
  <dcterms:modified xsi:type="dcterms:W3CDTF">2026-08-07T16:07:31Z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0x010100AA30112DE281BF43B0F21AEEE1373BC6</vt:lpwstr>
  </property>
</Properties>
</file>