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34B3DE"/>
          <w:sz w:val="20"/>
          <w:szCs w:val="20"/>
        </w:rPr>
        <w:t xml:space="preserve">HIDROTÉCNICA SpA</w:t>
      </w:r>
    </w:p>
    <w:p>
      <w:pPr>
        <w:spacing w:after="80"/>
      </w:pPr>
      <w:r>
        <w:rPr>
          <w:rFonts w:ascii="Calibri" w:cs="Calibri" w:eastAsia="Calibri" w:hAnsi="Calibri"/>
          <w:b/>
          <w:bCs/>
          <w:color w:val="112548"/>
          <w:sz w:val="40"/>
          <w:szCs w:val="40"/>
        </w:rPr>
        <w:t xml:space="preserve">HT-AP-03 · Hoja de actualización v1.42</w:t>
      </w:r>
    </w:p>
    <w:p>
      <w:pPr>
        <w:spacing w:after="200"/>
      </w:pPr>
      <w:r>
        <w:rPr>
          <w:rFonts w:ascii="Calibri" w:cs="Calibri" w:eastAsia="Calibri" w:hAnsi="Calibri"/>
          <w:color w:val="555555"/>
          <w:sz w:val="24"/>
          <w:szCs w:val="24"/>
        </w:rPr>
        <w:t xml:space="preserve">CRM Comercial Hidrotécnica — respuesta del cliente por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12548" w:color="auto" w:val="clear"/>
            <w:tcMar>
              <w:top w:type="dxa" w:w="60"/>
              <w:left w:type="dxa" w:w="100"/>
              <w:bottom w:type="dxa" w:w="60"/>
              <w:right w:type="dxa" w:w="100"/>
            </w:tcMar>
          </w:tcPr>
          <w:p>
            <w:r>
              <w:rPr>
                <w:rFonts w:ascii="Calibri" w:cs="Calibri" w:eastAsia="Calibri" w:hAnsi="Calibri"/>
                <w:b/>
                <w:bCs/>
                <w:color w:val="FFFFFF"/>
                <w:sz w:val="20"/>
                <w:szCs w:val="20"/>
              </w:rPr>
              <w:t xml:space="preserve">Dato</w:t>
            </w:r>
          </w:p>
        </w:tc>
        <w:tc>
          <w:tcPr>
            <w:tcW w:type="dxa" w:w="6760"/>
            <w:tcBorders>
              <w:top w:val="single" w:color="BFBFBF" w:sz="4"/>
              <w:left w:val="single" w:color="BFBFBF" w:sz="4"/>
              <w:bottom w:val="single" w:color="BFBFBF" w:sz="4"/>
              <w:right w:val="single" w:color="BFBFBF" w:sz="4"/>
            </w:tcBorders>
            <w:shd w:fill="112548"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Documento a actualizar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HT-AP-03 Documento Consolidado CRM Comercial Hidrotécnica, v1.40 (01-10-2026)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Cambio que se incorpora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Nota de cambio v1.42 — respuesta del cliente por WhatsApp a un negocio en seguimiento (07-10-2026)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Estado del cambio</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Implementado y probado en staging. Aplicar esta actualización cuando se promueva a producción.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Clasificación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Uso interno</w:t>
            </w:r>
          </w:p>
        </w:tc>
      </w:tr>
    </w:tbl>
    <w:p>
      <w:pPr>
        <w:spacing w:after="120"/>
      </w:pPr>
      <w:r>
        <w:rPr>
          <w:rFonts w:ascii="Calibri" w:cs="Calibri" w:eastAsia="Calibri" w:hAnsi="Calibri"/>
          <w:i/>
          <w:iCs/>
          <w:color w:val="555555"/>
          <w:sz w:val="20"/>
          <w:szCs w:val="20"/>
        </w:rPr>
        <w:t xml:space="preserve">Este documento contiene solo el texto nuevo, con el lugar donde se inserta en el consolidado vigente (que ya lleva logo, encabezado y numeración). La nota de cambio v1.41 (integración con Mantenimiento) no está incluida; hay que sumarla al consolidar.</w:t>
      </w:r>
    </w:p>
    <w:p>
      <w:pPr>
        <w:pStyle w:val="Heading1"/>
        <w:pBdr>
          <w:bottom w:val="single" w:color="34B3DE" w:sz="8" w:space="2"/>
        </w:pBdr>
        <w:spacing w:after="120" w:before="280"/>
      </w:pPr>
      <w:r>
        <w:rPr>
          <w:rFonts w:ascii="Calibri" w:cs="Calibri" w:eastAsia="Calibri" w:hAnsi="Calibri"/>
          <w:b/>
          <w:bCs/>
          <w:color w:val="112548"/>
          <w:sz w:val="28"/>
          <w:szCs w:val="28"/>
        </w:rPr>
        <w:t xml:space="preserve">1. Control de versiones — fila nueva</w:t>
      </w:r>
    </w:p>
    <w:p>
      <w:pPr>
        <w:spacing w:after="120"/>
      </w:pPr>
      <w:r>
        <w:rPr>
          <w:rFonts w:ascii="Calibri" w:cs="Calibri" w:eastAsia="Calibri" w:hAnsi="Calibri"/>
          <w:sz w:val="22"/>
          <w:szCs w:val="22"/>
        </w:rPr>
        <w:t xml:space="preserve">Agregar al final de la tabla de la página 2, y ajustar versión, fecha de vigencia y próxima revisión de la portada según la numeración que se asigne al consolidar: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5160"/>
        <w:gridCol w:w="1600"/>
      </w:tblGrid>
      <w:tr>
        <w:trPr>
          <w:tblHeader/>
        </w:trPr>
        <w:tc>
          <w:tcPr>
            <w:tcW w:type="dxa" w:w="1100"/>
            <w:tcBorders>
              <w:top w:val="single" w:color="BFBFBF" w:sz="4"/>
              <w:left w:val="single" w:color="BFBFBF" w:sz="4"/>
              <w:bottom w:val="single" w:color="BFBFBF" w:sz="4"/>
              <w:right w:val="single" w:color="BFBFBF" w:sz="4"/>
            </w:tcBorders>
            <w:shd w:fill="112548" w:color="auto" w:val="clear"/>
            <w:tcMar>
              <w:top w:type="dxa" w:w="60"/>
              <w:left w:type="dxa" w:w="100"/>
              <w:bottom w:type="dxa" w:w="60"/>
              <w:right w:type="dxa" w:w="100"/>
            </w:tcMar>
          </w:tcPr>
          <w:p>
            <w:r>
              <w:rPr>
                <w:rFonts w:ascii="Calibri" w:cs="Calibri" w:eastAsia="Calibri" w:hAnsi="Calibri"/>
                <w:b/>
                <w:bCs/>
                <w:color w:val="FFFFFF"/>
                <w:sz w:val="20"/>
                <w:szCs w:val="20"/>
              </w:rPr>
              <w:t xml:space="preserve">Versión</w:t>
            </w:r>
          </w:p>
        </w:tc>
        <w:tc>
          <w:tcPr>
            <w:tcW w:type="dxa" w:w="1500"/>
            <w:tcBorders>
              <w:top w:val="single" w:color="BFBFBF" w:sz="4"/>
              <w:left w:val="single" w:color="BFBFBF" w:sz="4"/>
              <w:bottom w:val="single" w:color="BFBFBF" w:sz="4"/>
              <w:right w:val="single" w:color="BFBFBF" w:sz="4"/>
            </w:tcBorders>
            <w:shd w:fill="112548" w:color="auto" w:val="clear"/>
            <w:tcMar>
              <w:top w:type="dxa" w:w="60"/>
              <w:left w:type="dxa" w:w="100"/>
              <w:bottom w:type="dxa" w:w="60"/>
              <w:right w:type="dxa" w:w="100"/>
            </w:tcMar>
          </w:tcPr>
          <w:p>
            <w:r>
              <w:rPr>
                <w:rFonts w:ascii="Calibri" w:cs="Calibri" w:eastAsia="Calibri" w:hAnsi="Calibri"/>
                <w:b/>
                <w:bCs/>
                <w:color w:val="FFFFFF"/>
                <w:sz w:val="20"/>
                <w:szCs w:val="20"/>
              </w:rPr>
              <w:t xml:space="preserve">Fecha</w:t>
            </w:r>
          </w:p>
        </w:tc>
        <w:tc>
          <w:tcPr>
            <w:tcW w:type="dxa" w:w="5160"/>
            <w:tcBorders>
              <w:top w:val="single" w:color="BFBFBF" w:sz="4"/>
              <w:left w:val="single" w:color="BFBFBF" w:sz="4"/>
              <w:bottom w:val="single" w:color="BFBFBF" w:sz="4"/>
              <w:right w:val="single" w:color="BFBFBF" w:sz="4"/>
            </w:tcBorders>
            <w:shd w:fill="112548" w:color="auto" w:val="clear"/>
            <w:tcMar>
              <w:top w:type="dxa" w:w="60"/>
              <w:left w:type="dxa" w:w="100"/>
              <w:bottom w:type="dxa" w:w="60"/>
              <w:right w:type="dxa" w:w="100"/>
            </w:tcMar>
          </w:tcPr>
          <w:p>
            <w:r>
              <w:rPr>
                <w:rFonts w:ascii="Calibri" w:cs="Calibri" w:eastAsia="Calibri" w:hAnsi="Calibri"/>
                <w:b/>
                <w:bCs/>
                <w:color w:val="FFFFFF"/>
                <w:sz w:val="20"/>
                <w:szCs w:val="20"/>
              </w:rPr>
              <w:t xml:space="preserve">Descripción del cambio</w:t>
            </w:r>
          </w:p>
        </w:tc>
        <w:tc>
          <w:tcPr>
            <w:tcW w:type="dxa" w:w="1600"/>
            <w:tcBorders>
              <w:top w:val="single" w:color="BFBFBF" w:sz="4"/>
              <w:left w:val="single" w:color="BFBFBF" w:sz="4"/>
              <w:bottom w:val="single" w:color="BFBFBF" w:sz="4"/>
              <w:right w:val="single" w:color="BFBFBF" w:sz="4"/>
            </w:tcBorders>
            <w:shd w:fill="112548" w:color="auto" w:val="clear"/>
            <w:tcMar>
              <w:top w:type="dxa" w:w="60"/>
              <w:left w:type="dxa" w:w="100"/>
              <w:bottom w:type="dxa" w:w="60"/>
              <w:right w:type="dxa" w:w="100"/>
            </w:tcMar>
          </w:tcPr>
          <w:p>
            <w:r>
              <w:rPr>
                <w:rFonts w:ascii="Calibri" w:cs="Calibri" w:eastAsia="Calibri" w:hAnsi="Calibri"/>
                <w:b/>
                <w:bCs/>
                <w:color w:val="FFFFFF"/>
                <w:sz w:val="20"/>
                <w:szCs w:val="20"/>
              </w:rPr>
              <w:t xml:space="preserve">Autor</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v1.42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07-10-2026</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Incorpora la nota de cambio v1.42: la respuesta del cliente por WhatsApp pausa la secuencia de seguimiento, mueve el negocio a Negociación o a Perdido (rechazo claro) o avisa al vendedor. Detalle en §8 y §11.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Luis Devoto / Claude (IA)</w:t>
            </w:r>
          </w:p>
        </w:tc>
      </w:tr>
    </w:tbl>
    <w:p>
      <w:pPr>
        <w:pStyle w:val="Heading1"/>
        <w:pBdr>
          <w:bottom w:val="single" w:color="34B3DE" w:sz="8" w:space="2"/>
        </w:pBdr>
        <w:spacing w:after="120" w:before="280"/>
      </w:pPr>
      <w:r>
        <w:rPr>
          <w:rFonts w:ascii="Calibri" w:cs="Calibri" w:eastAsia="Calibri" w:hAnsi="Calibri"/>
          <w:b/>
          <w:bCs/>
          <w:color w:val="112548"/>
          <w:sz w:val="28"/>
          <w:szCs w:val="28"/>
        </w:rPr>
        <w:t xml:space="preserve">2. §8 Motor de seguimiento — reemplazar la frase sobre respuestas</w:t>
      </w:r>
    </w:p>
    <w:p>
      <w:pPr>
        <w:spacing w:after="120"/>
      </w:pPr>
      <w:r>
        <w:rPr>
          <w:rFonts w:ascii="Calibri" w:cs="Calibri" w:eastAsia="Calibri" w:hAnsi="Calibri"/>
          <w:b/>
          <w:bCs/>
          <w:sz w:val="22"/>
          <w:szCs w:val="22"/>
        </w:rPr>
        <w:t xml:space="preserve">Buscar el texto actual: </w:t>
      </w:r>
      <w:r>
        <w:rPr>
          <w:rFonts w:ascii="Calibri" w:cs="Calibri" w:eastAsia="Calibri" w:hAnsi="Calibri"/>
          <w:sz w:val="22"/>
          <w:szCs w:val="22"/>
        </w:rPr>
        <w:t xml:space="preserve">"el sistema no detecta solo las respuestas por correo ni por WhatsApp" (si el consolidado lo repite en la descripción de "Cuándo se detiene").</w:t>
      </w:r>
    </w:p>
    <w:p>
      <w:pPr>
        <w:spacing w:after="120"/>
      </w:pPr>
      <w:r>
        <w:rPr>
          <w:rFonts w:ascii="Calibri" w:cs="Calibri" w:eastAsia="Calibri" w:hAnsi="Calibri"/>
          <w:b/>
          <w:bCs/>
          <w:sz w:val="22"/>
          <w:szCs w:val="22"/>
        </w:rPr>
        <w:t xml:space="preserve">Reemplazar por: </w:t>
      </w:r>
      <w:r>
        <w:rPr>
          <w:rFonts w:ascii="Calibri" w:cs="Calibri" w:eastAsia="Calibri" w:hAnsi="Calibri"/>
          <w:sz w:val="22"/>
          <w:szCs w:val="22"/>
        </w:rPr>
        <w:t xml:space="preserve">"el sistema no detecta solo las respuestas por correo. Las respuestas por WhatsApp sí se detectan (v1.42, ver §11): pausan la secuencia y mueven el negocio según se describe ahí."</w:t>
      </w:r>
    </w:p>
    <w:p>
      <w:pPr>
        <w:pStyle w:val="Heading1"/>
        <w:pBdr>
          <w:bottom w:val="single" w:color="34B3DE" w:sz="8" w:space="2"/>
        </w:pBdr>
        <w:spacing w:after="120" w:before="280"/>
      </w:pPr>
      <w:r>
        <w:rPr>
          <w:rFonts w:ascii="Calibri" w:cs="Calibri" w:eastAsia="Calibri" w:hAnsi="Calibri"/>
          <w:b/>
          <w:bCs/>
          <w:color w:val="112548"/>
          <w:sz w:val="28"/>
          <w:szCs w:val="28"/>
        </w:rPr>
        <w:t xml:space="preserve">3. §11 WhatsApp — subsección nueva</w:t>
      </w:r>
    </w:p>
    <w:p>
      <w:pPr>
        <w:spacing w:after="120"/>
      </w:pPr>
      <w:r>
        <w:rPr>
          <w:rFonts w:ascii="Calibri" w:cs="Calibri" w:eastAsia="Calibri" w:hAnsi="Calibri"/>
          <w:b/>
          <w:bCs/>
          <w:sz w:val="22"/>
          <w:szCs w:val="22"/>
        </w:rPr>
        <w:t xml:space="preserve">Insertar después de </w:t>
      </w:r>
      <w:r>
        <w:rPr>
          <w:rFonts w:ascii="Calibri" w:cs="Calibri" w:eastAsia="Calibri" w:hAnsi="Calibri"/>
          <w:sz w:val="22"/>
          <w:szCs w:val="22"/>
        </w:rPr>
        <w:t xml:space="preserve">la subsección que describe las respuestas de botones del seguimiento de cotización y la encuesta de causa de no cierre (14-09-2026).</w:t>
      </w:r>
    </w:p>
    <w:p>
      <w:pPr>
        <w:pStyle w:val="Heading2"/>
        <w:spacing w:after="80" w:before="200"/>
      </w:pPr>
      <w:r>
        <w:rPr>
          <w:rFonts w:ascii="Calibri" w:cs="Calibri" w:eastAsia="Calibri" w:hAnsi="Calibri"/>
          <w:b/>
          <w:bCs/>
          <w:color w:val="112548"/>
          <w:sz w:val="24"/>
          <w:szCs w:val="24"/>
        </w:rPr>
        <w:t xml:space="preserve">Respuesta del cliente a un negocio en seguimiento (v1.42, 07-10-2026)</w:t>
      </w:r>
    </w:p>
    <w:p>
      <w:pPr>
        <w:spacing w:after="120"/>
      </w:pPr>
      <w:r>
        <w:rPr>
          <w:rFonts w:ascii="Calibri" w:cs="Calibri" w:eastAsia="Calibri" w:hAnsi="Calibri"/>
          <w:sz w:val="22"/>
          <w:szCs w:val="22"/>
        </w:rPr>
        <w:t xml:space="preserve">Hasta la v1.40, solo el toque de un botón de la plantilla "Seguimiento de cotización" actuaba sobre el negocio. Una respuesta escrita a mano, o el botón de otra plantilla, quedaba solo en la Bandeja y la secuencia seguía enviando recordatorios.</w:t>
      </w:r>
    </w:p>
    <w:p>
      <w:pPr>
        <w:spacing w:after="120"/>
      </w:pPr>
      <w:r>
        <w:rPr>
          <w:rFonts w:ascii="Calibri" w:cs="Calibri" w:eastAsia="Calibri" w:hAnsi="Calibri"/>
          <w:sz w:val="22"/>
          <w:szCs w:val="22"/>
        </w:rPr>
        <w:t xml:space="preserve">Desde la v1.42, todo mensaje entrante en la cuenta de Ventas de un contacto con negocios abiertos en la etapa Cotizado, o con una secuencia de seguimiento activa, se procesa así (servicio respuestaCliente.js). Se excluyen las reacciones con emoji y las solicitudes de eliminación de datos de la Ley 21.719, que revisa una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12548" w:color="auto" w:val="clear"/>
            <w:tcMar>
              <w:top w:type="dxa" w:w="60"/>
              <w:left w:type="dxa" w:w="100"/>
              <w:bottom w:type="dxa" w:w="60"/>
              <w:right w:type="dxa" w:w="100"/>
            </w:tcMar>
          </w:tcPr>
          <w:p>
            <w:r>
              <w:rPr>
                <w:rFonts w:ascii="Calibri" w:cs="Calibri" w:eastAsia="Calibri" w:hAnsi="Calibri"/>
                <w:b/>
                <w:bCs/>
                <w:color w:val="FFFFFF"/>
                <w:sz w:val="20"/>
                <w:szCs w:val="20"/>
              </w:rPr>
              <w:t xml:space="preserve">Situación</w:t>
            </w:r>
          </w:p>
        </w:tc>
        <w:tc>
          <w:tcPr>
            <w:tcW w:type="dxa" w:w="6060"/>
            <w:tcBorders>
              <w:top w:val="single" w:color="BFBFBF" w:sz="4"/>
              <w:left w:val="single" w:color="BFBFBF" w:sz="4"/>
              <w:bottom w:val="single" w:color="BFBFBF" w:sz="4"/>
              <w:right w:val="single" w:color="BFBFBF" w:sz="4"/>
            </w:tcBorders>
            <w:shd w:fill="112548" w:color="auto" w:val="clear"/>
            <w:tcMar>
              <w:top w:type="dxa" w:w="60"/>
              <w:left w:type="dxa" w:w="100"/>
              <w:bottom w:type="dxa" w:w="60"/>
              <w:right w:type="dxa" w:w="100"/>
            </w:tcMar>
          </w:tcPr>
          <w:p>
            <w:r>
              <w:rPr>
                <w:rFonts w:ascii="Calibri" w:cs="Calibri" w:eastAsia="Calibri" w:hAnsi="Calibri"/>
                <w:b/>
                <w:bCs/>
                <w:color w:val="FFFFFF"/>
                <w:sz w:val="20"/>
                <w:szCs w:val="20"/>
              </w:rPr>
              <w:t xml:space="preserve">Resultado</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Cualquier respuesta</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 pausa la secuencia activa del negocio, con el motivo "Cliente respondió".</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Rechazo claro y un solo negocio en seguimiento</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El negocio pasa a la etapa de pérdida y se envía la encuesta de causa de no cierre por WhatsApp, igual que con el botón "No realizaré la compra". El texto del cliente queda en el detalle de la causa.</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Rechazo claro y varios negocios en seguimiento</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 se mueve ninguno. Tarea al vendedor: "Rechazo del cliente por WhatsApp: elegir negocio".</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Otra respuesta y un solo negocio en Cotizado</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Pasa a Negociación, con el mismo efecto que mover la tarjeta a mano (historial, línea de tiempo y secuencias de la etapa).</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Otra respuesta y varios negocios en Cotizado</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 se mueve ninguno. Tarea al vendedor: "Cliente respondió por WhatsApp: elegir negocio".</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El pipeline no tiene etapa "Negociación" activa</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 se mueve. Tarea "Cliente respondió por WhatsApp".</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El pipeline no tiene etapa de pérdida</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 se mueve. Tarea "Rechazo del cliente por WhatsApp".</w:t>
            </w:r>
          </w:p>
        </w:tc>
      </w:tr>
    </w:tbl>
    <w:p>
      <w:pPr>
        <w:spacing w:after="120"/>
      </w:pPr>
      <w:r>
        <w:rPr>
          <w:rFonts w:ascii="Calibri" w:cs="Calibri" w:eastAsia="Calibri" w:hAnsi="Calibri"/>
          <w:sz w:val="22"/>
          <w:szCs w:val="22"/>
        </w:rPr>
        <w:t xml:space="preserve"/>
      </w:r>
    </w:p>
    <w:p>
      <w:pPr>
        <w:pStyle w:val="ListParagraph"/>
        <w:numPr>
          <w:ilvl w:val="0"/>
          <w:numId w:val="2"/>
        </w:numPr>
        <w:spacing w:after="80"/>
      </w:pPr>
      <w:r>
        <w:rPr>
          <w:rFonts w:ascii="Calibri" w:cs="Calibri" w:eastAsia="Calibri" w:hAnsi="Calibri"/>
          <w:sz w:val="22"/>
          <w:szCs w:val="22"/>
        </w:rPr>
        <w:t xml:space="preserve">Cada acción queda en la línea de tiempo del negocio.</w:t>
      </w:r>
    </w:p>
    <w:p>
      <w:pPr>
        <w:pStyle w:val="ListParagraph"/>
        <w:numPr>
          <w:ilvl w:val="0"/>
          <w:numId w:val="2"/>
        </w:numPr>
        <w:spacing w:after="80"/>
      </w:pPr>
      <w:r>
        <w:rPr>
          <w:rFonts w:ascii="Calibri" w:cs="Calibri" w:eastAsia="Calibri" w:hAnsi="Calibri"/>
          <w:sz w:val="22"/>
          <w:szCs w:val="22"/>
        </w:rPr>
        <w:t xml:space="preserve">La tarea se asigna al vendedor del negocio o, si no tiene, al del contacto. Si ninguno tiene vendedor, solo queda el evento en la línea de tiempo. No se repite una tarea pendiente igual para el mismo contacto y vendedor.</w:t>
      </w:r>
    </w:p>
    <w:p>
      <w:pPr>
        <w:pStyle w:val="ListParagraph"/>
        <w:numPr>
          <w:ilvl w:val="0"/>
          <w:numId w:val="2"/>
        </w:numPr>
        <w:spacing w:after="80"/>
      </w:pPr>
      <w:r>
        <w:rPr>
          <w:rFonts w:ascii="Calibri" w:cs="Calibri" w:eastAsia="Calibri" w:hAnsi="Calibri"/>
          <w:sz w:val="22"/>
          <w:szCs w:val="22"/>
        </w:rPr>
        <w:t xml:space="preserve">Si la etapa Negociación tiene una secuencia propia, se activa al mover el negocio y queda pausada, porque el cliente acaba de responder. La secuencia pausada se reactiva desde la ficha del negocio, panel "Seguimiento".</w:t>
      </w:r>
    </w:p>
    <w:p>
      <w:pPr>
        <w:pStyle w:val="ListParagraph"/>
        <w:numPr>
          <w:ilvl w:val="0"/>
          <w:numId w:val="2"/>
        </w:numPr>
        <w:spacing w:after="80"/>
      </w:pPr>
      <w:r>
        <w:rPr>
          <w:rFonts w:ascii="Calibri" w:cs="Calibri" w:eastAsia="Calibri" w:hAnsi="Calibri"/>
          <w:sz w:val="22"/>
          <w:szCs w:val="22"/>
        </w:rPr>
        <w:t xml:space="preserve">Los botones "No realizaré la compra" y "Necesito más información" de la plantilla "Seguimiento de cotización" mantienen su comportamiento y tienen prioridad.</w:t>
      </w:r>
    </w:p>
    <w:p>
      <w:pPr>
        <w:pStyle w:val="ListParagraph"/>
        <w:numPr>
          <w:ilvl w:val="0"/>
          <w:numId w:val="2"/>
        </w:numPr>
        <w:spacing w:after="80"/>
      </w:pPr>
      <w:r>
        <w:rPr>
          <w:rFonts w:ascii="Calibri" w:cs="Calibri" w:eastAsia="Calibri" w:hAnsi="Calibri"/>
          <w:sz w:val="22"/>
          <w:szCs w:val="22"/>
        </w:rPr>
        <w:t xml:space="preserve">Un error en esta lógica no impide que el mensaje se registre en la Bandeja.</w:t>
      </w:r>
    </w:p>
    <w:p>
      <w:pPr>
        <w:pStyle w:val="Heading2"/>
        <w:spacing w:after="80" w:before="200"/>
      </w:pPr>
      <w:r>
        <w:rPr>
          <w:rFonts w:ascii="Calibri" w:cs="Calibri" w:eastAsia="Calibri" w:hAnsi="Calibri"/>
          <w:b/>
          <w:bCs/>
          <w:color w:val="112548"/>
          <w:sz w:val="24"/>
          <w:szCs w:val="24"/>
        </w:rPr>
        <w:t xml:space="preserve">Detección de rechazo</w:t>
      </w:r>
    </w:p>
    <w:p>
      <w:pPr>
        <w:spacing w:after="120"/>
      </w:pPr>
      <w:r>
        <w:rPr>
          <w:rFonts w:ascii="Calibri" w:cs="Calibri" w:eastAsia="Calibri" w:hAnsi="Calibri"/>
          <w:sz w:val="22"/>
          <w:szCs w:val="22"/>
        </w:rPr>
        <w:t xml:space="preserve">El sistema compara el texto, sin tildes ni mayúsculas, con una lista fija de frases, solo en mensajes de hasta 300 caracteres. Detecta, por ejemplo, "no realizaré la compra", "ya no me interesa", "decidimos no continuar", "ya compramos en otro lado", "desisto" y "no gracias". No detecta un "no" suelto ni dudas como "no sé si me llegó la cotización". No interpreta el sentido del mensaje.</w:t>
      </w:r>
    </w:p>
    <w:p>
      <w:pPr>
        <w:spacing w:after="120"/>
      </w:pPr>
      <w:r>
        <w:rPr>
          <w:rFonts w:ascii="Calibri" w:cs="Calibri" w:eastAsia="Calibri" w:hAnsi="Calibri"/>
          <w:b/>
          <w:bCs/>
          <w:sz w:val="22"/>
          <w:szCs w:val="22"/>
        </w:rPr>
        <w:t xml:space="preserve">Decisión de Luis Devoto (07-10-2026): </w:t>
      </w:r>
      <w:r>
        <w:rPr>
          <w:rFonts w:ascii="Calibri" w:cs="Calibri" w:eastAsia="Calibri" w:hAnsi="Calibri"/>
          <w:sz w:val="22"/>
          <w:szCs w:val="22"/>
        </w:rPr>
        <w:t xml:space="preserve">un rechazo claro cierra el negocio sin confirmación humana. Riesgo aceptado: una frase que parezca rechazo sin serlo deja un negocio abierto en Perdido, y se corrige moviéndolo de vuelta a mano. Una frase de rechazo que no esté en la lista se trata como respuesta normal.</w:t>
      </w:r>
    </w:p>
    <w:p>
      <w:pPr>
        <w:pStyle w:val="Heading1"/>
        <w:pBdr>
          <w:bottom w:val="single" w:color="34B3DE" w:sz="8" w:space="2"/>
        </w:pBdr>
        <w:spacing w:after="120" w:before="280"/>
      </w:pPr>
      <w:r>
        <w:rPr>
          <w:rFonts w:ascii="Calibri" w:cs="Calibri" w:eastAsia="Calibri" w:hAnsi="Calibri"/>
          <w:b/>
          <w:bCs/>
          <w:color w:val="112548"/>
          <w:sz w:val="28"/>
          <w:szCs w:val="28"/>
        </w:rPr>
        <w:t xml:space="preserve">4. §16 Pendientes abiertos — agregar</w:t>
      </w:r>
    </w:p>
    <w:p>
      <w:pPr>
        <w:pStyle w:val="ListParagraph"/>
        <w:numPr>
          <w:ilvl w:val="0"/>
          <w:numId w:val="2"/>
        </w:numPr>
        <w:spacing w:after="80"/>
      </w:pPr>
      <w:r>
        <w:rPr>
          <w:rFonts w:ascii="Calibri" w:cs="Calibri" w:eastAsia="Calibri" w:hAnsi="Calibri"/>
          <w:sz w:val="22"/>
          <w:szCs w:val="22"/>
        </w:rPr>
        <w:t xml:space="preserve">Promover la v1.42 a producción (hoy solo en staging) y actualizar el Manual de usuario HT-IN-05.</w:t>
      </w:r>
    </w:p>
    <w:p>
      <w:pPr>
        <w:pStyle w:val="ListParagraph"/>
        <w:numPr>
          <w:ilvl w:val="0"/>
          <w:numId w:val="2"/>
        </w:numPr>
        <w:spacing w:after="80"/>
      </w:pPr>
      <w:r>
        <w:rPr>
          <w:rFonts w:ascii="Calibri" w:cs="Calibri" w:eastAsia="Calibri" w:hAnsi="Calibri"/>
          <w:sz w:val="22"/>
          <w:szCs w:val="22"/>
        </w:rPr>
        <w:t xml:space="preserve">Probar con un webhook real de Meta y con el botón real de la plantilla "Vencimiento de cotización"; esa plantilla no guarda correlación con el negocio, por lo que su botón se trata como respuesta normal.</w:t>
      </w:r>
    </w:p>
    <w:p>
      <w:pPr>
        <w:pStyle w:val="ListParagraph"/>
        <w:numPr>
          <w:ilvl w:val="0"/>
          <w:numId w:val="2"/>
        </w:numPr>
        <w:spacing w:after="80"/>
      </w:pPr>
      <w:r>
        <w:rPr>
          <w:rFonts w:ascii="Calibri" w:cs="Calibri" w:eastAsia="Calibri" w:hAnsi="Calibri"/>
          <w:sz w:val="22"/>
          <w:szCs w:val="22"/>
        </w:rPr>
        <w:t xml:space="preserve">Evaluar guardar la correlación también para las plantillas "Vencimiento de cotización" y "Envío de cotización".</w:t>
      </w:r>
    </w:p>
    <w:p>
      <w:pPr>
        <w:pStyle w:val="ListParagraph"/>
        <w:numPr>
          <w:ilvl w:val="0"/>
          <w:numId w:val="2"/>
        </w:numPr>
        <w:spacing w:after="80"/>
      </w:pPr>
      <w:r>
        <w:rPr>
          <w:rFonts w:ascii="Calibri" w:cs="Calibri" w:eastAsia="Calibri" w:hAnsi="Calibri"/>
          <w:sz w:val="22"/>
          <w:szCs w:val="22"/>
        </w:rPr>
        <w:t xml:space="preserve">Revisar tras las primeras semanas en producción si hay negocios cerrados por falsos positivos de la lista de frases de rechazo.</w:t>
      </w:r>
    </w:p>
    <w:p>
      <w:pPr>
        <w:pStyle w:val="Heading1"/>
        <w:pBdr>
          <w:bottom w:val="single" w:color="34B3DE" w:sz="8" w:space="2"/>
        </w:pBdr>
        <w:spacing w:after="120" w:before="280"/>
      </w:pPr>
      <w:r>
        <w:rPr>
          <w:rFonts w:ascii="Calibri" w:cs="Calibri" w:eastAsia="Calibri" w:hAnsi="Calibri"/>
          <w:b/>
          <w:bCs/>
          <w:color w:val="112548"/>
          <w:sz w:val="28"/>
          <w:szCs w:val="28"/>
        </w:rPr>
        <w:t xml:space="preserve">5. §13 Modelo de datos — sin cambios</w:t>
      </w:r>
    </w:p>
    <w:p>
      <w:pPr>
        <w:spacing w:after="120"/>
      </w:pPr>
      <w:r>
        <w:rPr>
          <w:rFonts w:ascii="Calibri" w:cs="Calibri" w:eastAsia="Calibri" w:hAnsi="Calibri"/>
          <w:sz w:val="22"/>
          <w:szCs w:val="22"/>
        </w:rPr>
        <w:t xml:space="preserve">La v1.42 no agrega tablas ni campos. Reutiliza negocio_secuencias, tareas, timeline y whatsapp_encuesta_no_cierre.</w:t>
      </w:r>
    </w:p>
    <w:p>
      <w:pPr>
        <w:pStyle w:val="Heading1"/>
        <w:pBdr>
          <w:bottom w:val="single" w:color="34B3DE" w:sz="8" w:space="2"/>
        </w:pBdr>
        <w:spacing w:after="120" w:before="280"/>
      </w:pPr>
      <w:r>
        <w:rPr>
          <w:rFonts w:ascii="Calibri" w:cs="Calibri" w:eastAsia="Calibri" w:hAnsi="Calibri"/>
          <w:b/>
          <w:bCs/>
          <w:color w:val="112548"/>
          <w:sz w:val="28"/>
          <w:szCs w:val="28"/>
        </w:rPr>
        <w:t xml:space="preserve">6. §17 Proceso de despliegue — referencia</w:t>
      </w:r>
    </w:p>
    <w:p>
      <w:pPr>
        <w:spacing w:after="120"/>
      </w:pPr>
      <w:r>
        <w:rPr>
          <w:rFonts w:ascii="Calibri" w:cs="Calibri" w:eastAsia="Calibri" w:hAnsi="Calibri"/>
          <w:sz w:val="22"/>
          <w:szCs w:val="22"/>
        </w:rPr>
        <w:t xml:space="preserve">Archivos del cambio: backend/services/respuestaCliente.js (nuevo), backend/services/seguimientoBoton.js (función marcarPerdidoPorRechazo extraída y exportada) y backend/routes/public.js (llamada después del manejo de botones). Commits en staging: b8d4886 y fc2870e. La promoción a producción requiere el OK de Luis Devoto y, si cae en horario laboral, una confirmación adicional.</w:t>
      </w:r>
    </w:p>
    <w:p>
      <w:pPr>
        <w:spacing w:after="120"/>
      </w:pPr>
      <w:r>
        <w:rPr>
          <w:rFonts w:ascii="Calibri" w:cs="Calibri" w:eastAsia="Calibri" w:hAnsi="Calibri"/>
          <w:i/>
          <w:iCs/>
          <w:color w:val="555555"/>
          <w:sz w:val="20"/>
          <w:szCs w:val="20"/>
        </w:rPr>
        <w:t xml:space="preserve">Registro de la prueba y de lo no probado: ver la nota de cambio HTAP03notacambiov1.42.</w:t>
      </w:r>
    </w:p>
    <w:sectPr>
      <w:headerReference w:type="default" r:id="rId7"/>
      <w:headerReference w:type="first" r:id="rId8"/>
      <w:footerReference w:type="default" r:id="rId9"/>
      <w:footerReference w:type="first" r:id="rId10"/>
      <w:pgSz w:w="11906" w:h="16838" w:orient="portrait"/>
      <w:pgMar w:top="1440" w:right="1273" w:bottom="1300" w:left="1273"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Uso interno  ·  Página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de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4B3DE" w:sz="6" w:space="2"/>
      </w:pBdr>
      <w:jc w:val="right"/>
    </w:pPr>
    <w:r>
      <w:rPr>
        <w:rFonts w:ascii="Calibri" w:cs="Calibri" w:eastAsia="Calibri" w:hAnsi="Calibri"/>
        <w:b/>
        <w:bCs/>
        <w:color w:val="112548"/>
        <w:sz w:val="18"/>
        <w:szCs w:val="18"/>
      </w:rPr>
      <w:t xml:space="preserve">HT-AP-03 · Hoja de actualización v1.42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HT-AP-03 · Hoja de actualización v1.42</dc:title>
  <dc:creator>Luis Devoto / Claude (IA)</dc:creator>
  <cp:lastModifiedBy>Un-named</cp:lastModifiedBy>
  <cp:revision>1</cp:revision>
  <dcterms:created xsi:type="dcterms:W3CDTF">2026-10-07T13:32:44.288Z</dcterms:created>
  <dcterms:modified xsi:type="dcterms:W3CDTF">2026-10-07T13:32:44.304Z</dcterms:modified>
</cp:coreProperties>
</file>

<file path=docProps/custom.xml><?xml version="1.0" encoding="utf-8"?>
<Properties xmlns="http://schemas.openxmlformats.org/officeDocument/2006/custom-properties" xmlns:vt="http://schemas.openxmlformats.org/officeDocument/2006/docPropsVTypes"/>
</file>