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3444" w14:textId="5D7664A9" w:rsidR="00EA13FE" w:rsidRDefault="00EA13FE">
      <w:pPr>
        <w:rPr>
          <w:b/>
          <w:bCs/>
        </w:rPr>
      </w:pPr>
      <w:r>
        <w:rPr>
          <w:b/>
          <w:bCs/>
        </w:rPr>
        <w:t>Dante Freeman</w:t>
      </w:r>
    </w:p>
    <w:p w14:paraId="55DB3ABA" w14:textId="2CDE629F" w:rsidR="00A439CE" w:rsidRPr="00EA13FE" w:rsidRDefault="00AB5035">
      <w:pPr>
        <w:rPr>
          <w:b/>
          <w:bCs/>
          <w:i/>
          <w:iCs/>
        </w:rPr>
      </w:pPr>
      <w:r w:rsidRPr="00EA13FE">
        <w:rPr>
          <w:b/>
          <w:bCs/>
          <w:i/>
          <w:iCs/>
        </w:rPr>
        <w:t xml:space="preserve">Single-Cell RNA-seq Analysis of </w:t>
      </w:r>
      <w:proofErr w:type="spellStart"/>
      <w:proofErr w:type="gramStart"/>
      <w:r w:rsidRPr="00EA13FE">
        <w:rPr>
          <w:b/>
          <w:bCs/>
          <w:i/>
          <w:iCs/>
        </w:rPr>
        <w:t>Non Small</w:t>
      </w:r>
      <w:proofErr w:type="spellEnd"/>
      <w:proofErr w:type="gramEnd"/>
      <w:r w:rsidRPr="00EA13FE">
        <w:rPr>
          <w:b/>
          <w:bCs/>
          <w:i/>
          <w:iCs/>
        </w:rPr>
        <w:t xml:space="preserve"> Cell Lung Cancer Shows Diverse Cell Populations in Tumor Microenvironment</w:t>
      </w:r>
    </w:p>
    <w:p w14:paraId="4AF4B261" w14:textId="65784743" w:rsidR="00AB5035" w:rsidRPr="00AD2D21" w:rsidRDefault="00AB5035">
      <w:pPr>
        <w:rPr>
          <w:b/>
          <w:bCs/>
          <w:u w:val="single"/>
        </w:rPr>
      </w:pPr>
      <w:r w:rsidRPr="00AD2D21">
        <w:rPr>
          <w:b/>
          <w:bCs/>
          <w:u w:val="single"/>
        </w:rPr>
        <w:t>Background:</w:t>
      </w:r>
    </w:p>
    <w:p w14:paraId="428902EF" w14:textId="6B9CE170" w:rsidR="00AB5035" w:rsidRPr="00AB5035" w:rsidRDefault="00AB5035" w:rsidP="00AB5035">
      <w:r w:rsidRPr="00AB5035">
        <w:t xml:space="preserve">Non-small cell lung cancer (NSCLC) </w:t>
      </w:r>
      <w:r w:rsidR="007A4D85">
        <w:t>is</w:t>
      </w:r>
      <w:r w:rsidRPr="00AB5035">
        <w:t xml:space="preserve"> 85% of lung cancer cases and causes </w:t>
      </w:r>
      <w:proofErr w:type="gramStart"/>
      <w:r w:rsidRPr="00AB5035">
        <w:t>the majority of</w:t>
      </w:r>
      <w:proofErr w:type="gramEnd"/>
      <w:r w:rsidRPr="00AB5035">
        <w:t xml:space="preserve"> cancer-related deaths worldwide [1]. Single-cell RNA sequencing allows analysis of individual cells within a population, making it a powerful tool for studying cancer cells, immune cells, and healthy tissue cells.</w:t>
      </w:r>
    </w:p>
    <w:p w14:paraId="1D426378" w14:textId="77777777" w:rsidR="00AB5035" w:rsidRPr="00AB5035" w:rsidRDefault="00AB5035" w:rsidP="00AB5035">
      <w:r w:rsidRPr="00AB5035">
        <w:t xml:space="preserve">This project analyzes publicly available </w:t>
      </w:r>
      <w:proofErr w:type="spellStart"/>
      <w:r w:rsidRPr="00AB5035">
        <w:t>scRNA</w:t>
      </w:r>
      <w:proofErr w:type="spellEnd"/>
      <w:r w:rsidRPr="00AB5035">
        <w:t>-seq data from an NSCLC tumor sample to identify key marker genes and cluster distinct cell populations. The Seurat package in R is used to perform quality control, normalization, principal component analysis, clustering, and marker gene identification.</w:t>
      </w:r>
    </w:p>
    <w:p w14:paraId="2C5722C7" w14:textId="7733AE01" w:rsidR="00AB5035" w:rsidRPr="00AD2D21" w:rsidRDefault="00AB5035">
      <w:pPr>
        <w:rPr>
          <w:b/>
          <w:bCs/>
          <w:u w:val="single"/>
        </w:rPr>
      </w:pPr>
      <w:r w:rsidRPr="00AD2D21">
        <w:rPr>
          <w:b/>
          <w:bCs/>
          <w:u w:val="single"/>
        </w:rPr>
        <w:t>Methods</w:t>
      </w:r>
    </w:p>
    <w:p w14:paraId="7112E35E" w14:textId="7DAC647E" w:rsidR="00AD2D21" w:rsidRPr="00C122A0" w:rsidRDefault="00AD2D21" w:rsidP="00637399">
      <w:pPr>
        <w:pStyle w:val="ListParagraph"/>
        <w:numPr>
          <w:ilvl w:val="0"/>
          <w:numId w:val="4"/>
        </w:numPr>
        <w:rPr>
          <w:b/>
          <w:bCs/>
        </w:rPr>
      </w:pPr>
      <w:r w:rsidRPr="00C122A0">
        <w:rPr>
          <w:b/>
          <w:bCs/>
        </w:rPr>
        <w:t>Data acquisition and loading:</w:t>
      </w:r>
    </w:p>
    <w:p w14:paraId="73B69712" w14:textId="66ADD49E" w:rsidR="00AB5035" w:rsidRPr="00AD2D21" w:rsidRDefault="00AD2D21">
      <w:r w:rsidRPr="00AD2D21">
        <w:t xml:space="preserve">The </w:t>
      </w:r>
      <w:proofErr w:type="spellStart"/>
      <w:r w:rsidRPr="00AD2D21">
        <w:t>scRNA</w:t>
      </w:r>
      <w:proofErr w:type="spellEnd"/>
      <w:r w:rsidRPr="00AD2D21">
        <w:t>-seq data set is 20k_NSCLC_DTC_3p_nextgem_Multiplex_count_raw_feature_bc_matrix, and it was loaded in R and processed with Seurat package. The data was imported as a Seurat object for downstream analysis.</w:t>
      </w:r>
    </w:p>
    <w:p w14:paraId="07584750" w14:textId="21032491" w:rsidR="00AD2D21" w:rsidRPr="00C122A0" w:rsidRDefault="00AD2D21" w:rsidP="00637399">
      <w:pPr>
        <w:pStyle w:val="ListParagraph"/>
        <w:numPr>
          <w:ilvl w:val="0"/>
          <w:numId w:val="4"/>
        </w:numPr>
        <w:rPr>
          <w:b/>
          <w:bCs/>
        </w:rPr>
      </w:pPr>
      <w:r w:rsidRPr="00C122A0">
        <w:rPr>
          <w:b/>
          <w:bCs/>
        </w:rPr>
        <w:t>Quality Control</w:t>
      </w:r>
      <w:r w:rsidR="00637399" w:rsidRPr="00C122A0">
        <w:rPr>
          <w:b/>
          <w:bCs/>
        </w:rPr>
        <w:t xml:space="preserve"> and Normalization:</w:t>
      </w:r>
    </w:p>
    <w:p w14:paraId="56FCE664" w14:textId="77777777" w:rsidR="00637399" w:rsidRDefault="00637399" w:rsidP="00637399">
      <w:r>
        <w:t>Quality control filters were applied and cells that had too few genes (&lt;200) or too many genes (&gt;2500) were removed. This was done so that cells with poor sequencing would be excluded, and potentially clumped or closely packed cells would be excluded.</w:t>
      </w:r>
    </w:p>
    <w:p w14:paraId="731F4142" w14:textId="5EB814A5" w:rsidR="00AD2D21" w:rsidRDefault="00AD2D21">
      <w:r w:rsidRPr="00AD2D21">
        <w:t xml:space="preserve">The raw expression counts were normalized with </w:t>
      </w:r>
      <w:proofErr w:type="spellStart"/>
      <w:r w:rsidRPr="00AD2D21">
        <w:t>LogNormalize</w:t>
      </w:r>
      <w:proofErr w:type="spellEnd"/>
      <w:r w:rsidRPr="00AD2D21">
        <w:t xml:space="preserve">. This accounts for differences in sequencing depth across the cells. </w:t>
      </w:r>
    </w:p>
    <w:p w14:paraId="7D757466" w14:textId="77777777" w:rsidR="00F42068" w:rsidRDefault="00F42068"/>
    <w:p w14:paraId="00BA4352" w14:textId="6C6D18EA" w:rsidR="00F42068" w:rsidRDefault="00F42068">
      <w:r w:rsidRPr="00F42068">
        <w:rPr>
          <w:noProof/>
        </w:rPr>
        <w:lastRenderedPageBreak/>
        <w:drawing>
          <wp:inline distT="0" distB="0" distL="0" distR="0" wp14:anchorId="63F1B39A" wp14:editId="05D97F4E">
            <wp:extent cx="5943600" cy="3442335"/>
            <wp:effectExtent l="0" t="0" r="0" b="5715"/>
            <wp:docPr id="1416499074" name="Picture 1" descr="A group of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9074" name="Picture 1" descr="A group of black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EE7F" w14:textId="2A90A126" w:rsidR="00F42068" w:rsidRPr="005523CA" w:rsidRDefault="00F42068">
      <w:pPr>
        <w:rPr>
          <w:i/>
          <w:iCs/>
        </w:rPr>
      </w:pPr>
      <w:r w:rsidRPr="005523CA">
        <w:rPr>
          <w:i/>
          <w:iCs/>
        </w:rPr>
        <w:t xml:space="preserve">Figure 1: </w:t>
      </w:r>
      <w:r w:rsidR="00A233A4" w:rsidRPr="005523CA">
        <w:rPr>
          <w:i/>
          <w:iCs/>
        </w:rPr>
        <w:t>Violin plots of QC Metrics. This figure shows the distribution of the QC metrics.</w:t>
      </w:r>
    </w:p>
    <w:p w14:paraId="02E11444" w14:textId="57910FE8" w:rsidR="00A233A4" w:rsidRDefault="00A233A4" w:rsidP="00A233A4">
      <w:pPr>
        <w:pStyle w:val="ListParagraph"/>
        <w:numPr>
          <w:ilvl w:val="0"/>
          <w:numId w:val="3"/>
        </w:numPr>
      </w:pPr>
      <w:proofErr w:type="spellStart"/>
      <w:r>
        <w:t>nFeature_RNA</w:t>
      </w:r>
      <w:proofErr w:type="spellEnd"/>
      <w:r>
        <w:t>: number of genes detected per cell</w:t>
      </w:r>
    </w:p>
    <w:p w14:paraId="15D82ECD" w14:textId="715B1CAA" w:rsidR="00A233A4" w:rsidRDefault="00A233A4" w:rsidP="00A233A4">
      <w:pPr>
        <w:pStyle w:val="ListParagraph"/>
        <w:numPr>
          <w:ilvl w:val="0"/>
          <w:numId w:val="3"/>
        </w:numPr>
      </w:pPr>
      <w:proofErr w:type="spellStart"/>
      <w:r>
        <w:t>nCount_RNA</w:t>
      </w:r>
      <w:proofErr w:type="spellEnd"/>
      <w:r>
        <w:t>: total RNA molecules per cell</w:t>
      </w:r>
    </w:p>
    <w:p w14:paraId="52F5671D" w14:textId="3789E7B9" w:rsidR="00A233A4" w:rsidRDefault="00A233A4" w:rsidP="00A233A4">
      <w:pPr>
        <w:pStyle w:val="ListParagraph"/>
        <w:numPr>
          <w:ilvl w:val="0"/>
          <w:numId w:val="3"/>
        </w:numPr>
      </w:pPr>
      <w:r>
        <w:t>percent.mt: proportion of reads which are mitochondrial genes</w:t>
      </w:r>
    </w:p>
    <w:p w14:paraId="74C007AA" w14:textId="3E7D13E2" w:rsidR="0059309D" w:rsidRDefault="0059309D" w:rsidP="0059309D">
      <w:r>
        <w:t>Cells with low gene counts are dead or poor quality</w:t>
      </w:r>
      <w:r w:rsidR="00EA7590">
        <w:t xml:space="preserve">. High mitochondrial content is stressed or dying cells. </w:t>
      </w:r>
    </w:p>
    <w:p w14:paraId="2BF704EB" w14:textId="77777777" w:rsidR="00F42068" w:rsidRDefault="00F42068"/>
    <w:p w14:paraId="7B4DCD6D" w14:textId="0BFC7AF1" w:rsidR="00F42068" w:rsidRDefault="00F42068">
      <w:r w:rsidRPr="00F42068">
        <w:rPr>
          <w:noProof/>
        </w:rPr>
        <w:lastRenderedPageBreak/>
        <w:drawing>
          <wp:inline distT="0" distB="0" distL="0" distR="0" wp14:anchorId="70051995" wp14:editId="360B12CB">
            <wp:extent cx="5943600" cy="3433445"/>
            <wp:effectExtent l="0" t="0" r="0" b="0"/>
            <wp:docPr id="1260134582" name="Picture 1" descr="A red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4582" name="Picture 1" descr="A red and blue dott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9AB" w14:textId="6C616681" w:rsidR="00F42068" w:rsidRPr="005523CA" w:rsidRDefault="00F42068">
      <w:pPr>
        <w:rPr>
          <w:i/>
          <w:iCs/>
        </w:rPr>
      </w:pPr>
      <w:r w:rsidRPr="005523CA">
        <w:rPr>
          <w:i/>
          <w:iCs/>
        </w:rPr>
        <w:t xml:space="preserve">Figure 2: </w:t>
      </w:r>
      <w:r w:rsidR="00EA7590" w:rsidRPr="005523CA">
        <w:rPr>
          <w:i/>
          <w:iCs/>
        </w:rPr>
        <w:t xml:space="preserve">Feature Scatter Plot of </w:t>
      </w:r>
      <w:proofErr w:type="spellStart"/>
      <w:r w:rsidR="00EA7590" w:rsidRPr="005523CA">
        <w:rPr>
          <w:i/>
          <w:iCs/>
        </w:rPr>
        <w:t>nCount_RNA</w:t>
      </w:r>
      <w:proofErr w:type="spellEnd"/>
      <w:r w:rsidR="00EA7590" w:rsidRPr="005523CA">
        <w:rPr>
          <w:i/>
          <w:iCs/>
        </w:rPr>
        <w:t xml:space="preserve"> vs </w:t>
      </w:r>
      <w:proofErr w:type="spellStart"/>
      <w:r w:rsidR="00EA7590" w:rsidRPr="005523CA">
        <w:rPr>
          <w:i/>
          <w:iCs/>
        </w:rPr>
        <w:t>nFeature_RNA</w:t>
      </w:r>
      <w:proofErr w:type="spellEnd"/>
    </w:p>
    <w:p w14:paraId="5C503F10" w14:textId="071A1BD0" w:rsidR="00EA7590" w:rsidRDefault="00EA7590">
      <w:r>
        <w:t xml:space="preserve">This scatter plot </w:t>
      </w:r>
      <w:proofErr w:type="gramStart"/>
      <w:r>
        <w:t>is comparing</w:t>
      </w:r>
      <w:proofErr w:type="gramEnd"/>
      <w:r>
        <w:t xml:space="preserve"> number of RNA molecules to </w:t>
      </w:r>
      <w:proofErr w:type="gramStart"/>
      <w:r>
        <w:t>number</w:t>
      </w:r>
      <w:proofErr w:type="gramEnd"/>
      <w:r>
        <w:t xml:space="preserve"> of expressed genes. High quality cell data will typically have a linear relationship between these features. This is because more RNA means more genes detected, typically.</w:t>
      </w:r>
      <w:r w:rsidR="00C565CD">
        <w:t xml:space="preserve"> Low quality cells will be outside this.</w:t>
      </w:r>
    </w:p>
    <w:p w14:paraId="2D2320E1" w14:textId="78E79E4C" w:rsidR="00C122A0" w:rsidRPr="00C122A0" w:rsidRDefault="00C122A0" w:rsidP="00C122A0">
      <w:pPr>
        <w:pStyle w:val="ListParagraph"/>
        <w:numPr>
          <w:ilvl w:val="0"/>
          <w:numId w:val="4"/>
        </w:numPr>
        <w:rPr>
          <w:b/>
          <w:bCs/>
        </w:rPr>
      </w:pPr>
      <w:r w:rsidRPr="00C122A0">
        <w:rPr>
          <w:b/>
          <w:bCs/>
        </w:rPr>
        <w:t>Identification of Variable Features</w:t>
      </w:r>
    </w:p>
    <w:p w14:paraId="67CE360D" w14:textId="0F123A4A" w:rsidR="00F42068" w:rsidRDefault="00F42068">
      <w:r w:rsidRPr="00F42068">
        <w:rPr>
          <w:noProof/>
        </w:rPr>
        <w:lastRenderedPageBreak/>
        <w:drawing>
          <wp:inline distT="0" distB="0" distL="0" distR="0" wp14:anchorId="4952F502" wp14:editId="63A9B143">
            <wp:extent cx="5943600" cy="3444875"/>
            <wp:effectExtent l="0" t="0" r="0" b="3175"/>
            <wp:docPr id="2107693510" name="Picture 1" descr="A red do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93510" name="Picture 1" descr="A red do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D17" w14:textId="700FD049" w:rsidR="00F42068" w:rsidRPr="005523CA" w:rsidRDefault="00F42068">
      <w:pPr>
        <w:rPr>
          <w:i/>
          <w:iCs/>
        </w:rPr>
      </w:pPr>
      <w:r w:rsidRPr="005523CA">
        <w:rPr>
          <w:i/>
          <w:iCs/>
        </w:rPr>
        <w:t>Figure 3</w:t>
      </w:r>
      <w:r w:rsidR="009516B6" w:rsidRPr="005523CA">
        <w:rPr>
          <w:i/>
          <w:iCs/>
        </w:rPr>
        <w:t xml:space="preserve">: </w:t>
      </w:r>
      <w:r w:rsidR="00C565CD" w:rsidRPr="005523CA">
        <w:rPr>
          <w:i/>
          <w:iCs/>
        </w:rPr>
        <w:t>Highly variable Genes</w:t>
      </w:r>
    </w:p>
    <w:p w14:paraId="5A218331" w14:textId="21B2A585" w:rsidR="00C565CD" w:rsidRPr="00C565CD" w:rsidRDefault="00C565CD">
      <w:r>
        <w:t xml:space="preserve">This figure shows the top 2000 most variable genes. This is used for dimensionality reduction. The top 10 </w:t>
      </w:r>
      <w:r w:rsidRPr="00C122A0">
        <w:t>most</w:t>
      </w:r>
      <w:r>
        <w:rPr>
          <w:b/>
          <w:bCs/>
        </w:rPr>
        <w:t xml:space="preserve"> </w:t>
      </w:r>
      <w:r>
        <w:t xml:space="preserve">variable genes are labeled. </w:t>
      </w:r>
      <w:r w:rsidR="00424AFB">
        <w:t xml:space="preserve">These genes tell the most meaningful differences in gene expression across cells. </w:t>
      </w:r>
    </w:p>
    <w:p w14:paraId="175985B3" w14:textId="77777777" w:rsidR="00030138" w:rsidRDefault="00F42068" w:rsidP="00F42068">
      <w:r w:rsidRPr="00F42068">
        <w:t xml:space="preserve">Highly variable genes were identified to capture important variability in gene expression. These genes were used to scale </w:t>
      </w:r>
      <w:proofErr w:type="gramStart"/>
      <w:r w:rsidRPr="00F42068">
        <w:t>the data</w:t>
      </w:r>
      <w:proofErr w:type="gramEnd"/>
      <w:r w:rsidRPr="00F42068">
        <w:t xml:space="preserve">, </w:t>
      </w:r>
      <w:proofErr w:type="gramStart"/>
      <w:r w:rsidRPr="00F42068">
        <w:t>centering</w:t>
      </w:r>
      <w:proofErr w:type="gramEnd"/>
      <w:r w:rsidRPr="00F42068">
        <w:t xml:space="preserve"> and </w:t>
      </w:r>
      <w:proofErr w:type="gramStart"/>
      <w:r w:rsidRPr="00F42068">
        <w:t>standardizing</w:t>
      </w:r>
      <w:proofErr w:type="gramEnd"/>
      <w:r w:rsidRPr="00F42068">
        <w:t xml:space="preserve"> expression values across cells. </w:t>
      </w:r>
    </w:p>
    <w:p w14:paraId="41B384F3" w14:textId="29071086" w:rsidR="00030138" w:rsidRPr="00030138" w:rsidRDefault="002260B1" w:rsidP="0003013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Scaling and PCA</w:t>
      </w:r>
    </w:p>
    <w:p w14:paraId="69EC21C8" w14:textId="3E9C325C" w:rsidR="00F42068" w:rsidRPr="00F42068" w:rsidRDefault="00F42068" w:rsidP="00F42068">
      <w:r w:rsidRPr="00F42068">
        <w:t>Dimensionality reduction was performed using principal component analysis (PCA), focusing on the top 15 principal components to summarize the major sources of variation.</w:t>
      </w:r>
    </w:p>
    <w:p w14:paraId="5B37DF85" w14:textId="10F5E635" w:rsidR="00030138" w:rsidRPr="00030138" w:rsidRDefault="00030138" w:rsidP="00030138">
      <w:pPr>
        <w:pStyle w:val="ListParagraph"/>
        <w:numPr>
          <w:ilvl w:val="0"/>
          <w:numId w:val="4"/>
        </w:numPr>
        <w:rPr>
          <w:b/>
          <w:bCs/>
        </w:rPr>
      </w:pPr>
      <w:r w:rsidRPr="00030138">
        <w:rPr>
          <w:b/>
          <w:bCs/>
        </w:rPr>
        <w:t xml:space="preserve">Clustering and </w:t>
      </w:r>
      <w:r w:rsidR="002260B1">
        <w:rPr>
          <w:b/>
          <w:bCs/>
        </w:rPr>
        <w:t xml:space="preserve">UMAP </w:t>
      </w:r>
      <w:r w:rsidRPr="00030138">
        <w:rPr>
          <w:b/>
          <w:bCs/>
        </w:rPr>
        <w:t>Visualization</w:t>
      </w:r>
    </w:p>
    <w:p w14:paraId="22D8D544" w14:textId="5A110D4B" w:rsidR="00F42068" w:rsidRDefault="00F42068" w:rsidP="00F42068">
      <w:r w:rsidRPr="00F42068">
        <w:t xml:space="preserve">Clustering was done using a graph-based algorithm built on a nearest-neighbor graph of cells. </w:t>
      </w:r>
      <w:r>
        <w:t xml:space="preserve">Essentially, this is clustering cells based on how similar their gene expression profiles are. </w:t>
      </w:r>
      <w:r w:rsidRPr="00F42068">
        <w:t>To visualize the clustering results, Uniform Manifold Approximation and Projection (UMAP) was used to reduce the high-dimensional data into a two-dimensional space.</w:t>
      </w:r>
    </w:p>
    <w:p w14:paraId="60D301EC" w14:textId="77777777" w:rsidR="00EA13FE" w:rsidRDefault="00EA13FE" w:rsidP="00EA13FE">
      <w:pPr>
        <w:rPr>
          <w:b/>
          <w:bCs/>
        </w:rPr>
      </w:pPr>
      <w:r w:rsidRPr="00F42068">
        <w:rPr>
          <w:b/>
          <w:bCs/>
          <w:noProof/>
        </w:rPr>
        <w:lastRenderedPageBreak/>
        <w:drawing>
          <wp:inline distT="0" distB="0" distL="0" distR="0" wp14:anchorId="0DA65734" wp14:editId="416C297A">
            <wp:extent cx="5943600" cy="3446145"/>
            <wp:effectExtent l="0" t="0" r="0" b="1905"/>
            <wp:docPr id="860044695" name="Picture 1" descr="A map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44695" name="Picture 1" descr="A map of different colo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A1F" w14:textId="77777777" w:rsidR="00EA13FE" w:rsidRPr="005523CA" w:rsidRDefault="00EA13FE" w:rsidP="00EA13FE">
      <w:pPr>
        <w:rPr>
          <w:i/>
          <w:iCs/>
        </w:rPr>
      </w:pPr>
      <w:r w:rsidRPr="005523CA">
        <w:rPr>
          <w:i/>
          <w:iCs/>
        </w:rPr>
        <w:t>Figure 4: UMAP Plot of Cell Clusters</w:t>
      </w:r>
    </w:p>
    <w:p w14:paraId="310E5381" w14:textId="77777777" w:rsidR="00EA13FE" w:rsidRPr="00EA13FE" w:rsidRDefault="00EA13FE" w:rsidP="00EA13FE">
      <w:r w:rsidRPr="00EA13FE">
        <w:t xml:space="preserve">Uniform Manifold Approximation and Projection visualization of clustered single cells from NSCLC tumor tissue. Each point is a cell. Colors represent clusters based on similar gene </w:t>
      </w:r>
      <w:proofErr w:type="gramStart"/>
      <w:r w:rsidRPr="00EA13FE">
        <w:t>expression</w:t>
      </w:r>
      <w:proofErr w:type="gramEnd"/>
      <w:r w:rsidRPr="00EA13FE">
        <w:t>.</w:t>
      </w:r>
    </w:p>
    <w:p w14:paraId="03AEB7EF" w14:textId="77777777" w:rsidR="00EA13FE" w:rsidRPr="00F42068" w:rsidRDefault="00EA13FE" w:rsidP="00F42068"/>
    <w:p w14:paraId="54CEEB3C" w14:textId="4FE27665" w:rsidR="00030138" w:rsidRPr="00030138" w:rsidRDefault="00030138" w:rsidP="00030138">
      <w:pPr>
        <w:pStyle w:val="ListParagraph"/>
        <w:numPr>
          <w:ilvl w:val="0"/>
          <w:numId w:val="4"/>
        </w:numPr>
        <w:rPr>
          <w:b/>
          <w:bCs/>
        </w:rPr>
      </w:pPr>
      <w:r w:rsidRPr="00030138">
        <w:rPr>
          <w:b/>
          <w:bCs/>
        </w:rPr>
        <w:t>Marker-Gene Annotation</w:t>
      </w:r>
      <w:r w:rsidR="005523CA">
        <w:rPr>
          <w:b/>
          <w:bCs/>
        </w:rPr>
        <w:t xml:space="preserve"> and Cell Type Annotation</w:t>
      </w:r>
    </w:p>
    <w:p w14:paraId="737A62D9" w14:textId="205F4BCF" w:rsidR="00F42068" w:rsidRPr="00F42068" w:rsidRDefault="00F42068" w:rsidP="00F42068">
      <w:r w:rsidRPr="00F42068">
        <w:t xml:space="preserve">Finally, marker genes were identified by comparing gene expression across clusters, using thresholds for minimum expression percentage and log fold change. </w:t>
      </w:r>
      <w:r w:rsidR="00221291">
        <w:t xml:space="preserve">This was accomplished using </w:t>
      </w:r>
      <w:proofErr w:type="spellStart"/>
      <w:r w:rsidR="00221291">
        <w:t>Seurats</w:t>
      </w:r>
      <w:proofErr w:type="spellEnd"/>
      <w:r w:rsidR="00221291">
        <w:t xml:space="preserve"> </w:t>
      </w:r>
      <w:proofErr w:type="spellStart"/>
      <w:r w:rsidR="00221291" w:rsidRPr="00221291">
        <w:t>FindMarkers</w:t>
      </w:r>
      <w:proofErr w:type="spellEnd"/>
      <w:r w:rsidR="00221291">
        <w:t xml:space="preserve"> command. </w:t>
      </w:r>
      <w:r w:rsidRPr="00221291">
        <w:t>Known</w:t>
      </w:r>
      <w:r w:rsidRPr="00F42068">
        <w:t xml:space="preserve"> canonical markers for epithelial, immune, and proliferative cells were visualized using feature plots to aid in biological interpretation.</w:t>
      </w:r>
    </w:p>
    <w:p w14:paraId="16D260C1" w14:textId="77777777" w:rsidR="00EA13FE" w:rsidRDefault="00EA13FE" w:rsidP="00EA13FE">
      <w:pPr>
        <w:rPr>
          <w:b/>
          <w:bCs/>
        </w:rPr>
      </w:pPr>
    </w:p>
    <w:p w14:paraId="1FD67B52" w14:textId="77777777" w:rsidR="00EA13FE" w:rsidRDefault="00EA13FE" w:rsidP="00EA13FE">
      <w:pPr>
        <w:rPr>
          <w:b/>
          <w:bCs/>
        </w:rPr>
      </w:pPr>
      <w:r w:rsidRPr="00F42068">
        <w:rPr>
          <w:b/>
          <w:bCs/>
          <w:noProof/>
        </w:rPr>
        <w:lastRenderedPageBreak/>
        <w:drawing>
          <wp:inline distT="0" distB="0" distL="0" distR="0" wp14:anchorId="18D592D7" wp14:editId="546F0D7B">
            <wp:extent cx="5943600" cy="3437890"/>
            <wp:effectExtent l="0" t="0" r="0" b="0"/>
            <wp:docPr id="1215152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520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BCE7" w14:textId="77777777" w:rsidR="00EA13FE" w:rsidRPr="005523CA" w:rsidRDefault="00EA13FE" w:rsidP="00EA13FE">
      <w:pPr>
        <w:rPr>
          <w:i/>
          <w:iCs/>
        </w:rPr>
      </w:pPr>
      <w:r w:rsidRPr="005523CA">
        <w:rPr>
          <w:i/>
          <w:iCs/>
        </w:rPr>
        <w:t>Figure 5: Feature Plots of Canonical Marker Genes</w:t>
      </w:r>
    </w:p>
    <w:p w14:paraId="486CA1AA" w14:textId="77777777" w:rsidR="00EA13FE" w:rsidRPr="005523CA" w:rsidRDefault="00EA13FE" w:rsidP="00EA13FE">
      <w:r w:rsidRPr="005523CA">
        <w:t xml:space="preserve">This figure shows expression of common marker genes in UMAP cluster space (from previous figure) to aid in cell identification. Higher </w:t>
      </w:r>
      <w:proofErr w:type="gramStart"/>
      <w:r w:rsidRPr="005523CA">
        <w:t>expression is</w:t>
      </w:r>
      <w:proofErr w:type="gramEnd"/>
      <w:r w:rsidRPr="005523CA">
        <w:t xml:space="preserve"> darker shades of blue.</w:t>
      </w:r>
    </w:p>
    <w:p w14:paraId="0A82D5FF" w14:textId="77777777" w:rsidR="00EA13FE" w:rsidRPr="005523CA" w:rsidRDefault="00EA13FE" w:rsidP="00EA13FE">
      <w:r w:rsidRPr="005523CA">
        <w:t>EPCAM – epithelial tumor cells, Cluster 0</w:t>
      </w:r>
    </w:p>
    <w:p w14:paraId="58585CF2" w14:textId="77777777" w:rsidR="00EA13FE" w:rsidRPr="005523CA" w:rsidRDefault="00EA13FE" w:rsidP="00EA13FE">
      <w:r w:rsidRPr="005523CA">
        <w:t>CD3D – T cell marker.</w:t>
      </w:r>
    </w:p>
    <w:p w14:paraId="50F28A6D" w14:textId="77777777" w:rsidR="00EA13FE" w:rsidRPr="005523CA" w:rsidRDefault="00EA13FE" w:rsidP="00EA13FE">
      <w:r w:rsidRPr="005523CA">
        <w:t>CD14—monocytes/macrophages</w:t>
      </w:r>
    </w:p>
    <w:p w14:paraId="03B561A0" w14:textId="77777777" w:rsidR="00EA13FE" w:rsidRPr="005523CA" w:rsidRDefault="00EA13FE" w:rsidP="00EA13FE">
      <w:r w:rsidRPr="005523CA">
        <w:t>MS4A1 – B cell marker</w:t>
      </w:r>
    </w:p>
    <w:p w14:paraId="606EEB6C" w14:textId="77777777" w:rsidR="00EA13FE" w:rsidRPr="005523CA" w:rsidRDefault="00EA13FE" w:rsidP="00EA13FE">
      <w:r w:rsidRPr="005523CA">
        <w:t>MKI67 – proliferating cells</w:t>
      </w:r>
    </w:p>
    <w:p w14:paraId="153F65CA" w14:textId="77777777" w:rsidR="00EA13FE" w:rsidRDefault="00EA13FE">
      <w:pPr>
        <w:rPr>
          <w:b/>
          <w:bCs/>
        </w:rPr>
      </w:pPr>
    </w:p>
    <w:p w14:paraId="16D3ABA5" w14:textId="4C9D3CA5" w:rsidR="00AB5035" w:rsidRPr="00EA13FE" w:rsidRDefault="00AB5035">
      <w:pPr>
        <w:rPr>
          <w:b/>
          <w:bCs/>
          <w:u w:val="single"/>
        </w:rPr>
      </w:pPr>
      <w:r w:rsidRPr="00EA13FE">
        <w:rPr>
          <w:b/>
          <w:bCs/>
          <w:u w:val="single"/>
        </w:rPr>
        <w:t>Discussion</w:t>
      </w:r>
    </w:p>
    <w:p w14:paraId="5309747D" w14:textId="448215CF" w:rsidR="00B429A2" w:rsidRDefault="00B429A2">
      <w:pPr>
        <w:rPr>
          <w:b/>
          <w:bCs/>
        </w:rPr>
      </w:pPr>
      <w:r w:rsidRPr="00B429A2">
        <w:rPr>
          <w:b/>
          <w:bCs/>
          <w:noProof/>
        </w:rPr>
        <w:lastRenderedPageBreak/>
        <w:drawing>
          <wp:inline distT="0" distB="0" distL="0" distR="0" wp14:anchorId="4D8B75D9" wp14:editId="735EC843">
            <wp:extent cx="5943600" cy="3427730"/>
            <wp:effectExtent l="0" t="0" r="0" b="1270"/>
            <wp:docPr id="181125652" name="Picture 1" descr="A group of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652" name="Picture 1" descr="A group of colored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2DD2" w14:textId="0968AD65" w:rsidR="00F91698" w:rsidRPr="00787944" w:rsidRDefault="00F91698">
      <w:r w:rsidRPr="00787944">
        <w:rPr>
          <w:i/>
          <w:iCs/>
        </w:rPr>
        <w:t>Figure 6. UMAP Plot of NSCLC Clusters Annotated by Cell Type.</w:t>
      </w:r>
      <w:r w:rsidRPr="00787944">
        <w:br/>
      </w:r>
      <w:proofErr w:type="spellStart"/>
      <w:r w:rsidR="00F23AA9" w:rsidRPr="00787944">
        <w:t>scRNA</w:t>
      </w:r>
      <w:proofErr w:type="spellEnd"/>
      <w:r w:rsidR="00F23AA9" w:rsidRPr="00787944">
        <w:t xml:space="preserve">-seq data </w:t>
      </w:r>
      <w:r w:rsidRPr="00787944">
        <w:t xml:space="preserve">clusters </w:t>
      </w:r>
      <w:r w:rsidR="00F23AA9" w:rsidRPr="00787944">
        <w:t>are</w:t>
      </w:r>
      <w:r w:rsidRPr="00787944">
        <w:t xml:space="preserve"> labeled based on canonical marker gene expression (e.g., </w:t>
      </w:r>
      <w:r w:rsidRPr="00787944">
        <w:rPr>
          <w:i/>
          <w:iCs/>
        </w:rPr>
        <w:t>EPCAM</w:t>
      </w:r>
      <w:r w:rsidRPr="00787944">
        <w:t xml:space="preserve">, </w:t>
      </w:r>
      <w:r w:rsidRPr="00787944">
        <w:rPr>
          <w:i/>
          <w:iCs/>
        </w:rPr>
        <w:t>CD3D</w:t>
      </w:r>
      <w:r w:rsidRPr="00787944">
        <w:t xml:space="preserve">, </w:t>
      </w:r>
      <w:r w:rsidRPr="00787944">
        <w:rPr>
          <w:i/>
          <w:iCs/>
        </w:rPr>
        <w:t>CD14</w:t>
      </w:r>
      <w:r w:rsidRPr="00787944">
        <w:t xml:space="preserve">, </w:t>
      </w:r>
      <w:r w:rsidRPr="00787944">
        <w:rPr>
          <w:i/>
          <w:iCs/>
        </w:rPr>
        <w:t>MS4A1</w:t>
      </w:r>
      <w:r w:rsidRPr="00787944">
        <w:t xml:space="preserve">, </w:t>
      </w:r>
      <w:r w:rsidRPr="00787944">
        <w:rPr>
          <w:i/>
          <w:iCs/>
        </w:rPr>
        <w:t>MKI67</w:t>
      </w:r>
      <w:r w:rsidRPr="00787944">
        <w:t>). Cell types include epithelial (tumor) cells, T cells, B cells, monocytes, proliferating cells, and others. Annotation allows biological interpretation of the tumor microenvironment composition.</w:t>
      </w:r>
    </w:p>
    <w:p w14:paraId="545D010C" w14:textId="77777777" w:rsidR="00916871" w:rsidRPr="00EA13FE" w:rsidRDefault="00916871" w:rsidP="00916871">
      <w:r w:rsidRPr="00EA13FE">
        <w:t xml:space="preserve">In this study, sequencing data from </w:t>
      </w:r>
      <w:proofErr w:type="spellStart"/>
      <w:r w:rsidRPr="00EA13FE">
        <w:t>scRNA</w:t>
      </w:r>
      <w:proofErr w:type="spellEnd"/>
      <w:r w:rsidRPr="00EA13FE">
        <w:t>-seq for NSCLC tumor specimen was prepared, normalized, dimensionality reduced, clustered, then analyzed for markers. Six major cell populations were identified: epithelial cells (EPCAM), T cells (CD3D), B cells (MS4A1), monocytes (CD14), proliferating cells (MKI67), and other stromal/immune type cells.</w:t>
      </w:r>
    </w:p>
    <w:p w14:paraId="0EFE1569" w14:textId="77777777" w:rsidR="00916871" w:rsidRPr="00EA13FE" w:rsidRDefault="00916871" w:rsidP="00916871">
      <w:r w:rsidRPr="00EA13FE">
        <w:t xml:space="preserve">The epithelial cluster (cluster 0 in figure 4) has a variable expression and proliferation and stress markers. This underscores </w:t>
      </w:r>
      <w:proofErr w:type="spellStart"/>
      <w:r w:rsidRPr="00EA13FE">
        <w:t>intratumoral</w:t>
      </w:r>
      <w:proofErr w:type="spellEnd"/>
      <w:r w:rsidRPr="00EA13FE">
        <w:t xml:space="preserve"> heterogeneity and potential tumor subclones.</w:t>
      </w:r>
    </w:p>
    <w:p w14:paraId="32606CAE" w14:textId="63CF21DD" w:rsidR="00F91698" w:rsidRPr="00EA13FE" w:rsidRDefault="00916871">
      <w:r w:rsidRPr="00EA13FE">
        <w:t xml:space="preserve">Immune infiltration is indicated by </w:t>
      </w:r>
      <w:proofErr w:type="gramStart"/>
      <w:r w:rsidRPr="00EA13FE">
        <w:t>presence</w:t>
      </w:r>
      <w:proofErr w:type="gramEnd"/>
      <w:r w:rsidRPr="00EA13FE">
        <w:t xml:space="preserve"> of adaptive immune cells (B, T cells), and innate cells (monocytes). This indicates an active immune response. This could guide immunotherapy.</w:t>
      </w:r>
    </w:p>
    <w:p w14:paraId="3AEDC09C" w14:textId="75E59EA9" w:rsidR="00916871" w:rsidRPr="00EA13FE" w:rsidRDefault="00916871">
      <w:r w:rsidRPr="00EA13FE">
        <w:t>MKI67 suggests a highly proliferative tumor. So, anti-proliferative drugs would be potent in this case.</w:t>
      </w:r>
    </w:p>
    <w:p w14:paraId="21E94D67" w14:textId="08FB5451" w:rsidR="00916871" w:rsidRPr="005523CA" w:rsidRDefault="00916871">
      <w:r w:rsidRPr="005523CA">
        <w:rPr>
          <w:b/>
          <w:bCs/>
          <w:u w:val="single"/>
        </w:rPr>
        <w:lastRenderedPageBreak/>
        <w:t>Future direction:</w:t>
      </w:r>
      <w:r w:rsidRPr="005523CA">
        <w:rPr>
          <w:b/>
          <w:bCs/>
        </w:rPr>
        <w:br/>
      </w:r>
      <w:proofErr w:type="gramStart"/>
      <w:r w:rsidR="00EA13FE" w:rsidRPr="005523CA">
        <w:t>M</w:t>
      </w:r>
      <w:r w:rsidRPr="005523CA">
        <w:t>ulti-</w:t>
      </w:r>
      <w:proofErr w:type="spellStart"/>
      <w:r w:rsidRPr="005523CA">
        <w:t>omic</w:t>
      </w:r>
      <w:proofErr w:type="spellEnd"/>
      <w:proofErr w:type="gramEnd"/>
      <w:r w:rsidRPr="005523CA">
        <w:t xml:space="preserve"> integration by combining </w:t>
      </w:r>
      <w:proofErr w:type="spellStart"/>
      <w:r w:rsidRPr="005523CA">
        <w:t>scRNA</w:t>
      </w:r>
      <w:proofErr w:type="spellEnd"/>
      <w:r w:rsidRPr="005523CA">
        <w:t xml:space="preserve">-seq with </w:t>
      </w:r>
      <w:proofErr w:type="spellStart"/>
      <w:r w:rsidRPr="005523CA">
        <w:t>scATAC</w:t>
      </w:r>
      <w:proofErr w:type="spellEnd"/>
      <w:r w:rsidRPr="005523CA">
        <w:t>-seq or spatial transcriptomics could help map regulation of genes.</w:t>
      </w:r>
    </w:p>
    <w:p w14:paraId="0A6C43F7" w14:textId="3321CA73" w:rsidR="00AB5035" w:rsidRDefault="00AB5035">
      <w:pPr>
        <w:rPr>
          <w:b/>
          <w:bCs/>
        </w:rPr>
      </w:pPr>
      <w:r>
        <w:rPr>
          <w:b/>
          <w:bCs/>
        </w:rPr>
        <w:t>References</w:t>
      </w:r>
    </w:p>
    <w:p w14:paraId="4A4F00F6" w14:textId="4C68E9BA" w:rsidR="00AB5035" w:rsidRPr="00AB5035" w:rsidRDefault="00AB5035" w:rsidP="00AB5035">
      <w:pPr>
        <w:pStyle w:val="ListParagraph"/>
        <w:numPr>
          <w:ilvl w:val="0"/>
          <w:numId w:val="2"/>
        </w:numPr>
        <w:rPr>
          <w:b/>
          <w:bCs/>
        </w:rPr>
      </w:pPr>
      <w:r w:rsidRPr="00AB5035">
        <w:rPr>
          <w:b/>
          <w:bCs/>
        </w:rPr>
        <w:t>https://pmc.ncbi.nlm.nih.gov/articles/PMC2718421/#:~:text=Non%E2%80%93small%20cell%20lung%20cancer%20accounts%20for%2085%25%20of%20all,crucial%20for%20determining%20appropriate%20therapy.</w:t>
      </w:r>
    </w:p>
    <w:sectPr w:rsidR="00AB5035" w:rsidRPr="00AB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82DA9"/>
    <w:multiLevelType w:val="hybridMultilevel"/>
    <w:tmpl w:val="B834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0F70"/>
    <w:multiLevelType w:val="hybridMultilevel"/>
    <w:tmpl w:val="582E41A2"/>
    <w:lvl w:ilvl="0" w:tplc="D1A094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509E"/>
    <w:multiLevelType w:val="hybridMultilevel"/>
    <w:tmpl w:val="AEF6B1F2"/>
    <w:lvl w:ilvl="0" w:tplc="28C69A5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4D1DA3"/>
    <w:multiLevelType w:val="hybridMultilevel"/>
    <w:tmpl w:val="63B0E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8120">
    <w:abstractNumId w:val="3"/>
  </w:num>
  <w:num w:numId="2" w16cid:durableId="36205799">
    <w:abstractNumId w:val="2"/>
  </w:num>
  <w:num w:numId="3" w16cid:durableId="1622689105">
    <w:abstractNumId w:val="1"/>
  </w:num>
  <w:num w:numId="4" w16cid:durableId="125239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5"/>
    <w:rsid w:val="00030138"/>
    <w:rsid w:val="00095800"/>
    <w:rsid w:val="00221291"/>
    <w:rsid w:val="002260B1"/>
    <w:rsid w:val="002F023D"/>
    <w:rsid w:val="003C63CD"/>
    <w:rsid w:val="00424AFB"/>
    <w:rsid w:val="005523CA"/>
    <w:rsid w:val="0059309D"/>
    <w:rsid w:val="00637399"/>
    <w:rsid w:val="00682E28"/>
    <w:rsid w:val="00787944"/>
    <w:rsid w:val="007A4D85"/>
    <w:rsid w:val="00916871"/>
    <w:rsid w:val="009516B6"/>
    <w:rsid w:val="00A233A4"/>
    <w:rsid w:val="00A40D4C"/>
    <w:rsid w:val="00A439CE"/>
    <w:rsid w:val="00AB5035"/>
    <w:rsid w:val="00AD2D21"/>
    <w:rsid w:val="00AE09E6"/>
    <w:rsid w:val="00B429A2"/>
    <w:rsid w:val="00C122A0"/>
    <w:rsid w:val="00C565CD"/>
    <w:rsid w:val="00C87CA3"/>
    <w:rsid w:val="00D67E03"/>
    <w:rsid w:val="00EA13FE"/>
    <w:rsid w:val="00EA7590"/>
    <w:rsid w:val="00F23AA9"/>
    <w:rsid w:val="00F42068"/>
    <w:rsid w:val="00F9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AA28"/>
  <w15:chartTrackingRefBased/>
  <w15:docId w15:val="{3D6DD099-3A73-4AEA-AE40-7B78FEF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Freeman,Dante</dc:creator>
  <cp:keywords/>
  <dc:description/>
  <cp:lastModifiedBy>Freeman,Dante</cp:lastModifiedBy>
  <cp:revision>25</cp:revision>
  <dcterms:created xsi:type="dcterms:W3CDTF">2025-05-19T08:26:00Z</dcterms:created>
  <dcterms:modified xsi:type="dcterms:W3CDTF">2025-05-19T09:42:00Z</dcterms:modified>
</cp:coreProperties>
</file>