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50" w:type="dxa"/>
        <w:tblInd w:w="93" w:type="dxa"/>
        <w:tblLook w:val="04A0" w:firstRow="1" w:lastRow="0" w:firstColumn="1" w:lastColumn="0" w:noHBand="0" w:noVBand="1"/>
      </w:tblPr>
      <w:tblGrid>
        <w:gridCol w:w="960"/>
        <w:gridCol w:w="1340"/>
        <w:gridCol w:w="1585"/>
        <w:gridCol w:w="1065"/>
      </w:tblGrid>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t>3.2.1)</w:t>
            </w:r>
            <w:r>
              <w:br/>
            </w:r>
            <w:r w:rsidRPr="00FB2CC7">
              <w:rPr>
                <w:rFonts w:ascii="Calibri" w:eastAsia="Times New Roman" w:hAnsi="Calibri" w:cs="Times New Roman"/>
                <w:b/>
                <w:color w:val="000000"/>
              </w:rPr>
              <w:t>Threads</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rsidRPr="00FB2CC7">
              <w:rPr>
                <w:rFonts w:ascii="Calibri" w:eastAsia="Times New Roman" w:hAnsi="Calibri" w:cs="Times New Roman"/>
                <w:b/>
                <w:color w:val="000000"/>
              </w:rPr>
              <w:t>OpenMP for</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rsidRPr="00FB2CC7">
              <w:rPr>
                <w:rFonts w:ascii="Calibri" w:eastAsia="Times New Roman" w:hAnsi="Calibri" w:cs="Times New Roman"/>
                <w:b/>
                <w:color w:val="000000"/>
              </w:rPr>
              <w:t>OpenMP task</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rPr>
                <w:rFonts w:ascii="Calibri" w:eastAsia="Times New Roman" w:hAnsi="Calibri" w:cs="Times New Roman"/>
                <w:b/>
                <w:color w:val="000000"/>
              </w:rPr>
            </w:pPr>
            <w:r w:rsidRPr="00FB2CC7">
              <w:rPr>
                <w:rFonts w:ascii="Calibri" w:eastAsia="Times New Roman" w:hAnsi="Calibri" w:cs="Times New Roman"/>
                <w:b/>
                <w:color w:val="000000"/>
              </w:rPr>
              <w:t>pThreads</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104.1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112.8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123.7</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204.9</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248.1</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246.8</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309.7</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375.2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371.4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418.3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501.3</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495.4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529.4</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612.2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618.1</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627.1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643.9</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742.6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691.5</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770.6</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873.4</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781.3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926.2</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1001.5</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662.1</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1038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767.2</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744.9</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1054.8</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855.6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792.3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1081.7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934.6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12</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837.6</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1095.9</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1027</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13</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852.3</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1121.7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946</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14</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871.2</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1131.1</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1063.3</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15</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922.6</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1151.7</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1075.5</w:t>
            </w:r>
          </w:p>
        </w:tc>
      </w:tr>
      <w:tr w:rsidR="00FB2CC7" w:rsidRPr="00FB2CC7" w:rsidTr="00FB2CC7">
        <w:trPr>
          <w:trHeight w:val="300"/>
        </w:trPr>
        <w:tc>
          <w:tcPr>
            <w:tcW w:w="96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16</w:t>
            </w:r>
          </w:p>
        </w:tc>
        <w:tc>
          <w:tcPr>
            <w:tcW w:w="1340"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948.4</w:t>
            </w:r>
          </w:p>
        </w:tc>
        <w:tc>
          <w:tcPr>
            <w:tcW w:w="158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1170.6</w:t>
            </w:r>
          </w:p>
        </w:tc>
        <w:tc>
          <w:tcPr>
            <w:tcW w:w="1065" w:type="dxa"/>
            <w:tcBorders>
              <w:top w:val="nil"/>
              <w:left w:val="nil"/>
              <w:bottom w:val="nil"/>
              <w:right w:val="nil"/>
            </w:tcBorders>
            <w:shd w:val="clear" w:color="auto" w:fill="auto"/>
            <w:noWrap/>
            <w:vAlign w:val="bottom"/>
            <w:hideMark/>
          </w:tcPr>
          <w:p w:rsidR="00FB2CC7" w:rsidRPr="00FB2CC7" w:rsidRDefault="00FB2CC7" w:rsidP="00FB2CC7">
            <w:pPr>
              <w:spacing w:after="0" w:line="240" w:lineRule="auto"/>
              <w:jc w:val="right"/>
              <w:rPr>
                <w:rFonts w:ascii="Calibri" w:eastAsia="Times New Roman" w:hAnsi="Calibri" w:cs="Times New Roman"/>
                <w:color w:val="000000"/>
              </w:rPr>
            </w:pPr>
            <w:r w:rsidRPr="00FB2CC7">
              <w:rPr>
                <w:rFonts w:ascii="Calibri" w:eastAsia="Times New Roman" w:hAnsi="Calibri" w:cs="Times New Roman"/>
                <w:color w:val="000000"/>
              </w:rPr>
              <w:t>1143.6</w:t>
            </w:r>
          </w:p>
        </w:tc>
      </w:tr>
    </w:tbl>
    <w:p w:rsidR="00FB2CC7" w:rsidRDefault="00FB2CC7"/>
    <w:p w:rsidR="000775F7" w:rsidRDefault="00FB2CC7">
      <w:r>
        <w:rPr>
          <w:noProof/>
        </w:rPr>
        <w:drawing>
          <wp:inline distT="0" distB="0" distL="0" distR="0" wp14:anchorId="356D1C76" wp14:editId="62AF2AF3">
            <wp:extent cx="5824538" cy="3338512"/>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2CC7" w:rsidRDefault="00FB2CC7">
      <w:r>
        <w:t xml:space="preserve">3.2.2) The fastest speed achieved was 1170.6 Mflops/sec with OpenMP-task, which is almost 10x faster than the serial computation. Linear scaling was not achieved as we would need to have 16x speed up (about ~1800 Mflops/sec) to call it linear for 16 threads. After 8 threads, the scaling dropped. The overhead cost to handle more than 8 threads </w:t>
      </w:r>
      <w:r w:rsidR="00B862D0">
        <w:t xml:space="preserve">outweighs adding more processors. </w:t>
      </w:r>
      <w:r>
        <w:t>After</w:t>
      </w:r>
      <w:r w:rsidR="00B862D0">
        <w:t xml:space="preserve"> 8 threads</w:t>
      </w:r>
      <w:r>
        <w:t xml:space="preserve">, there </w:t>
      </w:r>
      <w:r>
        <w:lastRenderedPageBreak/>
        <w:t>is always a dip in performance as the overhead to handle the new processor costs more resources than the resources obtained with an extra tread. The same occurs after 12 processors.</w:t>
      </w:r>
    </w:p>
    <w:p w:rsidR="00B862D0" w:rsidRDefault="006746F6">
      <w:r>
        <w:t>3.2.3) My matrix multiply this about 76x slower compared to that peak. There are many tools such as the Intel intrinsics SSE that I have not used. The matrix multiply method used is also the naïve method. There are other faster techniques that can be used to harness the cache. The proper looping technique to increase the probability of having the value in a lower-level cache drastically increase the speed as well.</w:t>
      </w:r>
    </w:p>
    <w:p w:rsidR="006746F6" w:rsidRDefault="006746F6">
      <w:r>
        <w:t xml:space="preserve">3.2.4) </w:t>
      </w:r>
      <w:r w:rsidR="0016359C">
        <w:t>I like both for different reasons. OpenMP I am familiar with and the wrapper makes it clear what regions are parallel and what attributes the parallelization has. However, Pthreads keeps the simplicity of forking and joining.</w:t>
      </w:r>
    </w:p>
    <w:p w:rsidR="00BA2ED6" w:rsidRDefault="0016359C">
      <w:r>
        <w:t>3.26</w:t>
      </w:r>
      <w:r w:rsidR="0002515D">
        <w:t>)</w:t>
      </w:r>
      <w:r w:rsidR="00A353B5">
        <w:t xml:space="preserve"> </w:t>
      </w:r>
      <w:r w:rsidR="00BA2ED6">
        <w:t>I</w:t>
      </w:r>
      <w:r w:rsidR="00A353B5">
        <w:t>t works very similar to Pthreads where it first sets up all the data in a struct and then it calls the parallel function with the struct passed arguments. The parallel function is very similar to Pthreads fork. After the parallel function is called, it ends with the join in reassigns all the calculated value back into the variable.</w:t>
      </w:r>
    </w:p>
    <w:p w:rsidR="00BA2ED6" w:rsidRDefault="00BA2ED6">
      <w:r>
        <w:br w:type="page"/>
      </w:r>
    </w:p>
    <w:p w:rsidR="00A353B5" w:rsidRDefault="00352FF2">
      <w:r>
        <w:lastRenderedPageBreak/>
        <w:t>4.1.1 &amp; 4.1.2)</w:t>
      </w:r>
    </w:p>
    <w:tbl>
      <w:tblPr>
        <w:tblW w:w="6397" w:type="dxa"/>
        <w:tblInd w:w="93" w:type="dxa"/>
        <w:tblLook w:val="04A0" w:firstRow="1" w:lastRow="0" w:firstColumn="1" w:lastColumn="0" w:noHBand="0" w:noVBand="1"/>
      </w:tblPr>
      <w:tblGrid>
        <w:gridCol w:w="960"/>
        <w:gridCol w:w="1387"/>
        <w:gridCol w:w="1276"/>
        <w:gridCol w:w="1387"/>
        <w:gridCol w:w="1387"/>
      </w:tblGrid>
      <w:tr w:rsidR="00352FF2" w:rsidRPr="00352FF2" w:rsidTr="00352FF2">
        <w:trPr>
          <w:trHeight w:val="300"/>
        </w:trPr>
        <w:tc>
          <w:tcPr>
            <w:tcW w:w="960" w:type="dxa"/>
            <w:vMerge w:val="restart"/>
            <w:tcBorders>
              <w:top w:val="nil"/>
              <w:left w:val="nil"/>
              <w:bottom w:val="nil"/>
              <w:right w:val="nil"/>
            </w:tcBorders>
            <w:shd w:val="clear" w:color="auto" w:fill="auto"/>
            <w:noWrap/>
            <w:vAlign w:val="center"/>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Threads</w:t>
            </w:r>
          </w:p>
        </w:tc>
        <w:tc>
          <w:tcPr>
            <w:tcW w:w="2663" w:type="dxa"/>
            <w:gridSpan w:val="2"/>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Time (sec)</w:t>
            </w:r>
          </w:p>
        </w:tc>
        <w:tc>
          <w:tcPr>
            <w:tcW w:w="2774" w:type="dxa"/>
            <w:gridSpan w:val="2"/>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Scaling</w:t>
            </w:r>
          </w:p>
        </w:tc>
      </w:tr>
      <w:tr w:rsidR="00352FF2" w:rsidRPr="00352FF2" w:rsidTr="00352FF2">
        <w:trPr>
          <w:trHeight w:val="300"/>
        </w:trPr>
        <w:tc>
          <w:tcPr>
            <w:tcW w:w="960" w:type="dxa"/>
            <w:vMerge/>
            <w:tcBorders>
              <w:top w:val="nil"/>
              <w:left w:val="nil"/>
              <w:bottom w:val="nil"/>
              <w:right w:val="nil"/>
            </w:tcBorders>
            <w:vAlign w:val="center"/>
            <w:hideMark/>
          </w:tcPr>
          <w:p w:rsidR="00352FF2" w:rsidRPr="00352FF2" w:rsidRDefault="00352FF2" w:rsidP="00352FF2">
            <w:pPr>
              <w:spacing w:after="0" w:line="240" w:lineRule="auto"/>
              <w:rPr>
                <w:rFonts w:ascii="Calibri" w:eastAsia="Times New Roman" w:hAnsi="Calibri" w:cs="Times New Roman"/>
                <w:b/>
                <w:bCs/>
                <w:color w:val="000000"/>
              </w:rPr>
            </w:pP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n=1</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n=10</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n=1</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center"/>
              <w:rPr>
                <w:rFonts w:ascii="Calibri" w:eastAsia="Times New Roman" w:hAnsi="Calibri" w:cs="Times New Roman"/>
                <w:b/>
                <w:bCs/>
                <w:color w:val="000000"/>
              </w:rPr>
            </w:pPr>
            <w:r w:rsidRPr="00352FF2">
              <w:rPr>
                <w:rFonts w:ascii="Calibri" w:eastAsia="Times New Roman" w:hAnsi="Calibri" w:cs="Times New Roman"/>
                <w:b/>
                <w:bCs/>
                <w:color w:val="000000"/>
              </w:rPr>
              <w:t>n=10</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0.00358009</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0.0428629</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1.024840158</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0.991577798</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2</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0.00192404</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0.0216348</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1.906935407</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1.964515503</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0.00116801</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0.014184</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3.141257352</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2.996467851</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0.000937939</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0.0113392</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3.911789573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3.748227388</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0.000892162</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0.009413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4.112504231</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4.515234251</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6</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0.000772953</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0.00760603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4.746756918</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5.587921688</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7</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0.000715017</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0.0068779</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5.131374499</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6.179487925</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8</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0.00068593</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0.00602603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5.348971469</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7.053051512</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9</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0.000905037</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0.0079608</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4.054000002</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5.338898101</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10</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0.000921962</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0.00844693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3.979578334</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5.031638714</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11</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0.000862122</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0.00699496</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4.255801383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6.076074774</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12</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0.000770807</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0.00668979</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4.759972341</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6.353248757</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0.000819921</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0.00841904</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4.474845747</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5.04830717</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14</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0.000828028</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0.00847983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4.431033733</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5.012116988</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15</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0.00097394</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0.00825405</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3.767193051</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5.149217657</w:t>
            </w:r>
          </w:p>
        </w:tc>
      </w:tr>
      <w:tr w:rsidR="00352FF2" w:rsidRPr="00352FF2" w:rsidTr="00352FF2">
        <w:trPr>
          <w:trHeight w:val="300"/>
        </w:trPr>
        <w:tc>
          <w:tcPr>
            <w:tcW w:w="960"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16</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0.000705957</w:t>
            </w:r>
          </w:p>
        </w:tc>
        <w:tc>
          <w:tcPr>
            <w:tcW w:w="1276"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0.006814</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5.197228726</w:t>
            </w:r>
          </w:p>
        </w:tc>
        <w:tc>
          <w:tcPr>
            <w:tcW w:w="1387" w:type="dxa"/>
            <w:tcBorders>
              <w:top w:val="nil"/>
              <w:left w:val="nil"/>
              <w:bottom w:val="nil"/>
              <w:right w:val="nil"/>
            </w:tcBorders>
            <w:shd w:val="clear" w:color="auto" w:fill="auto"/>
            <w:noWrap/>
            <w:vAlign w:val="bottom"/>
            <w:hideMark/>
          </w:tcPr>
          <w:p w:rsidR="00352FF2" w:rsidRPr="00352FF2" w:rsidRDefault="00352FF2" w:rsidP="00352FF2">
            <w:pPr>
              <w:spacing w:after="0" w:line="240" w:lineRule="auto"/>
              <w:jc w:val="right"/>
              <w:rPr>
                <w:rFonts w:ascii="Calibri" w:eastAsia="Times New Roman" w:hAnsi="Calibri" w:cs="Times New Roman"/>
                <w:color w:val="000000"/>
              </w:rPr>
            </w:pPr>
            <w:r w:rsidRPr="00352FF2">
              <w:rPr>
                <w:rFonts w:ascii="Calibri" w:eastAsia="Times New Roman" w:hAnsi="Calibri" w:cs="Times New Roman"/>
                <w:color w:val="000000"/>
              </w:rPr>
              <w:t>6.237437628</w:t>
            </w:r>
          </w:p>
        </w:tc>
      </w:tr>
    </w:tbl>
    <w:p w:rsidR="00352FF2" w:rsidRDefault="00352FF2">
      <w:r>
        <w:br/>
      </w:r>
      <w:r>
        <w:rPr>
          <w:noProof/>
        </w:rPr>
        <w:drawing>
          <wp:inline distT="0" distB="0" distL="0" distR="0" wp14:anchorId="50A87B22" wp14:editId="190C6A69">
            <wp:extent cx="5634037" cy="3519488"/>
            <wp:effectExtent l="0" t="0" r="2413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52FF2" w:rsidRDefault="00352FF2">
      <w:bookmarkStart w:id="0" w:name="_GoBack"/>
      <w:bookmarkEnd w:id="0"/>
    </w:p>
    <w:sectPr w:rsidR="0035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F3AB444-019F-4E46-8FF2-EF9498D1464C}"/>
    <w:docVar w:name="dgnword-eventsink" w:val="162130760"/>
  </w:docVars>
  <w:rsids>
    <w:rsidRoot w:val="00FB2CC7"/>
    <w:rsid w:val="0002515D"/>
    <w:rsid w:val="000775F7"/>
    <w:rsid w:val="0016359C"/>
    <w:rsid w:val="00352FF2"/>
    <w:rsid w:val="0046286F"/>
    <w:rsid w:val="006746F6"/>
    <w:rsid w:val="00A353B5"/>
    <w:rsid w:val="00B862D0"/>
    <w:rsid w:val="00BA2ED6"/>
    <w:rsid w:val="00F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18220">
      <w:bodyDiv w:val="1"/>
      <w:marLeft w:val="0"/>
      <w:marRight w:val="0"/>
      <w:marTop w:val="0"/>
      <w:marBottom w:val="0"/>
      <w:divBdr>
        <w:top w:val="none" w:sz="0" w:space="0" w:color="auto"/>
        <w:left w:val="none" w:sz="0" w:space="0" w:color="auto"/>
        <w:bottom w:val="none" w:sz="0" w:space="0" w:color="auto"/>
        <w:right w:val="none" w:sz="0" w:space="0" w:color="auto"/>
      </w:divBdr>
    </w:div>
    <w:div w:id="98042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Matrix Mul. Scaling</a:t>
            </a:r>
          </a:p>
        </c:rich>
      </c:tx>
      <c:layout>
        <c:manualLayout>
          <c:xMode val="edge"/>
          <c:yMode val="edge"/>
          <c:x val="0.29853251880234966"/>
          <c:y val="3.075621714104966E-2"/>
        </c:manualLayout>
      </c:layout>
      <c:overlay val="0"/>
    </c:title>
    <c:autoTitleDeleted val="0"/>
    <c:plotArea>
      <c:layout/>
      <c:lineChart>
        <c:grouping val="standard"/>
        <c:varyColors val="0"/>
        <c:ser>
          <c:idx val="0"/>
          <c:order val="0"/>
          <c:tx>
            <c:strRef>
              <c:f>Sheet1!$B$1</c:f>
              <c:strCache>
                <c:ptCount val="1"/>
                <c:pt idx="0">
                  <c:v>OpenMP for</c:v>
                </c:pt>
              </c:strCache>
            </c:strRef>
          </c:tx>
          <c:marker>
            <c:symbol val="none"/>
          </c:marker>
          <c:val>
            <c:numRef>
              <c:f>Sheet1!$B$2:$B$17</c:f>
              <c:numCache>
                <c:formatCode>General</c:formatCode>
                <c:ptCount val="16"/>
                <c:pt idx="0">
                  <c:v>104.1</c:v>
                </c:pt>
                <c:pt idx="1">
                  <c:v>204.9</c:v>
                </c:pt>
                <c:pt idx="2">
                  <c:v>309.7</c:v>
                </c:pt>
                <c:pt idx="3">
                  <c:v>418.3</c:v>
                </c:pt>
                <c:pt idx="4">
                  <c:v>529.4</c:v>
                </c:pt>
                <c:pt idx="5">
                  <c:v>627.1</c:v>
                </c:pt>
                <c:pt idx="6">
                  <c:v>691.5</c:v>
                </c:pt>
                <c:pt idx="7">
                  <c:v>781.3</c:v>
                </c:pt>
                <c:pt idx="8">
                  <c:v>662.1</c:v>
                </c:pt>
                <c:pt idx="9">
                  <c:v>744.9</c:v>
                </c:pt>
                <c:pt idx="10">
                  <c:v>792.3</c:v>
                </c:pt>
                <c:pt idx="11">
                  <c:v>837.6</c:v>
                </c:pt>
                <c:pt idx="12">
                  <c:v>852.3</c:v>
                </c:pt>
                <c:pt idx="13">
                  <c:v>871.2</c:v>
                </c:pt>
                <c:pt idx="14">
                  <c:v>922.6</c:v>
                </c:pt>
                <c:pt idx="15">
                  <c:v>948.4</c:v>
                </c:pt>
              </c:numCache>
            </c:numRef>
          </c:val>
          <c:smooth val="0"/>
        </c:ser>
        <c:ser>
          <c:idx val="1"/>
          <c:order val="1"/>
          <c:tx>
            <c:strRef>
              <c:f>Sheet1!$C$1</c:f>
              <c:strCache>
                <c:ptCount val="1"/>
                <c:pt idx="0">
                  <c:v>OpenMP task</c:v>
                </c:pt>
              </c:strCache>
            </c:strRef>
          </c:tx>
          <c:marker>
            <c:symbol val="none"/>
          </c:marker>
          <c:val>
            <c:numRef>
              <c:f>Sheet1!$C$2:$C$17</c:f>
              <c:numCache>
                <c:formatCode>General</c:formatCode>
                <c:ptCount val="16"/>
                <c:pt idx="0">
                  <c:v>112.8</c:v>
                </c:pt>
                <c:pt idx="1">
                  <c:v>248.1</c:v>
                </c:pt>
                <c:pt idx="2">
                  <c:v>375.2</c:v>
                </c:pt>
                <c:pt idx="3">
                  <c:v>501.3</c:v>
                </c:pt>
                <c:pt idx="4">
                  <c:v>612.20000000000005</c:v>
                </c:pt>
                <c:pt idx="5">
                  <c:v>643.9</c:v>
                </c:pt>
                <c:pt idx="6">
                  <c:v>770.6</c:v>
                </c:pt>
                <c:pt idx="7">
                  <c:v>926.2</c:v>
                </c:pt>
                <c:pt idx="8">
                  <c:v>1038</c:v>
                </c:pt>
                <c:pt idx="9">
                  <c:v>1054.8</c:v>
                </c:pt>
                <c:pt idx="10">
                  <c:v>1081.7</c:v>
                </c:pt>
                <c:pt idx="11">
                  <c:v>1095.9000000000001</c:v>
                </c:pt>
                <c:pt idx="12">
                  <c:v>1121.7</c:v>
                </c:pt>
                <c:pt idx="13">
                  <c:v>1131.0999999999999</c:v>
                </c:pt>
                <c:pt idx="14">
                  <c:v>1151.7</c:v>
                </c:pt>
                <c:pt idx="15">
                  <c:v>1170.5999999999999</c:v>
                </c:pt>
              </c:numCache>
            </c:numRef>
          </c:val>
          <c:smooth val="0"/>
        </c:ser>
        <c:ser>
          <c:idx val="2"/>
          <c:order val="2"/>
          <c:tx>
            <c:strRef>
              <c:f>Sheet1!$D$1</c:f>
              <c:strCache>
                <c:ptCount val="1"/>
                <c:pt idx="0">
                  <c:v>pThreads</c:v>
                </c:pt>
              </c:strCache>
            </c:strRef>
          </c:tx>
          <c:marker>
            <c:symbol val="none"/>
          </c:marker>
          <c:val>
            <c:numRef>
              <c:f>Sheet1!$D$2:$D$17</c:f>
              <c:numCache>
                <c:formatCode>General</c:formatCode>
                <c:ptCount val="16"/>
                <c:pt idx="0">
                  <c:v>123.7</c:v>
                </c:pt>
                <c:pt idx="1">
                  <c:v>246.8</c:v>
                </c:pt>
                <c:pt idx="2">
                  <c:v>371.4</c:v>
                </c:pt>
                <c:pt idx="3">
                  <c:v>495.4</c:v>
                </c:pt>
                <c:pt idx="4">
                  <c:v>618.1</c:v>
                </c:pt>
                <c:pt idx="5">
                  <c:v>742.6</c:v>
                </c:pt>
                <c:pt idx="6">
                  <c:v>873.4</c:v>
                </c:pt>
                <c:pt idx="7">
                  <c:v>1001.5</c:v>
                </c:pt>
                <c:pt idx="8">
                  <c:v>767.2</c:v>
                </c:pt>
                <c:pt idx="9">
                  <c:v>855.6</c:v>
                </c:pt>
                <c:pt idx="10">
                  <c:v>934.6</c:v>
                </c:pt>
                <c:pt idx="11">
                  <c:v>1027</c:v>
                </c:pt>
                <c:pt idx="12">
                  <c:v>946</c:v>
                </c:pt>
                <c:pt idx="13">
                  <c:v>1063.3</c:v>
                </c:pt>
                <c:pt idx="14">
                  <c:v>1075.5</c:v>
                </c:pt>
                <c:pt idx="15">
                  <c:v>1143.5999999999999</c:v>
                </c:pt>
              </c:numCache>
            </c:numRef>
          </c:val>
          <c:smooth val="0"/>
        </c:ser>
        <c:dLbls>
          <c:showLegendKey val="0"/>
          <c:showVal val="0"/>
          <c:showCatName val="0"/>
          <c:showSerName val="0"/>
          <c:showPercent val="0"/>
          <c:showBubbleSize val="0"/>
        </c:dLbls>
        <c:marker val="1"/>
        <c:smooth val="0"/>
        <c:axId val="125267328"/>
        <c:axId val="125273600"/>
      </c:lineChart>
      <c:catAx>
        <c:axId val="125267328"/>
        <c:scaling>
          <c:orientation val="minMax"/>
        </c:scaling>
        <c:delete val="0"/>
        <c:axPos val="b"/>
        <c:title>
          <c:tx>
            <c:rich>
              <a:bodyPr/>
              <a:lstStyle/>
              <a:p>
                <a:pPr>
                  <a:defRPr/>
                </a:pPr>
                <a:r>
                  <a:rPr lang="en-US"/>
                  <a:t># Threads</a:t>
                </a:r>
              </a:p>
            </c:rich>
          </c:tx>
          <c:overlay val="0"/>
        </c:title>
        <c:majorTickMark val="out"/>
        <c:minorTickMark val="none"/>
        <c:tickLblPos val="nextTo"/>
        <c:crossAx val="125273600"/>
        <c:crosses val="autoZero"/>
        <c:auto val="1"/>
        <c:lblAlgn val="ctr"/>
        <c:lblOffset val="100"/>
        <c:noMultiLvlLbl val="0"/>
      </c:catAx>
      <c:valAx>
        <c:axId val="125273600"/>
        <c:scaling>
          <c:orientation val="minMax"/>
        </c:scaling>
        <c:delete val="0"/>
        <c:axPos val="l"/>
        <c:majorGridlines/>
        <c:title>
          <c:tx>
            <c:rich>
              <a:bodyPr rot="-5400000" vert="horz"/>
              <a:lstStyle/>
              <a:p>
                <a:pPr>
                  <a:defRPr/>
                </a:pPr>
                <a:r>
                  <a:rPr lang="en-US"/>
                  <a:t>Mflops/sec</a:t>
                </a:r>
              </a:p>
            </c:rich>
          </c:tx>
          <c:overlay val="0"/>
        </c:title>
        <c:numFmt formatCode="General" sourceLinked="1"/>
        <c:majorTickMark val="out"/>
        <c:minorTickMark val="none"/>
        <c:tickLblPos val="nextTo"/>
        <c:crossAx val="1252673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Scaling Image Blur</a:t>
            </a:r>
          </a:p>
        </c:rich>
      </c:tx>
      <c:overlay val="0"/>
    </c:title>
    <c:autoTitleDeleted val="0"/>
    <c:plotArea>
      <c:layout/>
      <c:lineChart>
        <c:grouping val="standard"/>
        <c:varyColors val="0"/>
        <c:ser>
          <c:idx val="0"/>
          <c:order val="0"/>
          <c:tx>
            <c:strRef>
              <c:f>Sheet1!$D$2</c:f>
              <c:strCache>
                <c:ptCount val="1"/>
                <c:pt idx="0">
                  <c:v>n=1</c:v>
                </c:pt>
              </c:strCache>
            </c:strRef>
          </c:tx>
          <c:marker>
            <c:symbol val="none"/>
          </c:marker>
          <c:val>
            <c:numRef>
              <c:f>Sheet1!$D$3:$D$18</c:f>
              <c:numCache>
                <c:formatCode>General</c:formatCode>
                <c:ptCount val="16"/>
                <c:pt idx="0">
                  <c:v>1.024840157649668</c:v>
                </c:pt>
                <c:pt idx="1">
                  <c:v>1.9069354067483004</c:v>
                </c:pt>
                <c:pt idx="2">
                  <c:v>3.1412573522486964</c:v>
                </c:pt>
                <c:pt idx="3">
                  <c:v>3.9117895726694378</c:v>
                </c:pt>
                <c:pt idx="4">
                  <c:v>4.1125042312943165</c:v>
                </c:pt>
                <c:pt idx="5">
                  <c:v>4.7467569179497326</c:v>
                </c:pt>
                <c:pt idx="6">
                  <c:v>5.1313744987881407</c:v>
                </c:pt>
                <c:pt idx="7">
                  <c:v>5.3489714693919206</c:v>
                </c:pt>
                <c:pt idx="8">
                  <c:v>4.0540000022098539</c:v>
                </c:pt>
                <c:pt idx="9">
                  <c:v>3.9795783340311202</c:v>
                </c:pt>
                <c:pt idx="10">
                  <c:v>4.2558013830989116</c:v>
                </c:pt>
                <c:pt idx="11">
                  <c:v>4.7599723406767191</c:v>
                </c:pt>
                <c:pt idx="12">
                  <c:v>4.4748457473341938</c:v>
                </c:pt>
                <c:pt idx="13">
                  <c:v>4.4310337331587819</c:v>
                </c:pt>
                <c:pt idx="14">
                  <c:v>3.7671930509066267</c:v>
                </c:pt>
                <c:pt idx="15">
                  <c:v>5.197228726395517</c:v>
                </c:pt>
              </c:numCache>
            </c:numRef>
          </c:val>
          <c:smooth val="0"/>
        </c:ser>
        <c:ser>
          <c:idx val="1"/>
          <c:order val="1"/>
          <c:tx>
            <c:strRef>
              <c:f>Sheet1!$E$2</c:f>
              <c:strCache>
                <c:ptCount val="1"/>
                <c:pt idx="0">
                  <c:v>n=10</c:v>
                </c:pt>
              </c:strCache>
            </c:strRef>
          </c:tx>
          <c:marker>
            <c:symbol val="none"/>
          </c:marker>
          <c:val>
            <c:numRef>
              <c:f>Sheet1!$E$3:$E$18</c:f>
              <c:numCache>
                <c:formatCode>General</c:formatCode>
                <c:ptCount val="16"/>
                <c:pt idx="0">
                  <c:v>0.99157779804912871</c:v>
                </c:pt>
                <c:pt idx="1">
                  <c:v>1.964515502801043</c:v>
                </c:pt>
                <c:pt idx="2">
                  <c:v>2.996467851099831</c:v>
                </c:pt>
                <c:pt idx="3">
                  <c:v>3.7482273881755326</c:v>
                </c:pt>
                <c:pt idx="4">
                  <c:v>4.5152342505046219</c:v>
                </c:pt>
                <c:pt idx="5">
                  <c:v>5.5879216884498222</c:v>
                </c:pt>
                <c:pt idx="6">
                  <c:v>6.1794879250934152</c:v>
                </c:pt>
                <c:pt idx="7">
                  <c:v>7.0530515115258305</c:v>
                </c:pt>
                <c:pt idx="8">
                  <c:v>5.338898100693398</c:v>
                </c:pt>
                <c:pt idx="9">
                  <c:v>5.0316387137101888</c:v>
                </c:pt>
                <c:pt idx="10">
                  <c:v>6.0760747738371634</c:v>
                </c:pt>
                <c:pt idx="11">
                  <c:v>6.3532487566874298</c:v>
                </c:pt>
                <c:pt idx="12">
                  <c:v>5.0483071704137297</c:v>
                </c:pt>
                <c:pt idx="13">
                  <c:v>5.0121169881943386</c:v>
                </c:pt>
                <c:pt idx="14">
                  <c:v>5.1492176567866679</c:v>
                </c:pt>
                <c:pt idx="15">
                  <c:v>6.2374376284120929</c:v>
                </c:pt>
              </c:numCache>
            </c:numRef>
          </c:val>
          <c:smooth val="0"/>
        </c:ser>
        <c:dLbls>
          <c:showLegendKey val="0"/>
          <c:showVal val="0"/>
          <c:showCatName val="0"/>
          <c:showSerName val="0"/>
          <c:showPercent val="0"/>
          <c:showBubbleSize val="0"/>
        </c:dLbls>
        <c:marker val="1"/>
        <c:smooth val="0"/>
        <c:axId val="125299712"/>
        <c:axId val="125301888"/>
      </c:lineChart>
      <c:catAx>
        <c:axId val="125299712"/>
        <c:scaling>
          <c:orientation val="minMax"/>
        </c:scaling>
        <c:delete val="0"/>
        <c:axPos val="b"/>
        <c:title>
          <c:tx>
            <c:rich>
              <a:bodyPr/>
              <a:lstStyle/>
              <a:p>
                <a:pPr>
                  <a:defRPr/>
                </a:pPr>
                <a:r>
                  <a:rPr lang="en-US"/>
                  <a:t># Threads</a:t>
                </a:r>
              </a:p>
            </c:rich>
          </c:tx>
          <c:overlay val="0"/>
        </c:title>
        <c:majorTickMark val="out"/>
        <c:minorTickMark val="none"/>
        <c:tickLblPos val="nextTo"/>
        <c:crossAx val="125301888"/>
        <c:crosses val="autoZero"/>
        <c:auto val="1"/>
        <c:lblAlgn val="ctr"/>
        <c:lblOffset val="100"/>
        <c:noMultiLvlLbl val="0"/>
      </c:catAx>
      <c:valAx>
        <c:axId val="125301888"/>
        <c:scaling>
          <c:orientation val="minMax"/>
        </c:scaling>
        <c:delete val="0"/>
        <c:axPos val="l"/>
        <c:majorGridlines/>
        <c:title>
          <c:tx>
            <c:rich>
              <a:bodyPr rot="-5400000" vert="horz"/>
              <a:lstStyle/>
              <a:p>
                <a:pPr>
                  <a:defRPr/>
                </a:pPr>
                <a:r>
                  <a:rPr lang="en-US"/>
                  <a:t>Scaling</a:t>
                </a:r>
              </a:p>
            </c:rich>
          </c:tx>
          <c:overlay val="0"/>
        </c:title>
        <c:numFmt formatCode="General" sourceLinked="1"/>
        <c:majorTickMark val="out"/>
        <c:minorTickMark val="none"/>
        <c:tickLblPos val="nextTo"/>
        <c:crossAx val="1252997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7</cp:revision>
  <dcterms:created xsi:type="dcterms:W3CDTF">2013-09-23T05:56:00Z</dcterms:created>
  <dcterms:modified xsi:type="dcterms:W3CDTF">2013-09-24T05:06:00Z</dcterms:modified>
</cp:coreProperties>
</file>