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00" w:type="dxa"/>
        <w:tblInd w:w="93" w:type="dxa"/>
        <w:tblLook w:val="04A0" w:firstRow="1" w:lastRow="0" w:firstColumn="1" w:lastColumn="0" w:noHBand="0" w:noVBand="1"/>
      </w:tblPr>
      <w:tblGrid>
        <w:gridCol w:w="1109"/>
        <w:gridCol w:w="1387"/>
        <w:gridCol w:w="1276"/>
        <w:gridCol w:w="2140"/>
      </w:tblGrid>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center"/>
              <w:rPr>
                <w:rFonts w:ascii="Calibri" w:eastAsia="Times New Roman" w:hAnsi="Calibri" w:cs="Times New Roman"/>
                <w:b/>
                <w:bCs/>
                <w:color w:val="000000"/>
              </w:rPr>
            </w:pPr>
            <w:r w:rsidRPr="000C48FE">
              <w:rPr>
                <w:rFonts w:ascii="Calibri" w:eastAsia="Times New Roman" w:hAnsi="Calibri" w:cs="Times New Roman"/>
                <w:b/>
                <w:bCs/>
                <w:color w:val="000000"/>
              </w:rPr>
              <w:t>n</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center"/>
              <w:rPr>
                <w:rFonts w:ascii="Calibri" w:eastAsia="Times New Roman" w:hAnsi="Calibri" w:cs="Times New Roman"/>
                <w:b/>
                <w:bCs/>
                <w:color w:val="000000"/>
              </w:rPr>
            </w:pPr>
            <w:r w:rsidRPr="000C48FE">
              <w:rPr>
                <w:rFonts w:ascii="Calibri" w:eastAsia="Times New Roman" w:hAnsi="Calibri" w:cs="Times New Roman"/>
                <w:b/>
                <w:bCs/>
                <w:color w:val="000000"/>
              </w:rPr>
              <w:t>CPU</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center"/>
              <w:rPr>
                <w:rFonts w:ascii="Calibri" w:eastAsia="Times New Roman" w:hAnsi="Calibri" w:cs="Times New Roman"/>
                <w:b/>
                <w:bCs/>
                <w:color w:val="000000"/>
              </w:rPr>
            </w:pPr>
            <w:r w:rsidRPr="000C48FE">
              <w:rPr>
                <w:rFonts w:ascii="Calibri" w:eastAsia="Times New Roman" w:hAnsi="Calibri" w:cs="Times New Roman"/>
                <w:b/>
                <w:bCs/>
                <w:color w:val="000000"/>
              </w:rPr>
              <w:t>GPU</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center"/>
              <w:rPr>
                <w:rFonts w:ascii="Calibri" w:eastAsia="Times New Roman" w:hAnsi="Calibri" w:cs="Times New Roman"/>
                <w:b/>
                <w:bCs/>
                <w:color w:val="000000"/>
              </w:rPr>
            </w:pPr>
            <w:r w:rsidRPr="000C48FE">
              <w:rPr>
                <w:rFonts w:ascii="Calibri" w:eastAsia="Times New Roman" w:hAnsi="Calibri" w:cs="Times New Roman"/>
                <w:b/>
                <w:bCs/>
                <w:color w:val="000000"/>
              </w:rPr>
              <w:t>Speed-up (CPU/GPU)</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128</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1.31E-05</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0.00255489</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0.005132511</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256</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9.68E-05</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0.00492215</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0.019665776</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512</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0.000121117</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0.00494409</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0.024497329</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1024</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0.000178814</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0.00496101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0.03604387</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2048</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0.000295877</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0.00506306</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0.058438375</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4096</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0.000552893</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0.00513697</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0.107630179</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8192</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0.00109696</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0.0055871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0.196337993</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16384</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0.00227213</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0.00665188</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0.341577118</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32768</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0.00476503</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0.0115521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0.412481713</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65536</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0.0100169</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0.024091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0.41579428</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131072</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0.020997</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0.0319879</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0.656404453</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262144</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0.0442622</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0.0485239</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0.912173177</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524288</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0.0932498</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0.0844591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1.104082331</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1048576</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0.195943</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0.158831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1.233657158</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2097152</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0.413011</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0.288534</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1.431411896</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4194304</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0.86497</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0.551512</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1.56836116</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8388608</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1.8062</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1.07787</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1.675712284</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16777216</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3.76676</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2.28211</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1.650560227</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33554432</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7.85666</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4.54696</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1.727892922</w:t>
            </w:r>
          </w:p>
        </w:tc>
      </w:tr>
      <w:tr w:rsidR="000C48FE" w:rsidRPr="000C48FE" w:rsidTr="000C48FE">
        <w:trPr>
          <w:trHeight w:val="300"/>
        </w:trPr>
        <w:tc>
          <w:tcPr>
            <w:tcW w:w="9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67108864</w:t>
            </w:r>
          </w:p>
        </w:tc>
        <w:tc>
          <w:tcPr>
            <w:tcW w:w="12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16.4712</w:t>
            </w:r>
          </w:p>
        </w:tc>
        <w:tc>
          <w:tcPr>
            <w:tcW w:w="116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9.06419</w:t>
            </w:r>
          </w:p>
        </w:tc>
        <w:tc>
          <w:tcPr>
            <w:tcW w:w="2140" w:type="dxa"/>
            <w:tcBorders>
              <w:top w:val="nil"/>
              <w:left w:val="nil"/>
              <w:bottom w:val="nil"/>
              <w:right w:val="nil"/>
            </w:tcBorders>
            <w:shd w:val="clear" w:color="auto" w:fill="auto"/>
            <w:noWrap/>
            <w:vAlign w:val="bottom"/>
            <w:hideMark/>
          </w:tcPr>
          <w:p w:rsidR="000C48FE" w:rsidRPr="000C48FE" w:rsidRDefault="000C48FE" w:rsidP="000C48FE">
            <w:pPr>
              <w:spacing w:after="0" w:line="240" w:lineRule="auto"/>
              <w:jc w:val="right"/>
              <w:rPr>
                <w:rFonts w:ascii="Calibri" w:eastAsia="Times New Roman" w:hAnsi="Calibri" w:cs="Times New Roman"/>
                <w:color w:val="000000"/>
              </w:rPr>
            </w:pPr>
            <w:r w:rsidRPr="000C48FE">
              <w:rPr>
                <w:rFonts w:ascii="Calibri" w:eastAsia="Times New Roman" w:hAnsi="Calibri" w:cs="Times New Roman"/>
                <w:color w:val="000000"/>
              </w:rPr>
              <w:t>1.817172853</w:t>
            </w:r>
          </w:p>
        </w:tc>
      </w:tr>
    </w:tbl>
    <w:p w:rsidR="009B0D6B" w:rsidRDefault="009B0D6B"/>
    <w:p w:rsidR="000C48FE" w:rsidRDefault="000C48FE">
      <w:r>
        <w:rPr>
          <w:noProof/>
        </w:rPr>
        <w:drawing>
          <wp:inline distT="0" distB="0" distL="0" distR="0" wp14:anchorId="0EF6E9BB" wp14:editId="2032FA64">
            <wp:extent cx="5943600" cy="3606800"/>
            <wp:effectExtent l="0" t="0" r="190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C48FE" w:rsidRDefault="000C48FE">
      <w:r>
        <w:rPr>
          <w:noProof/>
        </w:rPr>
        <w:lastRenderedPageBreak/>
        <w:drawing>
          <wp:inline distT="0" distB="0" distL="0" distR="0" wp14:anchorId="234B714D" wp14:editId="69DAEA66">
            <wp:extent cx="5943600" cy="3606800"/>
            <wp:effectExtent l="0" t="0" r="190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48FE" w:rsidRDefault="000C48FE">
      <w:r>
        <w:t>A speed up on the GPU compared to a CPU sort algorithm occurs on array sizes approximately larger than 400000. This is an array size of about 1.5MB. The GPU speed up gradually increases as the array size gets larger. At smaller array sizes, the kernel execution overhead requires much more computational time compared to the sorting computation and takes up most of the time in the entire process. Compared to the CPU</w:t>
      </w:r>
      <w:r w:rsidR="00384490">
        <w:t xml:space="preserve"> execution overhead, the GPU kernel execution overhead takes much more time. However for larger arrays, the GPU is able to do much more computation in a shorter amount of time due to having more SIMD vectors compared to the CPU. The amount of calculation for sorting takes over the overhead time and computation.</w:t>
      </w:r>
      <w:bookmarkStart w:id="0" w:name="_GoBack"/>
      <w:bookmarkEnd w:id="0"/>
    </w:p>
    <w:sectPr w:rsidR="000C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713C4F2-BB18-47E9-A632-FC0F69002AB9}"/>
    <w:docVar w:name="dgnword-eventsink" w:val="141881728"/>
  </w:docVars>
  <w:rsids>
    <w:rsidRoot w:val="000C48FE"/>
    <w:rsid w:val="000C48FE"/>
    <w:rsid w:val="00384490"/>
    <w:rsid w:val="009B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9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Sorting Times</a:t>
            </a:r>
            <a:r>
              <a:rPr lang="en-US" baseline="0"/>
              <a:t> of CPU (Quicksort) vs GPU (Radixsort)</a:t>
            </a:r>
            <a:endParaRPr lang="en-US"/>
          </a:p>
        </c:rich>
      </c:tx>
      <c:overlay val="0"/>
    </c:title>
    <c:autoTitleDeleted val="0"/>
    <c:plotArea>
      <c:layout/>
      <c:lineChart>
        <c:grouping val="standard"/>
        <c:varyColors val="0"/>
        <c:ser>
          <c:idx val="2"/>
          <c:order val="0"/>
          <c:tx>
            <c:v>CPU</c:v>
          </c:tx>
          <c:marker>
            <c:symbol val="none"/>
          </c:marker>
          <c:cat>
            <c:numRef>
              <c:f>Sheet1!$A$2:$A$21</c:f>
              <c:numCache>
                <c:formatCode>General</c:formatCod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numCache>
            </c:numRef>
          </c:cat>
          <c:val>
            <c:numRef>
              <c:f>Sheet1!$B$2:$B$21</c:f>
              <c:numCache>
                <c:formatCode>0.00E+00</c:formatCode>
                <c:ptCount val="20"/>
                <c:pt idx="0">
                  <c:v>1.3113E-5</c:v>
                </c:pt>
                <c:pt idx="1">
                  <c:v>9.6797899999999997E-5</c:v>
                </c:pt>
                <c:pt idx="2" formatCode="General">
                  <c:v>1.21117E-4</c:v>
                </c:pt>
                <c:pt idx="3" formatCode="General">
                  <c:v>1.7881400000000001E-4</c:v>
                </c:pt>
                <c:pt idx="4" formatCode="General">
                  <c:v>2.95877E-4</c:v>
                </c:pt>
                <c:pt idx="5" formatCode="General">
                  <c:v>5.5289300000000005E-4</c:v>
                </c:pt>
                <c:pt idx="6" formatCode="General">
                  <c:v>1.0969599999999999E-3</c:v>
                </c:pt>
                <c:pt idx="7" formatCode="General">
                  <c:v>2.2721299999999998E-3</c:v>
                </c:pt>
                <c:pt idx="8" formatCode="General">
                  <c:v>4.76503E-3</c:v>
                </c:pt>
                <c:pt idx="9" formatCode="General">
                  <c:v>1.00169E-2</c:v>
                </c:pt>
                <c:pt idx="10" formatCode="General">
                  <c:v>2.0996999999999998E-2</c:v>
                </c:pt>
                <c:pt idx="11" formatCode="General">
                  <c:v>4.4262200000000002E-2</c:v>
                </c:pt>
                <c:pt idx="12" formatCode="General">
                  <c:v>9.3249799999999994E-2</c:v>
                </c:pt>
                <c:pt idx="13" formatCode="General">
                  <c:v>0.19594300000000001</c:v>
                </c:pt>
                <c:pt idx="14" formatCode="General">
                  <c:v>0.41301100000000002</c:v>
                </c:pt>
                <c:pt idx="15" formatCode="General">
                  <c:v>0.86497000000000002</c:v>
                </c:pt>
                <c:pt idx="16" formatCode="General">
                  <c:v>1.8062</c:v>
                </c:pt>
                <c:pt idx="17" formatCode="General">
                  <c:v>3.7667600000000001</c:v>
                </c:pt>
                <c:pt idx="18" formatCode="General">
                  <c:v>7.8566599999999998</c:v>
                </c:pt>
                <c:pt idx="19" formatCode="General">
                  <c:v>16.4712</c:v>
                </c:pt>
              </c:numCache>
            </c:numRef>
          </c:val>
          <c:smooth val="0"/>
        </c:ser>
        <c:ser>
          <c:idx val="3"/>
          <c:order val="1"/>
          <c:tx>
            <c:v>GPU</c:v>
          </c:tx>
          <c:marker>
            <c:symbol val="none"/>
          </c:marker>
          <c:cat>
            <c:numRef>
              <c:f>Sheet1!$A$2:$A$21</c:f>
              <c:numCache>
                <c:formatCode>General</c:formatCod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numCache>
            </c:numRef>
          </c:cat>
          <c:val>
            <c:numRef>
              <c:f>Sheet1!$C$2:$C$21</c:f>
              <c:numCache>
                <c:formatCode>General</c:formatCode>
                <c:ptCount val="20"/>
                <c:pt idx="0">
                  <c:v>2.5548900000000002E-3</c:v>
                </c:pt>
                <c:pt idx="1">
                  <c:v>4.9221500000000001E-3</c:v>
                </c:pt>
                <c:pt idx="2">
                  <c:v>4.9440899999999999E-3</c:v>
                </c:pt>
                <c:pt idx="3">
                  <c:v>4.9610100000000001E-3</c:v>
                </c:pt>
                <c:pt idx="4">
                  <c:v>5.0630600000000003E-3</c:v>
                </c:pt>
                <c:pt idx="5">
                  <c:v>5.1369700000000003E-3</c:v>
                </c:pt>
                <c:pt idx="6">
                  <c:v>5.5871000000000002E-3</c:v>
                </c:pt>
                <c:pt idx="7">
                  <c:v>6.6518799999999998E-3</c:v>
                </c:pt>
                <c:pt idx="8">
                  <c:v>1.1552099999999999E-2</c:v>
                </c:pt>
                <c:pt idx="9">
                  <c:v>2.4091000000000001E-2</c:v>
                </c:pt>
                <c:pt idx="10">
                  <c:v>3.19879E-2</c:v>
                </c:pt>
                <c:pt idx="11">
                  <c:v>4.8523900000000002E-2</c:v>
                </c:pt>
                <c:pt idx="12">
                  <c:v>8.4459099999999995E-2</c:v>
                </c:pt>
                <c:pt idx="13">
                  <c:v>0.158831</c:v>
                </c:pt>
                <c:pt idx="14">
                  <c:v>0.28853400000000001</c:v>
                </c:pt>
                <c:pt idx="15">
                  <c:v>0.551512</c:v>
                </c:pt>
                <c:pt idx="16">
                  <c:v>1.0778700000000001</c:v>
                </c:pt>
                <c:pt idx="17">
                  <c:v>2.2821099999999999</c:v>
                </c:pt>
                <c:pt idx="18">
                  <c:v>4.5469600000000003</c:v>
                </c:pt>
                <c:pt idx="19">
                  <c:v>9.06419</c:v>
                </c:pt>
              </c:numCache>
            </c:numRef>
          </c:val>
          <c:smooth val="0"/>
        </c:ser>
        <c:dLbls>
          <c:showLegendKey val="0"/>
          <c:showVal val="0"/>
          <c:showCatName val="0"/>
          <c:showSerName val="0"/>
          <c:showPercent val="0"/>
          <c:showBubbleSize val="0"/>
        </c:dLbls>
        <c:marker val="1"/>
        <c:smooth val="0"/>
        <c:axId val="190605568"/>
        <c:axId val="190615936"/>
      </c:lineChart>
      <c:catAx>
        <c:axId val="190605568"/>
        <c:scaling>
          <c:orientation val="minMax"/>
        </c:scaling>
        <c:delete val="0"/>
        <c:axPos val="b"/>
        <c:title>
          <c:tx>
            <c:rich>
              <a:bodyPr/>
              <a:lstStyle/>
              <a:p>
                <a:pPr>
                  <a:defRPr/>
                </a:pPr>
                <a:r>
                  <a:rPr lang="en-US"/>
                  <a:t>n-sized Array</a:t>
                </a:r>
              </a:p>
            </c:rich>
          </c:tx>
          <c:overlay val="0"/>
        </c:title>
        <c:numFmt formatCode="General" sourceLinked="1"/>
        <c:majorTickMark val="out"/>
        <c:minorTickMark val="none"/>
        <c:tickLblPos val="nextTo"/>
        <c:crossAx val="190615936"/>
        <c:crosses val="autoZero"/>
        <c:auto val="1"/>
        <c:lblAlgn val="ctr"/>
        <c:lblOffset val="100"/>
        <c:tickLblSkip val="2"/>
        <c:noMultiLvlLbl val="0"/>
      </c:catAx>
      <c:valAx>
        <c:axId val="190615936"/>
        <c:scaling>
          <c:orientation val="minMax"/>
        </c:scaling>
        <c:delete val="0"/>
        <c:axPos val="l"/>
        <c:majorGridlines/>
        <c:title>
          <c:tx>
            <c:rich>
              <a:bodyPr rot="-5400000" vert="horz"/>
              <a:lstStyle/>
              <a:p>
                <a:pPr>
                  <a:defRPr/>
                </a:pPr>
                <a:r>
                  <a:rPr lang="en-US"/>
                  <a:t>Time (secs)</a:t>
                </a:r>
              </a:p>
            </c:rich>
          </c:tx>
          <c:overlay val="0"/>
        </c:title>
        <c:numFmt formatCode="General" sourceLinked="0"/>
        <c:majorTickMark val="out"/>
        <c:minorTickMark val="none"/>
        <c:tickLblPos val="nextTo"/>
        <c:crossAx val="1906055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Sorting Speed-up</a:t>
            </a:r>
            <a:r>
              <a:rPr lang="en-US" baseline="0"/>
              <a:t> of CPU (Quicksort)/GPU (Radixsort)</a:t>
            </a:r>
            <a:endParaRPr lang="en-US"/>
          </a:p>
        </c:rich>
      </c:tx>
      <c:overlay val="0"/>
    </c:title>
    <c:autoTitleDeleted val="0"/>
    <c:plotArea>
      <c:layout/>
      <c:lineChart>
        <c:grouping val="standard"/>
        <c:varyColors val="0"/>
        <c:ser>
          <c:idx val="1"/>
          <c:order val="0"/>
          <c:tx>
            <c:v>Speed-up</c:v>
          </c:tx>
          <c:marker>
            <c:symbol val="none"/>
          </c:marker>
          <c:cat>
            <c:numRef>
              <c:f>Sheet1!$A$2:$A$21</c:f>
              <c:numCache>
                <c:formatCode>General</c:formatCod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numCache>
            </c:numRef>
          </c:cat>
          <c:val>
            <c:numRef>
              <c:f>Sheet1!$D$2:$D$21</c:f>
              <c:numCache>
                <c:formatCode>General</c:formatCode>
                <c:ptCount val="20"/>
                <c:pt idx="0">
                  <c:v>5.1325105973251293E-3</c:v>
                </c:pt>
                <c:pt idx="1">
                  <c:v>1.9665776134412807E-2</c:v>
                </c:pt>
                <c:pt idx="2">
                  <c:v>2.4497329134380644E-2</c:v>
                </c:pt>
                <c:pt idx="3">
                  <c:v>3.6043870099032253E-2</c:v>
                </c:pt>
                <c:pt idx="4">
                  <c:v>5.8438375211828417E-2</c:v>
                </c:pt>
                <c:pt idx="5">
                  <c:v>0.10763017887976765</c:v>
                </c:pt>
                <c:pt idx="6">
                  <c:v>0.19633799287644751</c:v>
                </c:pt>
                <c:pt idx="7">
                  <c:v>0.34157711804783009</c:v>
                </c:pt>
                <c:pt idx="8">
                  <c:v>0.41248171328156785</c:v>
                </c:pt>
                <c:pt idx="9">
                  <c:v>0.41579428002158481</c:v>
                </c:pt>
                <c:pt idx="10">
                  <c:v>0.65640445293376548</c:v>
                </c:pt>
                <c:pt idx="11">
                  <c:v>0.91217317651713903</c:v>
                </c:pt>
                <c:pt idx="12">
                  <c:v>1.1040823309744006</c:v>
                </c:pt>
                <c:pt idx="13">
                  <c:v>1.2336571576077717</c:v>
                </c:pt>
                <c:pt idx="14">
                  <c:v>1.4314118959983919</c:v>
                </c:pt>
                <c:pt idx="15">
                  <c:v>1.5683611598659686</c:v>
                </c:pt>
                <c:pt idx="16">
                  <c:v>1.675712284412777</c:v>
                </c:pt>
                <c:pt idx="17">
                  <c:v>1.6505602271582003</c:v>
                </c:pt>
                <c:pt idx="18">
                  <c:v>1.7278929218642785</c:v>
                </c:pt>
                <c:pt idx="19">
                  <c:v>1.817172852731463</c:v>
                </c:pt>
              </c:numCache>
            </c:numRef>
          </c:val>
          <c:smooth val="0"/>
        </c:ser>
        <c:dLbls>
          <c:showLegendKey val="0"/>
          <c:showVal val="0"/>
          <c:showCatName val="0"/>
          <c:showSerName val="0"/>
          <c:showPercent val="0"/>
          <c:showBubbleSize val="0"/>
        </c:dLbls>
        <c:marker val="1"/>
        <c:smooth val="0"/>
        <c:axId val="190628608"/>
        <c:axId val="190630528"/>
      </c:lineChart>
      <c:catAx>
        <c:axId val="190628608"/>
        <c:scaling>
          <c:orientation val="minMax"/>
        </c:scaling>
        <c:delete val="0"/>
        <c:axPos val="b"/>
        <c:title>
          <c:tx>
            <c:rich>
              <a:bodyPr/>
              <a:lstStyle/>
              <a:p>
                <a:pPr>
                  <a:defRPr/>
                </a:pPr>
                <a:r>
                  <a:rPr lang="en-US"/>
                  <a:t>n-sized Array</a:t>
                </a:r>
              </a:p>
            </c:rich>
          </c:tx>
          <c:overlay val="0"/>
        </c:title>
        <c:numFmt formatCode="General" sourceLinked="1"/>
        <c:majorTickMark val="out"/>
        <c:minorTickMark val="none"/>
        <c:tickLblPos val="nextTo"/>
        <c:crossAx val="190630528"/>
        <c:crosses val="autoZero"/>
        <c:auto val="1"/>
        <c:lblAlgn val="ctr"/>
        <c:lblOffset val="100"/>
        <c:tickLblSkip val="2"/>
        <c:noMultiLvlLbl val="0"/>
      </c:catAx>
      <c:valAx>
        <c:axId val="190630528"/>
        <c:scaling>
          <c:orientation val="minMax"/>
        </c:scaling>
        <c:delete val="0"/>
        <c:axPos val="l"/>
        <c:majorGridlines/>
        <c:title>
          <c:tx>
            <c:rich>
              <a:bodyPr rot="-5400000" vert="horz"/>
              <a:lstStyle/>
              <a:p>
                <a:pPr>
                  <a:defRPr/>
                </a:pPr>
                <a:r>
                  <a:rPr lang="en-US"/>
                  <a:t>Speed-up</a:t>
                </a:r>
              </a:p>
            </c:rich>
          </c:tx>
          <c:overlay val="0"/>
        </c:title>
        <c:numFmt formatCode="General" sourceLinked="0"/>
        <c:majorTickMark val="out"/>
        <c:minorTickMark val="none"/>
        <c:tickLblPos val="nextTo"/>
        <c:crossAx val="190628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1</cp:revision>
  <dcterms:created xsi:type="dcterms:W3CDTF">2013-10-29T04:29:00Z</dcterms:created>
  <dcterms:modified xsi:type="dcterms:W3CDTF">2013-10-29T04:58:00Z</dcterms:modified>
</cp:coreProperties>
</file>