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DIGITALE_RMP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p7jtnm55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identifica, analizza e pianifica la risposta ai rischi del progetto.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1l2chwwh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Risk Breakdown Structure (Categorie)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rischi sono stati classificati nelle seguenti categorie: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Tecnici:</w:t>
      </w:r>
      <w:r w:rsidDel="00000000" w:rsidR="00000000" w:rsidRPr="00000000">
        <w:rPr>
          <w:sz w:val="28"/>
          <w:szCs w:val="28"/>
          <w:rtl w:val="0"/>
        </w:rPr>
        <w:t xml:space="preserve"> Legati a Spring Boot, Thymeleaf o Database.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Organizzativi:</w:t>
      </w:r>
      <w:r w:rsidDel="00000000" w:rsidR="00000000" w:rsidRPr="00000000">
        <w:rPr>
          <w:sz w:val="28"/>
          <w:szCs w:val="28"/>
          <w:rtl w:val="0"/>
        </w:rPr>
        <w:t xml:space="preserve"> Legati al team, scadenze e disponibilità.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Requisiti:</w:t>
      </w:r>
      <w:r w:rsidDel="00000000" w:rsidR="00000000" w:rsidRPr="00000000">
        <w:rPr>
          <w:sz w:val="28"/>
          <w:szCs w:val="28"/>
          <w:rtl w:val="0"/>
        </w:rPr>
        <w:t xml:space="preserve"> Legati a modifiche o incomprensioni delle specifiche.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860"/>
        <w:gridCol w:w="2430"/>
        <w:gridCol w:w="1170"/>
        <w:gridCol w:w="1050"/>
        <w:gridCol w:w="2280"/>
        <w:tblGridChange w:id="0">
          <w:tblGrid>
            <w:gridCol w:w="825"/>
            <w:gridCol w:w="1860"/>
            <w:gridCol w:w="2430"/>
            <w:gridCol w:w="1170"/>
            <w:gridCol w:w="1050"/>
            <w:gridCol w:w="22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 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Prob.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Impatto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Strategia di Mitigazione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Learning Curve Thymeleaf: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Difficoltà iniziale con il template engine.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Uso template Bootstrap standard; Pair Programming.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Conflitti Merge Git: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Lavorando in 4 parallelamente.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Branch separati per feature; Pull Request obbligatorie.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Funzionale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Spam/Fake News dai Cittadini: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L'apertura al pubblico potrebbe portare a segnalazioni false che intasano il sistema.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 (Design):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Implementato workflow di </w:t>
            </w: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Validazione Obbligatoria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da parte dell'Ente prima della pubblicazione.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Organizzativo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Collo di bottiglia sull'Ente: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Se arrivano troppe segnalazioni, l'Ente (Membro 1) non riesce a valutare in tempo.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Contingenza: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Implementare filtri automatici o assegnare privilegi di validazione temporanei ad altri admin.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