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DIGITALE_PC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2745"/>
        <w:gridCol w:w="3480"/>
        <w:tblGridChange w:id="0">
          <w:tblGrid>
            <w:gridCol w:w="2580"/>
            <w:gridCol w:w="2745"/>
            <w:gridCol w:w="3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Contatto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Prof.ssa [Ferrucci]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Supervisore (Top Manager)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0f47ad"/>
                <w:sz w:val="23"/>
                <w:szCs w:val="23"/>
                <w:shd w:fill="f2f3f7" w:val="clear"/>
                <w:rtl w:val="0"/>
              </w:rPr>
              <w:t xml:space="preserve">fferrucci@unisa.it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Prof. [Palomba]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Supervisore (Top Manager)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0f47ad"/>
                <w:sz w:val="23"/>
                <w:szCs w:val="23"/>
                <w:shd w:fill="f2f3f7" w:val="clear"/>
                <w:rtl w:val="0"/>
              </w:rPr>
              <w:t xml:space="preserve">fpalomba@unisa.it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[Luca Di Gennaro]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Project Manager / Dev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l.digennaro8@studenti.unisa.it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[Cristian Ferrara]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Team Member (Volontari)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c.ferrara62@studenti.unisa.it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[Antonio SanGiovanni]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Team Member (Matching)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a.sangiovanni9@studenti.unisa.it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Protezione Civile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Cliente Esterno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(Simulato)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Associazioni Volontari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Utenti Finali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(Simulato)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