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8416E4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C1346" w:rsidRDefault="00DE3E7F" w:rsidP="00600A5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C1346">
        <w:rPr>
          <w:rFonts w:ascii="Arial" w:hAnsi="Arial"/>
          <w:b/>
          <w:sz w:val="24"/>
          <w:lang w:val="es-MX"/>
        </w:rPr>
        <w:t>Nombre del caso de uso</w:t>
      </w:r>
      <w:r w:rsidRPr="002C1346">
        <w:rPr>
          <w:rFonts w:ascii="Arial" w:hAnsi="Arial"/>
          <w:sz w:val="24"/>
          <w:lang w:val="es-MX"/>
        </w:rPr>
        <w:t>:</w:t>
      </w:r>
      <w:r w:rsidR="002C1346" w:rsidRPr="002C1346">
        <w:rPr>
          <w:rFonts w:ascii="Arial" w:hAnsi="Arial"/>
          <w:sz w:val="24"/>
          <w:lang w:val="es-MX"/>
        </w:rPr>
        <w:t xml:space="preserve"> Consultar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C1346" w:rsidRDefault="00DE3E7F" w:rsidP="00740DE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2C1346">
        <w:rPr>
          <w:rFonts w:ascii="Arial" w:hAnsi="Arial"/>
          <w:b/>
          <w:sz w:val="24"/>
          <w:lang w:val="es-MX"/>
        </w:rPr>
        <w:t>Actores</w:t>
      </w:r>
      <w:r w:rsidRPr="002C1346">
        <w:rPr>
          <w:rFonts w:ascii="Arial" w:hAnsi="Arial"/>
          <w:sz w:val="24"/>
          <w:lang w:val="es-MX"/>
        </w:rPr>
        <w:t>:</w:t>
      </w:r>
      <w:r w:rsidR="002C1346" w:rsidRPr="002C1346">
        <w:rPr>
          <w:rFonts w:ascii="Arial" w:hAnsi="Arial"/>
          <w:sz w:val="24"/>
          <w:lang w:val="es-MX"/>
        </w:rPr>
        <w:t xml:space="preserve"> 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C1346" w:rsidRDefault="00DE3E7F" w:rsidP="002C13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2C1346">
        <w:rPr>
          <w:rFonts w:ascii="Arial" w:hAnsi="Arial"/>
          <w:sz w:val="24"/>
          <w:lang w:val="es-MX"/>
        </w:rPr>
        <w:t xml:space="preserve"> El propósito de este caso de uso es que el usuario pueda consultar por los datos de una empresa específica.</w:t>
      </w:r>
      <w:r w:rsidR="005C6DB3">
        <w:rPr>
          <w:rFonts w:ascii="Arial" w:hAnsi="Arial"/>
          <w:sz w:val="24"/>
          <w:lang w:val="es-MX"/>
        </w:rPr>
        <w:t xml:space="preserve"> El usuario puede elegir si desea realizar la búsqueda por medio de la cédula jurídica o por medio del nombre </w:t>
      </w:r>
      <w:r w:rsidR="005C6DB3">
        <w:rPr>
          <w:rFonts w:ascii="Arial" w:hAnsi="Arial"/>
          <w:sz w:val="24"/>
          <w:lang w:val="es-MX"/>
        </w:rPr>
        <w:t>de la empresa</w:t>
      </w:r>
      <w:r w:rsidR="005C6DB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C6DB3" w:rsidRDefault="00DE3E7F" w:rsidP="005C6DB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5C6DB3">
        <w:rPr>
          <w:rFonts w:ascii="Arial" w:hAnsi="Arial"/>
          <w:sz w:val="24"/>
          <w:lang w:val="es-MX"/>
        </w:rPr>
        <w:t xml:space="preserve"> En este caso de uso se le solicita al usuario que seleccione como desea realzar la consulta de la empresa, el usuario elige si buscar por cédula jurídica o por nombre de la empresa, después selecciona la opci</w:t>
      </w:r>
      <w:r w:rsidR="008416E4">
        <w:rPr>
          <w:rFonts w:ascii="Arial" w:hAnsi="Arial"/>
          <w:sz w:val="24"/>
          <w:lang w:val="es-MX"/>
        </w:rPr>
        <w:t>ón buscar, el sistema mostrará los datos de la empresa que el usuario haya solicitado.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8416E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8416E4">
        <w:rPr>
          <w:rFonts w:ascii="Arial" w:hAnsi="Arial"/>
          <w:sz w:val="24"/>
          <w:lang w:val="es-MX"/>
        </w:rPr>
        <w:t xml:space="preserve"> Las funciones asociadas con este caso de uso se encuentran en el requerimiento funcional </w:t>
      </w:r>
      <w:r w:rsidR="008416E4">
        <w:rPr>
          <w:rFonts w:ascii="Arial" w:hAnsi="Arial"/>
          <w:b/>
          <w:sz w:val="24"/>
          <w:lang w:val="es-MX"/>
        </w:rPr>
        <w:t>CE3.1</w:t>
      </w:r>
      <w:r w:rsidR="00440124">
        <w:rPr>
          <w:rFonts w:ascii="Arial" w:hAnsi="Arial"/>
          <w:b/>
          <w:sz w:val="24"/>
          <w:lang w:val="es-MX"/>
        </w:rPr>
        <w:t xml:space="preserve"> Consultar Empresa</w:t>
      </w:r>
      <w:r w:rsidR="008416E4">
        <w:rPr>
          <w:rFonts w:ascii="Arial" w:hAnsi="Arial"/>
          <w:b/>
          <w:sz w:val="24"/>
          <w:lang w:val="es-MX"/>
        </w:rPr>
        <w:t>.</w:t>
      </w:r>
      <w:r w:rsidR="008416E4">
        <w:rPr>
          <w:rFonts w:ascii="Arial" w:hAnsi="Arial"/>
          <w:sz w:val="24"/>
          <w:lang w:val="es-MX"/>
        </w:rPr>
        <w:t xml:space="preserve"> 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8416E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8416E4">
        <w:rPr>
          <w:rFonts w:ascii="Arial" w:hAnsi="Arial"/>
          <w:sz w:val="24"/>
          <w:lang w:val="es-MX"/>
        </w:rPr>
        <w:t xml:space="preserve"> Administrar Información de Empresa &lt;&lt;extiende a&gt;&gt; Consultar Empresa.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8416E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 w:rsidR="008416E4">
        <w:rPr>
          <w:rFonts w:ascii="Arial" w:hAnsi="Arial"/>
          <w:sz w:val="24"/>
          <w:lang w:val="es-MX"/>
        </w:rPr>
        <w:t>:</w:t>
      </w:r>
    </w:p>
    <w:p w:rsidR="008416E4" w:rsidRDefault="008416E4" w:rsidP="008416E4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8416E4" w:rsidRPr="008416E4" w:rsidRDefault="008416E4" w:rsidP="008416E4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 Consultar Empresa.</w:t>
      </w:r>
    </w:p>
    <w:p w:rsidR="008416E4" w:rsidRDefault="008416E4" w:rsidP="008416E4">
      <w:pPr>
        <w:jc w:val="both"/>
        <w:rPr>
          <w:rFonts w:ascii="Arial" w:hAnsi="Arial"/>
          <w:sz w:val="24"/>
          <w:lang w:val="es-MX"/>
        </w:rPr>
      </w:pPr>
    </w:p>
    <w:p w:rsidR="008416E4" w:rsidRDefault="00C74C82" w:rsidP="008416E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8416E4" w:rsidRDefault="008416E4" w:rsidP="008416E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guardarse los cambios.</w:t>
      </w:r>
    </w:p>
    <w:p w:rsidR="00C74C82" w:rsidRPr="008416E4" w:rsidRDefault="008416E4" w:rsidP="008416E4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  <w:r w:rsidRPr="008416E4">
        <w:rPr>
          <w:rFonts w:ascii="Arial" w:hAnsi="Arial"/>
          <w:sz w:val="24"/>
          <w:lang w:val="es-MX"/>
        </w:rPr>
        <w:t xml:space="preserve">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8416E4" w:rsidRDefault="00DE3E7F" w:rsidP="008416E4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8416E4" w:rsidP="008416E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F52A3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F52A33" w:rsidRDefault="00F52A3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Consultar Empresa.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F52A3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4171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las opciones de consulta.</w:t>
            </w:r>
          </w:p>
        </w:tc>
      </w:tr>
      <w:tr w:rsidR="0041716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17165" w:rsidRDefault="004171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A33A4" w:rsidRDefault="004171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elije </w:t>
            </w:r>
            <w:r w:rsidR="000A33A4">
              <w:rPr>
                <w:rFonts w:ascii="Arial" w:hAnsi="Arial"/>
                <w:sz w:val="24"/>
                <w:lang w:val="es-MX"/>
              </w:rPr>
              <w:t>una de las opciones.</w:t>
            </w:r>
          </w:p>
        </w:tc>
      </w:tr>
      <w:tr w:rsidR="000A33A4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A33A4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A33A4" w:rsidRDefault="000A33A4" w:rsidP="000A33A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consultar empresa.</w:t>
            </w:r>
          </w:p>
        </w:tc>
      </w:tr>
      <w:tr w:rsidR="000A33A4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A33A4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0A33A4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búsqueda.</w:t>
            </w:r>
          </w:p>
        </w:tc>
      </w:tr>
      <w:tr w:rsidR="000A33A4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A33A4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0A33A4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los datos de la empresa consultada.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40124" w:rsidRDefault="00440124" w:rsidP="008416E4">
      <w:pPr>
        <w:jc w:val="both"/>
        <w:rPr>
          <w:rFonts w:ascii="Arial" w:hAnsi="Arial"/>
          <w:b/>
          <w:sz w:val="24"/>
          <w:lang w:val="es-MX"/>
        </w:rPr>
      </w:pPr>
    </w:p>
    <w:p w:rsidR="00440124" w:rsidRDefault="00440124" w:rsidP="008416E4">
      <w:pPr>
        <w:jc w:val="both"/>
        <w:rPr>
          <w:rFonts w:ascii="Arial" w:hAnsi="Arial"/>
          <w:b/>
          <w:sz w:val="24"/>
          <w:lang w:val="es-MX"/>
        </w:rPr>
      </w:pPr>
    </w:p>
    <w:p w:rsidR="00440124" w:rsidRDefault="00440124" w:rsidP="008416E4">
      <w:pPr>
        <w:jc w:val="both"/>
        <w:rPr>
          <w:rFonts w:ascii="Arial" w:hAnsi="Arial"/>
          <w:b/>
          <w:sz w:val="24"/>
          <w:lang w:val="es-MX"/>
        </w:rPr>
      </w:pPr>
    </w:p>
    <w:p w:rsidR="00440124" w:rsidRDefault="00440124" w:rsidP="008416E4">
      <w:pPr>
        <w:jc w:val="both"/>
        <w:rPr>
          <w:rFonts w:ascii="Arial" w:hAnsi="Arial"/>
          <w:b/>
          <w:sz w:val="24"/>
          <w:lang w:val="es-MX"/>
        </w:rPr>
      </w:pPr>
    </w:p>
    <w:p w:rsidR="00440124" w:rsidRDefault="00440124" w:rsidP="008416E4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8416E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8416E4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C74C82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3.a.1</w:t>
            </w:r>
          </w:p>
        </w:tc>
        <w:tc>
          <w:tcPr>
            <w:tcW w:w="7938" w:type="dxa"/>
          </w:tcPr>
          <w:p w:rsidR="00C74C82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consultar por cédula jurídica.</w:t>
            </w:r>
          </w:p>
        </w:tc>
      </w:tr>
      <w:tr w:rsidR="00C74C82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74C82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3.a.2</w:t>
            </w:r>
          </w:p>
        </w:tc>
        <w:tc>
          <w:tcPr>
            <w:tcW w:w="7938" w:type="dxa"/>
          </w:tcPr>
          <w:p w:rsidR="00C74C82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la cédula jurídica de la empresa.</w:t>
            </w:r>
          </w:p>
        </w:tc>
      </w:tr>
      <w:tr w:rsidR="000A33A4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A33A4" w:rsidRDefault="000A33A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3.a.3</w:t>
            </w:r>
          </w:p>
        </w:tc>
        <w:tc>
          <w:tcPr>
            <w:tcW w:w="7938" w:type="dxa"/>
          </w:tcPr>
          <w:p w:rsidR="000A33A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</w:t>
            </w:r>
            <w:r w:rsidR="000A33A4">
              <w:rPr>
                <w:rFonts w:ascii="Arial" w:hAnsi="Arial"/>
                <w:sz w:val="24"/>
                <w:lang w:val="es-MX"/>
              </w:rPr>
              <w:t xml:space="preserve"> al paso 4.</w:t>
            </w:r>
          </w:p>
        </w:tc>
      </w:tr>
      <w:tr w:rsidR="00440124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4012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3.b.1</w:t>
            </w:r>
          </w:p>
        </w:tc>
        <w:tc>
          <w:tcPr>
            <w:tcW w:w="7938" w:type="dxa"/>
          </w:tcPr>
          <w:p w:rsidR="0044012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consultar por nombre.</w:t>
            </w:r>
          </w:p>
        </w:tc>
      </w:tr>
      <w:tr w:rsidR="00440124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4012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3.b.2</w:t>
            </w:r>
          </w:p>
        </w:tc>
        <w:tc>
          <w:tcPr>
            <w:tcW w:w="7938" w:type="dxa"/>
          </w:tcPr>
          <w:p w:rsidR="0044012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nombre de la empresa.</w:t>
            </w:r>
          </w:p>
        </w:tc>
      </w:tr>
      <w:tr w:rsidR="00440124" w:rsidTr="000A33A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4012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3.b.3</w:t>
            </w:r>
          </w:p>
        </w:tc>
        <w:tc>
          <w:tcPr>
            <w:tcW w:w="7938" w:type="dxa"/>
          </w:tcPr>
          <w:p w:rsidR="00440124" w:rsidRDefault="0044012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4.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8416E4">
        <w:rPr>
          <w:rFonts w:ascii="Arial" w:hAnsi="Arial"/>
          <w:sz w:val="24"/>
          <w:lang w:val="es-MX"/>
        </w:rPr>
        <w:t>:</w:t>
      </w:r>
    </w:p>
    <w:p w:rsidR="008416E4" w:rsidRDefault="008416E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F52A3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F52A3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F52A33" w:rsidRPr="009761B3" w:rsidRDefault="00F52A33" w:rsidP="00F52A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402" w:rsidRDefault="00B57402">
      <w:r>
        <w:separator/>
      </w:r>
    </w:p>
  </w:endnote>
  <w:endnote w:type="continuationSeparator" w:id="0">
    <w:p w:rsidR="00B57402" w:rsidRDefault="00B5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402" w:rsidRDefault="00B57402">
      <w:r>
        <w:separator/>
      </w:r>
    </w:p>
  </w:footnote>
  <w:footnote w:type="continuationSeparator" w:id="0">
    <w:p w:rsidR="00B57402" w:rsidRDefault="00B5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C1346">
      <w:rPr>
        <w:noProof/>
        <w:lang w:val="es-MX"/>
      </w:rPr>
      <w:t>13/11/a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13B65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AEC26B3"/>
    <w:multiLevelType w:val="hybridMultilevel"/>
    <w:tmpl w:val="09F45378"/>
    <w:lvl w:ilvl="0" w:tplc="90D6FC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436A66"/>
    <w:multiLevelType w:val="hybridMultilevel"/>
    <w:tmpl w:val="BA9685FE"/>
    <w:lvl w:ilvl="0" w:tplc="89504E2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73562"/>
    <w:multiLevelType w:val="hybridMultilevel"/>
    <w:tmpl w:val="3F505FA4"/>
    <w:lvl w:ilvl="0" w:tplc="E2BA96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46"/>
    <w:rsid w:val="000A33A4"/>
    <w:rsid w:val="002C1346"/>
    <w:rsid w:val="00417165"/>
    <w:rsid w:val="00440124"/>
    <w:rsid w:val="005C6DB3"/>
    <w:rsid w:val="008416E4"/>
    <w:rsid w:val="00B57402"/>
    <w:rsid w:val="00C74C82"/>
    <w:rsid w:val="00DE3E7F"/>
    <w:rsid w:val="00F13B65"/>
    <w:rsid w:val="00F5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9A22F-4505-4BCD-B6B8-BC16BED5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8416E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57</TotalTime>
  <Pages>2</Pages>
  <Words>441</Words>
  <Characters>2311</Characters>
  <Application>Microsoft Office Word</Application>
  <DocSecurity>0</DocSecurity>
  <Lines>115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1</cp:revision>
  <cp:lastPrinted>1601-01-01T00:00:00Z</cp:lastPrinted>
  <dcterms:created xsi:type="dcterms:W3CDTF">2015-11-13T19:03:00Z</dcterms:created>
  <dcterms:modified xsi:type="dcterms:W3CDTF">2015-11-13T20:38:00Z</dcterms:modified>
</cp:coreProperties>
</file>