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BFAF8B">
      <w:pPr>
        <w:pStyle w:val="2"/>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b/>
          <w:bCs/>
          <w:i w:val="0"/>
          <w:strike w:val="0"/>
          <w:color w:val="auto"/>
          <w:sz w:val="28"/>
          <w:szCs w:val="30"/>
          <w:u w:val="none"/>
        </w:rPr>
      </w:pPr>
      <w:r>
        <w:rPr>
          <w:rFonts w:hint="default" w:ascii="Times New Roman" w:hAnsi="Times New Roman" w:eastAsia="宋体" w:cs="Times New Roman"/>
          <w:b/>
          <w:bCs/>
          <w:i w:val="0"/>
          <w:iCs w:val="0"/>
          <w:caps w:val="0"/>
          <w:strike w:val="0"/>
          <w:color w:val="auto"/>
          <w:spacing w:val="0"/>
          <w:sz w:val="28"/>
          <w:szCs w:val="30"/>
          <w:u w:val="none"/>
        </w:rPr>
        <w:t>3. 模型设计</w:t>
      </w:r>
    </w:p>
    <w:p w14:paraId="3A734FFE">
      <w:pPr>
        <w:pStyle w:val="3"/>
        <w:keepNext w:val="0"/>
        <w:keepLines w:val="0"/>
        <w:widowControl/>
        <w:suppressLineNumbers w:val="0"/>
        <w:spacing w:before="0" w:beforeAutospacing="0" w:after="0" w:afterAutospacing="0" w:line="360" w:lineRule="auto"/>
        <w:ind w:left="0" w:right="0"/>
        <w:jc w:val="both"/>
        <w:rPr>
          <w:rFonts w:hint="default" w:ascii="Times New Roman" w:hAnsi="Times New Roman" w:eastAsia="宋体" w:cs="Times New Roman"/>
          <w:b/>
          <w:bCs/>
          <w:i w:val="0"/>
          <w:strike w:val="0"/>
          <w:color w:val="auto"/>
          <w:sz w:val="24"/>
          <w:szCs w:val="27"/>
          <w:u w:val="none"/>
        </w:rPr>
      </w:pPr>
      <w:r>
        <w:rPr>
          <w:rFonts w:hint="default" w:ascii="Times New Roman" w:hAnsi="Times New Roman" w:eastAsia="宋体" w:cs="Times New Roman"/>
          <w:b/>
          <w:bCs/>
          <w:i w:val="0"/>
          <w:iCs w:val="0"/>
          <w:caps w:val="0"/>
          <w:strike w:val="0"/>
          <w:color w:val="auto"/>
          <w:spacing w:val="0"/>
          <w:sz w:val="24"/>
          <w:szCs w:val="27"/>
          <w:u w:val="none"/>
        </w:rPr>
        <w:t>3.1 模型概述</w:t>
      </w:r>
    </w:p>
    <w:p w14:paraId="384E0FAB">
      <w:pPr>
        <w:keepNext w:val="0"/>
        <w:keepLines w:val="0"/>
        <w:widowControl/>
        <w:suppressLineNumbers w:val="0"/>
        <w:ind w:firstLine="420" w:firstLineChars="200"/>
        <w:jc w:val="left"/>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本研究构建了一个基于智能体的计算模型（Agent-Based Model, ABM），用于模拟算法信息生态中政府、平台与公众三方主体的动态交互及其涌现的治理后果。模型包含三类异质智能体：</w:t>
      </w:r>
      <w:r>
        <w:rPr>
          <w:rFonts w:hint="default" w:ascii="宋体" w:hAnsi="宋体" w:eastAsia="宋体" w:cs="宋体"/>
          <w:i w:val="0"/>
          <w:iCs w:val="0"/>
          <w:caps w:val="0"/>
          <w:color w:val="0F1115"/>
          <w:spacing w:val="0"/>
          <w:sz w:val="21"/>
          <w:szCs w:val="21"/>
          <w:shd w:val="clear" w:fill="FFFFFF"/>
        </w:rPr>
        <w:t>政府智能体（1个）、平台智能体（1个）和公众智能体（N=300个）。政府智能体定期发布官方信息，并对超过阈值的非官方议题施加有延迟的</w:t>
      </w:r>
      <w:r>
        <w:rPr>
          <w:rFonts w:hint="eastAsia" w:ascii="宋体" w:hAnsi="宋体" w:eastAsia="宋体" w:cs="宋体"/>
          <w:i w:val="0"/>
          <w:iCs w:val="0"/>
          <w:caps w:val="0"/>
          <w:color w:val="0F1115"/>
          <w:spacing w:val="0"/>
          <w:sz w:val="21"/>
          <w:szCs w:val="21"/>
          <w:shd w:val="clear" w:fill="FFFFFF"/>
          <w:lang w:val="en-US" w:eastAsia="zh-CN"/>
        </w:rPr>
        <w:t>回应行为与</w:t>
      </w:r>
      <w:r>
        <w:rPr>
          <w:rFonts w:hint="default" w:ascii="宋体" w:hAnsi="宋体" w:eastAsia="宋体" w:cs="宋体"/>
          <w:i w:val="0"/>
          <w:iCs w:val="0"/>
          <w:caps w:val="0"/>
          <w:color w:val="0F1115"/>
          <w:spacing w:val="0"/>
          <w:sz w:val="21"/>
          <w:szCs w:val="21"/>
          <w:shd w:val="clear" w:fill="FFFFFF"/>
        </w:rPr>
        <w:t>热度压制；平台智能体通过推荐公式</w:t>
      </w:r>
      <m:oMath>
        <m:r>
          <m:rPr>
            <m:nor/>
          </m:rPr>
          <w:rPr>
            <w:rFonts w:hint="default" w:ascii="Times New Roman" w:hAnsi="Times New Roman" w:eastAsia="Segoe UI" w:cs="Times New Roman"/>
            <w:i/>
            <w:iCs w:val="0"/>
            <w:caps w:val="0"/>
            <w:color w:val="0F1115"/>
            <w:spacing w:val="0"/>
            <w:kern w:val="2"/>
            <w:sz w:val="24"/>
            <w:szCs w:val="24"/>
            <w:shd w:val="clear" w:fill="FFFFFF"/>
            <w:lang w:val="en-US" w:eastAsia="zh-CN" w:bidi="ar-SA"/>
          </w:rPr>
          <m:t>Score</m:t>
        </m:r>
        <m:r>
          <m:rPr>
            <m:nor/>
            <m:sty m:val="p"/>
          </m:rPr>
          <w:rPr>
            <w:rFonts w:hint="default" w:ascii="Times New Roman" w:hAnsi="Times New Roman" w:eastAsia="Segoe UI" w:cs="Times New Roman"/>
            <w:i w:val="0"/>
            <w:iCs w:val="0"/>
            <w:caps w:val="0"/>
            <w:color w:val="0F1115"/>
            <w:spacing w:val="0"/>
            <w:kern w:val="2"/>
            <w:sz w:val="24"/>
            <w:szCs w:val="24"/>
            <w:shd w:val="clear" w:fill="FFFFFF"/>
            <w:lang w:val="en-US" w:eastAsia="zh-CN" w:bidi="ar-SA"/>
          </w:rPr>
          <m:t>=</m:t>
        </m:r>
        <m:r>
          <m:rPr>
            <m:nor/>
          </m:rPr>
          <w:rPr>
            <w:rFonts w:hint="default" w:ascii="Times New Roman" w:hAnsi="Times New Roman" w:eastAsia="Segoe UI" w:cs="Times New Roman"/>
            <w:i/>
            <w:iCs w:val="0"/>
            <w:caps w:val="0"/>
            <w:color w:val="0F1115"/>
            <w:spacing w:val="0"/>
            <w:kern w:val="2"/>
            <w:sz w:val="24"/>
            <w:szCs w:val="24"/>
            <w:shd w:val="clear" w:fill="FFFFFF"/>
            <w:lang w:val="en-US" w:eastAsia="zh-CN" w:bidi="ar-SA"/>
          </w:rPr>
          <m:t>α</m:t>
        </m:r>
        <m:r>
          <m:rPr>
            <m:nor/>
            <m:sty m:val="p"/>
          </m:rPr>
          <w:rPr>
            <w:rFonts w:hint="default" w:ascii="Times New Roman" w:hAnsi="Times New Roman" w:eastAsia="Segoe UI" w:cs="Times New Roman"/>
            <w:i w:val="0"/>
            <w:iCs w:val="0"/>
            <w:caps w:val="0"/>
            <w:color w:val="0F1115"/>
            <w:spacing w:val="0"/>
            <w:kern w:val="2"/>
            <w:sz w:val="24"/>
            <w:szCs w:val="24"/>
            <w:shd w:val="clear" w:fill="FFFFFF"/>
            <w:lang w:val="en-US" w:eastAsia="zh-CN" w:bidi="ar-SA"/>
          </w:rPr>
          <m:t>·</m:t>
        </m:r>
        <m:r>
          <m:rPr>
            <m:nor/>
          </m:rPr>
          <w:rPr>
            <w:rFonts w:hint="default" w:ascii="Times New Roman" w:hAnsi="Times New Roman" w:eastAsia="Segoe UI" w:cs="Times New Roman"/>
            <w:i/>
            <w:iCs w:val="0"/>
            <w:caps w:val="0"/>
            <w:color w:val="0F1115"/>
            <w:spacing w:val="0"/>
            <w:kern w:val="2"/>
            <w:sz w:val="24"/>
            <w:szCs w:val="24"/>
            <w:shd w:val="clear" w:fill="FFFFFF"/>
            <w:lang w:val="en-US" w:eastAsia="zh-CN" w:bidi="ar-SA"/>
          </w:rPr>
          <m:t>Heat</m:t>
        </m:r>
        <m:r>
          <m:rPr>
            <m:nor/>
            <m:sty m:val="p"/>
          </m:rPr>
          <w:rPr>
            <w:rFonts w:hint="default" w:ascii="Times New Roman" w:hAnsi="Times New Roman" w:eastAsia="Segoe UI" w:cs="Times New Roman"/>
            <w:i w:val="0"/>
            <w:iCs w:val="0"/>
            <w:caps w:val="0"/>
            <w:color w:val="0F1115"/>
            <w:spacing w:val="0"/>
            <w:kern w:val="2"/>
            <w:sz w:val="24"/>
            <w:szCs w:val="24"/>
            <w:shd w:val="clear" w:fill="FFFFFF"/>
            <w:lang w:val="en-US" w:eastAsia="zh-CN" w:bidi="ar-SA"/>
          </w:rPr>
          <m:t>+（1−</m:t>
        </m:r>
        <m:r>
          <m:rPr>
            <m:nor/>
          </m:rPr>
          <w:rPr>
            <w:rFonts w:hint="default" w:ascii="Times New Roman" w:hAnsi="Times New Roman" w:eastAsia="Segoe UI" w:cs="Times New Roman"/>
            <w:i/>
            <w:iCs w:val="0"/>
            <w:caps w:val="0"/>
            <w:color w:val="0F1115"/>
            <w:spacing w:val="0"/>
            <w:kern w:val="2"/>
            <w:sz w:val="24"/>
            <w:szCs w:val="24"/>
            <w:shd w:val="clear" w:fill="FFFFFF"/>
            <w:lang w:val="en-US" w:eastAsia="zh-CN" w:bidi="ar-SA"/>
          </w:rPr>
          <m:t>α</m:t>
        </m:r>
        <m:r>
          <m:rPr>
            <m:nor/>
            <m:sty m:val="p"/>
          </m:rPr>
          <w:rPr>
            <w:rFonts w:hint="default" w:ascii="Times New Roman" w:hAnsi="Times New Roman" w:eastAsia="Segoe UI" w:cs="Times New Roman"/>
            <w:i w:val="0"/>
            <w:iCs w:val="0"/>
            <w:caps w:val="0"/>
            <w:color w:val="0F1115"/>
            <w:spacing w:val="0"/>
            <w:kern w:val="2"/>
            <w:sz w:val="24"/>
            <w:szCs w:val="24"/>
            <w:shd w:val="clear" w:fill="FFFFFF"/>
            <w:lang w:val="en-US" w:eastAsia="zh-CN" w:bidi="ar-SA"/>
          </w:rPr>
          <m:t>）·</m:t>
        </m:r>
        <m:r>
          <m:rPr>
            <m:nor/>
            <m:sty m:val="p"/>
          </m:rPr>
          <w:rPr>
            <w:rFonts w:hint="default" w:ascii="Times New Roman" w:hAnsi="Times New Roman" w:eastAsia="Times New Roman" w:cs="Times New Roman"/>
            <w:b w:val="0"/>
            <w:bCs w:val="0"/>
            <w:i w:val="0"/>
            <w:iCs w:val="0"/>
            <w:caps w:val="0"/>
            <w:color w:val="0F1115"/>
            <w:spacing w:val="0"/>
            <w:sz w:val="24"/>
            <w:szCs w:val="24"/>
            <w:shd w:val="clear" w:fill="FFFFFF"/>
          </w:rPr>
          <m:t>Similarity</m:t>
        </m:r>
      </m:oMath>
      <w:r>
        <w:rPr>
          <w:rFonts w:hint="default" w:ascii="宋体" w:hAnsi="宋体" w:eastAsia="宋体" w:cs="宋体"/>
          <w:i w:val="0"/>
          <w:iCs w:val="0"/>
          <w:caps w:val="0"/>
          <w:color w:val="0F1115"/>
          <w:spacing w:val="0"/>
          <w:sz w:val="21"/>
          <w:szCs w:val="21"/>
          <w:shd w:val="clear" w:fill="FFFFFF"/>
        </w:rPr>
        <w:t>调节公众的信息可见性，其中核心参数</w:t>
      </w:r>
      <w:r>
        <w:rPr>
          <w:rFonts w:hint="default" w:hAnsi="Times New Roman" w:eastAsia="Times New Roman" w:cs="Times New Roman"/>
          <w:b w:val="0"/>
          <w:bCs w:val="0"/>
          <w:i w:val="0"/>
          <w:iCs w:val="0"/>
          <w:caps w:val="0"/>
          <w:color w:val="0F1115"/>
          <w:spacing w:val="0"/>
          <w:sz w:val="24"/>
          <w:szCs w:val="24"/>
          <w:shd w:val="clear" w:fill="FFFFFF"/>
        </w:rPr>
        <w:t> </w:t>
      </w:r>
      <w:r>
        <w:rPr>
          <w:rFonts w:hint="default" w:ascii="Times New Roman" w:hAnsi="Times New Roman" w:eastAsia="Times New Roman" w:cs="Times New Roman"/>
          <w:b w:val="0"/>
          <w:bCs w:val="0"/>
          <w:i w:val="0"/>
          <w:iCs w:val="0"/>
          <w:caps w:val="0"/>
          <w:color w:val="0F1115"/>
          <w:spacing w:val="0"/>
          <w:sz w:val="24"/>
          <w:szCs w:val="24"/>
          <w:shd w:val="clear" w:fill="FFFFFF"/>
        </w:rPr>
        <w:t>α∈[0,1]</w:t>
      </w:r>
      <w:r>
        <w:rPr>
          <w:rFonts w:hint="default" w:ascii="宋体" w:hAnsi="宋体" w:eastAsia="宋体" w:cs="宋体"/>
          <w:i w:val="0"/>
          <w:iCs w:val="0"/>
          <w:caps w:val="0"/>
          <w:color w:val="0F1115"/>
          <w:spacing w:val="0"/>
          <w:sz w:val="21"/>
          <w:szCs w:val="21"/>
          <w:shd w:val="clear" w:fill="FFFFFF"/>
        </w:rPr>
        <w:t>控制算法反馈强度</w:t>
      </w:r>
      <w:r>
        <w:rPr>
          <w:rFonts w:hint="default" w:ascii="宋体" w:hAnsi="宋体" w:eastAsia="宋体" w:cs="宋体"/>
          <w:b w:val="0"/>
          <w:bCs w:val="0"/>
          <w:color w:val="000000" w:themeColor="text1"/>
          <w:kern w:val="0"/>
          <w:sz w:val="21"/>
          <w:szCs w:val="21"/>
          <w:lang w:val="en-US" w:eastAsia="zh-CN" w:bidi="ar"/>
          <w14:textFill>
            <w14:solidFill>
              <w14:schemeClr w14:val="tx1"/>
            </w14:solidFill>
          </w14:textFill>
        </w:rPr>
        <w:t>；公众智能体具有异质性的偏好、情绪易感性、数字素养和初始政府信任，在每步中消费推荐信息、选择性互动、更新偏好与信任状态。三类主体通过共享的信息池产生间接耦合，形成完整的反馈回路</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w:t>
      </w:r>
    </w:p>
    <w:p w14:paraId="2A6873ED">
      <w:pPr>
        <w:keepNext w:val="0"/>
        <w:keepLines w:val="0"/>
        <w:widowControl/>
        <w:suppressLineNumbers w:val="0"/>
        <w:ind w:firstLine="420" w:firstLineChars="200"/>
        <w:jc w:val="left"/>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 xml:space="preserve">模型内嵌了四个核心机制：情绪优势（非议程信息从Beta(4,2)抽样，议程内信息从Beta(2,3)抽样）、偏好漂移（连续消费触发偏好迁移）、政府回应（阈值触发、延迟压制）、信任反馈（信任调节互动倾向）。四个机制的操作化定义见4.2-4.4节；其独立贡献通过消融实验在第6章中检验。 </w:t>
      </w:r>
    </w:p>
    <w:p w14:paraId="483B9B41">
      <w:pPr>
        <w:keepNext w:val="0"/>
        <w:keepLines w:val="0"/>
        <w:widowControl/>
        <w:suppressLineNumbers w:val="0"/>
        <w:ind w:firstLine="420" w:firstLineChars="200"/>
        <w:jc w:val="left"/>
        <w:rPr>
          <w:rFonts w:hint="default"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default" w:ascii="宋体" w:hAnsi="宋体" w:eastAsia="宋体" w:cs="宋体"/>
          <w:b w:val="0"/>
          <w:bCs w:val="0"/>
          <w:color w:val="000000" w:themeColor="text1"/>
          <w:kern w:val="0"/>
          <w:sz w:val="21"/>
          <w:szCs w:val="21"/>
          <w:lang w:val="en-US" w:eastAsia="zh-CN" w:bidi="ar"/>
          <w14:textFill>
            <w14:solidFill>
              <w14:schemeClr w14:val="tx1"/>
            </w14:solidFill>
          </w14:textFill>
        </w:rPr>
        <w:t>模型采用离散时间步推进（默认300步），遵循</w:t>
      </w:r>
      <w:r>
        <w:rPr>
          <w:rFonts w:hint="default" w:ascii="Times New Roman" w:hAnsi="Times New Roman" w:eastAsia="宋体" w:cs="Times New Roman"/>
          <w:b w:val="0"/>
          <w:bCs w:val="0"/>
          <w:color w:val="000000" w:themeColor="text1"/>
          <w:kern w:val="0"/>
          <w:sz w:val="21"/>
          <w:szCs w:val="21"/>
          <w:lang w:val="en-US" w:eastAsia="zh-CN" w:bidi="ar"/>
          <w14:textFill>
            <w14:solidFill>
              <w14:schemeClr w14:val="tx1"/>
            </w14:solidFill>
          </w14:textFill>
        </w:rPr>
        <w:t>ODD（Overview, Design Concepts, Details）</w:t>
      </w:r>
      <w:r>
        <w:rPr>
          <w:rFonts w:hint="default" w:ascii="宋体" w:hAnsi="宋体" w:eastAsia="宋体" w:cs="宋体"/>
          <w:b w:val="0"/>
          <w:bCs w:val="0"/>
          <w:color w:val="000000" w:themeColor="text1"/>
          <w:kern w:val="0"/>
          <w:sz w:val="21"/>
          <w:szCs w:val="21"/>
          <w:lang w:val="en-US" w:eastAsia="zh-CN" w:bidi="ar"/>
          <w14:textFill>
            <w14:solidFill>
              <w14:schemeClr w14:val="tx1"/>
            </w14:solidFill>
          </w14:textFill>
        </w:rPr>
        <w:t>协议的结构化描述框架</w:t>
      </w:r>
      <w:r>
        <w:rPr>
          <w:rFonts w:hint="default" w:ascii="Times New Roman" w:hAnsi="Times New Roman" w:eastAsia="宋体" w:cs="Times New Roman"/>
          <w:b w:val="0"/>
          <w:bCs w:val="0"/>
          <w:color w:val="000000" w:themeColor="text1"/>
          <w:kern w:val="0"/>
          <w:sz w:val="21"/>
          <w:szCs w:val="21"/>
          <w:lang w:val="en-US" w:eastAsia="zh-CN" w:bidi="ar"/>
          <w14:textFill>
            <w14:solidFill>
              <w14:schemeClr w14:val="tx1"/>
            </w14:solidFill>
          </w14:textFill>
        </w:rPr>
        <w:t>（Grimm et al., 2006; 2010）</w:t>
      </w:r>
      <w:r>
        <w:rPr>
          <w:rFonts w:hint="default" w:ascii="宋体" w:hAnsi="宋体" w:eastAsia="宋体" w:cs="宋体"/>
          <w:b w:val="0"/>
          <w:bCs w:val="0"/>
          <w:color w:val="000000" w:themeColor="text1"/>
          <w:kern w:val="0"/>
          <w:sz w:val="21"/>
          <w:szCs w:val="21"/>
          <w:lang w:val="en-US" w:eastAsia="zh-CN" w:bidi="ar"/>
          <w14:textFill>
            <w14:solidFill>
              <w14:schemeClr w14:val="tx1"/>
            </w14:solidFill>
          </w14:textFill>
        </w:rPr>
        <w:t>，以下各节依次详述三类智能体的行为规则（4.2-4.4）、信息环境与交互时序（4.5）以及关键参数设定（4.6）。需要指出的是，本模型属于解释性建模</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w:t>
      </w:r>
      <w:r>
        <w:rPr>
          <w:rFonts w:hint="default" w:ascii="宋体" w:hAnsi="宋体" w:eastAsia="宋体" w:cs="宋体"/>
          <w:b w:val="0"/>
          <w:bCs w:val="0"/>
          <w:color w:val="000000" w:themeColor="text1"/>
          <w:kern w:val="0"/>
          <w:sz w:val="21"/>
          <w:szCs w:val="21"/>
          <w:lang w:val="en-US" w:eastAsia="zh-CN" w:bidi="ar"/>
          <w14:textFill>
            <w14:solidFill>
              <w14:schemeClr w14:val="tx1"/>
            </w14:solidFill>
          </w14:textFill>
        </w:rPr>
        <w:t>而非预测性建模</w:t>
      </w:r>
      <w:r>
        <w:rPr>
          <w:rFonts w:hint="default" w:ascii="Times New Roman" w:hAnsi="Times New Roman" w:eastAsia="宋体" w:cs="Times New Roman"/>
          <w:b w:val="0"/>
          <w:bCs w:val="0"/>
          <w:color w:val="000000" w:themeColor="text1"/>
          <w:kern w:val="0"/>
          <w:sz w:val="21"/>
          <w:szCs w:val="21"/>
          <w:lang w:val="en-US" w:eastAsia="zh-CN" w:bidi="ar"/>
          <w14:textFill>
            <w14:solidFill>
              <w14:schemeClr w14:val="tx1"/>
            </w14:solidFill>
          </w14:textFill>
        </w:rPr>
        <w:t>（Epstein, 2008）</w:t>
      </w:r>
      <w:r>
        <w:rPr>
          <w:rFonts w:hint="default" w:ascii="宋体" w:hAnsi="宋体" w:eastAsia="宋体" w:cs="宋体"/>
          <w:b w:val="0"/>
          <w:bCs w:val="0"/>
          <w:color w:val="000000" w:themeColor="text1"/>
          <w:kern w:val="0"/>
          <w:sz w:val="21"/>
          <w:szCs w:val="21"/>
          <w:lang w:val="en-US" w:eastAsia="zh-CN" w:bidi="ar"/>
          <w14:textFill>
            <w14:solidFill>
              <w14:schemeClr w14:val="tx1"/>
            </w14:solidFill>
          </w14:textFill>
        </w:rPr>
        <w:t>，目标是通过计算实验揭示因果机制，而非拟合现实数据。</w:t>
      </w:r>
    </w:p>
    <w:p w14:paraId="1BBDC1EF">
      <w:pPr>
        <w:pStyle w:val="3"/>
        <w:keepNext w:val="0"/>
        <w:keepLines w:val="0"/>
        <w:widowControl/>
        <w:suppressLineNumbers w:val="0"/>
        <w:spacing w:before="0" w:beforeAutospacing="0" w:after="0" w:afterAutospacing="0" w:line="360" w:lineRule="auto"/>
        <w:ind w:left="0" w:right="0"/>
        <w:jc w:val="both"/>
        <w:rPr>
          <w:rFonts w:hint="default" w:ascii="Times New Roman" w:hAnsi="Times New Roman" w:eastAsia="宋体" w:cs="Times New Roman"/>
          <w:b/>
          <w:bCs/>
          <w:i w:val="0"/>
          <w:iCs w:val="0"/>
          <w:caps w:val="0"/>
          <w:strike w:val="0"/>
          <w:color w:val="auto"/>
          <w:spacing w:val="0"/>
          <w:sz w:val="24"/>
          <w:szCs w:val="27"/>
          <w:u w:val="none"/>
        </w:rPr>
      </w:pPr>
      <w:r>
        <w:rPr>
          <w:rFonts w:hint="eastAsia" w:ascii="Times New Roman" w:hAnsi="Times New Roman" w:eastAsia="宋体" w:cs="Times New Roman"/>
          <w:b/>
          <w:bCs/>
          <w:i w:val="0"/>
          <w:iCs w:val="0"/>
          <w:caps w:val="0"/>
          <w:strike w:val="0"/>
          <w:color w:val="auto"/>
          <w:spacing w:val="0"/>
          <w:sz w:val="24"/>
          <w:szCs w:val="27"/>
          <w:u w:val="none"/>
          <w:lang w:val="en-US" w:eastAsia="zh-CN"/>
        </w:rPr>
        <w:t>3.2</w:t>
      </w:r>
      <w:r>
        <w:rPr>
          <w:rFonts w:hint="default" w:ascii="Times New Roman" w:hAnsi="Times New Roman" w:eastAsia="宋体" w:cs="Times New Roman"/>
          <w:b/>
          <w:bCs/>
          <w:i w:val="0"/>
          <w:iCs w:val="0"/>
          <w:caps w:val="0"/>
          <w:strike w:val="0"/>
          <w:color w:val="auto"/>
          <w:spacing w:val="0"/>
          <w:sz w:val="24"/>
          <w:szCs w:val="27"/>
          <w:u w:val="none"/>
        </w:rPr>
        <w:t>政府智能体</w:t>
      </w:r>
    </w:p>
    <w:p w14:paraId="62A13209">
      <w:pPr>
        <w:keepNext w:val="0"/>
        <w:keepLines w:val="0"/>
        <w:widowControl/>
        <w:suppressLineNumbers w:val="0"/>
        <w:ind w:firstLine="420" w:firstLineChars="200"/>
        <w:jc w:val="left"/>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政府智能体代表公共议程的秩序维护者，其行为分为两个层面：定期的议程信息发布和对特定议题的舆情回应。</w:t>
      </w:r>
    </w:p>
    <w:p w14:paraId="0EE980D3">
      <w:pPr>
        <w:keepNext w:val="0"/>
        <w:keepLines w:val="0"/>
        <w:widowControl/>
        <w:suppressLineNumbers w:val="0"/>
        <w:ind w:firstLine="420" w:firstLineChars="200"/>
        <w:jc w:val="left"/>
        <w:rPr>
          <w:rFonts w:hint="default"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default" w:ascii="宋体" w:hAnsi="宋体" w:eastAsia="宋体" w:cs="宋体"/>
          <w:b w:val="0"/>
          <w:bCs w:val="0"/>
          <w:color w:val="000000" w:themeColor="text1"/>
          <w:kern w:val="0"/>
          <w:sz w:val="21"/>
          <w:szCs w:val="21"/>
          <w:lang w:val="en-US" w:eastAsia="zh-CN" w:bidi="ar"/>
          <w14:textFill>
            <w14:solidFill>
              <w14:schemeClr w14:val="tx1"/>
            </w14:solidFill>
          </w14:textFill>
        </w:rPr>
        <w:t>议程发布：政府以固定间隔（默认每10步）发布一条官方信息，议题在政府议程中轮换。当前设定政府议程包含三个议题（经济、法治、公共服务），信息发布时间步</w:t>
      </w:r>
      <w:r>
        <w:rPr>
          <w:rFonts w:hint="default" w:ascii="Times New Roman" w:hAnsi="Times New Roman" w:eastAsia="宋体" w:cs="Times New Roman"/>
          <w:sz w:val="24"/>
          <w:szCs w:val="24"/>
        </w:rPr>
        <w:t>t≡0(mod10)t≡0(mod10)</w:t>
      </w:r>
      <w:r>
        <w:rPr>
          <w:rFonts w:hint="eastAsia" w:ascii="宋体" w:hAnsi="宋体" w:eastAsia="宋体" w:cs="宋体"/>
          <w:sz w:val="24"/>
          <w:szCs w:val="24"/>
          <w:lang w:eastAsia="zh-CN"/>
        </w:rPr>
        <w:t>。</w:t>
      </w:r>
      <w:r>
        <w:rPr>
          <w:rFonts w:hint="default" w:ascii="宋体" w:hAnsi="宋体" w:eastAsia="宋体" w:cs="宋体"/>
          <w:b w:val="0"/>
          <w:bCs w:val="0"/>
          <w:color w:val="000000" w:themeColor="text1"/>
          <w:kern w:val="0"/>
          <w:sz w:val="21"/>
          <w:szCs w:val="21"/>
          <w:lang w:val="en-US" w:eastAsia="zh-CN" w:bidi="ar"/>
          <w14:textFill>
            <w14:solidFill>
              <w14:schemeClr w14:val="tx1"/>
            </w14:solidFill>
          </w14:textFill>
        </w:rPr>
        <w:t>官方信息的初始热度设为0，情绪强度固定为0.15（低情绪），以反映官方信息相对于自发信息的情感中性特征。初始热度为0意味着官方信息需要通过兴趣匹配进入推荐、再通过公众互动积累热度，而非自动获得传播优势。</w:t>
      </w:r>
    </w:p>
    <w:p w14:paraId="7B06FCC2">
      <w:pPr>
        <w:keepNext w:val="0"/>
        <w:keepLines w:val="0"/>
        <w:widowControl/>
        <w:suppressLineNumbers w:val="0"/>
        <w:ind w:firstLine="420" w:firstLineChars="200"/>
        <w:jc w:val="left"/>
        <w:rPr>
          <w:rFonts w:hint="default"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default" w:ascii="宋体" w:hAnsi="宋体" w:eastAsia="宋体" w:cs="宋体"/>
          <w:b w:val="0"/>
          <w:bCs w:val="0"/>
          <w:color w:val="000000" w:themeColor="text1"/>
          <w:kern w:val="0"/>
          <w:sz w:val="21"/>
          <w:szCs w:val="21"/>
          <w:lang w:val="en-US" w:eastAsia="zh-CN" w:bidi="ar"/>
          <w14:textFill>
            <w14:solidFill>
              <w14:schemeClr w14:val="tx1"/>
            </w14:solidFill>
          </w14:textFill>
        </w:rPr>
        <w:t>舆情回应：政府持续监测各非官方议题在信息池中的流量占比——即该议题获得的注意力消费占全部注意力消费的比例。当某一非官方议题的流量占比超过回应阈值（默认0.15）时，政府启动回应程序。回应执行前经历一个延迟期（默认3步），用于模拟行政决策的时滞效应；延迟到期后，将该议题所有自发信息的当前热度乘以回应强度（默认0.70，即降低30%）。</w:t>
      </w:r>
    </w:p>
    <w:p w14:paraId="7859FDE0">
      <w:pPr>
        <w:keepNext w:val="0"/>
        <w:keepLines w:val="0"/>
        <w:widowControl/>
        <w:suppressLineNumbers w:val="0"/>
        <w:ind w:firstLine="420" w:firstLineChars="200"/>
        <w:jc w:val="left"/>
        <w:rPr>
          <w:rFonts w:hint="default"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default" w:ascii="宋体" w:hAnsi="宋体" w:eastAsia="宋体" w:cs="宋体"/>
          <w:b w:val="0"/>
          <w:bCs w:val="0"/>
          <w:color w:val="000000" w:themeColor="text1"/>
          <w:kern w:val="0"/>
          <w:sz w:val="21"/>
          <w:szCs w:val="21"/>
          <w:lang w:val="en-US" w:eastAsia="zh-CN" w:bidi="ar"/>
          <w14:textFill>
            <w14:solidFill>
              <w14:schemeClr w14:val="tx1"/>
            </w14:solidFill>
          </w14:textFill>
        </w:rPr>
        <w:t>模型支持三种回应策略，作为对政府行为异质性的稳健性检验：强硬回应</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w:t>
      </w:r>
      <w:r>
        <w:rPr>
          <w:rFonts w:hint="default" w:ascii="宋体" w:hAnsi="宋体" w:eastAsia="宋体" w:cs="宋体"/>
          <w:b w:val="0"/>
          <w:bCs w:val="0"/>
          <w:color w:val="000000" w:themeColor="text1"/>
          <w:kern w:val="0"/>
          <w:sz w:val="21"/>
          <w:szCs w:val="21"/>
          <w:lang w:val="en-US" w:eastAsia="zh-CN" w:bidi="ar"/>
          <w14:textFill>
            <w14:solidFill>
              <w14:schemeClr w14:val="tx1"/>
            </w14:solidFill>
          </w14:textFill>
        </w:rPr>
        <w:t>任一议题超过阈值即触发回应（主实验采用）；选择性回应</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w:t>
      </w:r>
      <w:r>
        <w:rPr>
          <w:rFonts w:hint="default" w:ascii="宋体" w:hAnsi="宋体" w:eastAsia="宋体" w:cs="宋体"/>
          <w:b w:val="0"/>
          <w:bCs w:val="0"/>
          <w:color w:val="000000" w:themeColor="text1"/>
          <w:kern w:val="0"/>
          <w:sz w:val="21"/>
          <w:szCs w:val="21"/>
          <w:lang w:val="en-US" w:eastAsia="zh-CN" w:bidi="ar"/>
          <w14:textFill>
            <w14:solidFill>
              <w14:schemeClr w14:val="tx1"/>
            </w14:solidFill>
          </w14:textFill>
        </w:rPr>
        <w:t>仅对政府议程范围内的自发议题做出回应；观望后回应</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w:t>
      </w:r>
      <w:r>
        <w:rPr>
          <w:rFonts w:hint="default" w:ascii="宋体" w:hAnsi="宋体" w:eastAsia="宋体" w:cs="宋体"/>
          <w:b w:val="0"/>
          <w:bCs w:val="0"/>
          <w:color w:val="000000" w:themeColor="text1"/>
          <w:kern w:val="0"/>
          <w:sz w:val="21"/>
          <w:szCs w:val="21"/>
          <w:lang w:val="en-US" w:eastAsia="zh-CN" w:bidi="ar"/>
          <w14:textFill>
            <w14:solidFill>
              <w14:schemeClr w14:val="tx1"/>
            </w14:solidFill>
          </w14:textFill>
        </w:rPr>
        <w:t>议题须连续多个时间步</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w:t>
      </w:r>
      <w:r>
        <w:rPr>
          <w:rFonts w:hint="default" w:ascii="宋体" w:hAnsi="宋体" w:eastAsia="宋体" w:cs="宋体"/>
          <w:b w:val="0"/>
          <w:bCs w:val="0"/>
          <w:color w:val="000000" w:themeColor="text1"/>
          <w:kern w:val="0"/>
          <w:sz w:val="21"/>
          <w:szCs w:val="21"/>
          <w:lang w:val="en-US" w:eastAsia="zh-CN" w:bidi="ar"/>
          <w14:textFill>
            <w14:solidFill>
              <w14:schemeClr w14:val="tx1"/>
            </w14:solidFill>
          </w14:textFill>
        </w:rPr>
        <w:t>默认3</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w:t>
      </w:r>
      <w:r>
        <w:rPr>
          <w:rFonts w:hint="default" w:ascii="宋体" w:hAnsi="宋体" w:eastAsia="宋体" w:cs="宋体"/>
          <w:b w:val="0"/>
          <w:bCs w:val="0"/>
          <w:color w:val="000000" w:themeColor="text1"/>
          <w:kern w:val="0"/>
          <w:sz w:val="21"/>
          <w:szCs w:val="21"/>
          <w:lang w:val="en-US" w:eastAsia="zh-CN" w:bidi="ar"/>
          <w14:textFill>
            <w14:solidFill>
              <w14:schemeClr w14:val="tx1"/>
            </w14:solidFill>
          </w14:textFill>
        </w:rPr>
        <w:t>超过阈值后才触发回应。三种策略的对比结果见附录S2。</w:t>
      </w:r>
    </w:p>
    <w:p w14:paraId="2A94B86F">
      <w:pPr>
        <w:pStyle w:val="3"/>
        <w:keepNext w:val="0"/>
        <w:keepLines w:val="0"/>
        <w:widowControl/>
        <w:suppressLineNumbers w:val="0"/>
        <w:spacing w:before="0" w:beforeAutospacing="0" w:after="0" w:afterAutospacing="0" w:line="360" w:lineRule="auto"/>
        <w:ind w:left="0" w:right="0"/>
        <w:jc w:val="both"/>
        <w:rPr>
          <w:rFonts w:hint="default" w:ascii="Times New Roman" w:hAnsi="Times New Roman" w:eastAsia="宋体" w:cs="Times New Roman"/>
          <w:b/>
          <w:bCs/>
          <w:i w:val="0"/>
          <w:iCs w:val="0"/>
          <w:caps w:val="0"/>
          <w:strike w:val="0"/>
          <w:color w:val="auto"/>
          <w:spacing w:val="0"/>
          <w:sz w:val="24"/>
          <w:szCs w:val="27"/>
          <w:u w:val="none"/>
        </w:rPr>
      </w:pPr>
      <w:r>
        <w:rPr>
          <w:rFonts w:hint="eastAsia" w:ascii="Times New Roman" w:hAnsi="Times New Roman" w:eastAsia="宋体" w:cs="Times New Roman"/>
          <w:b/>
          <w:bCs/>
          <w:i w:val="0"/>
          <w:iCs w:val="0"/>
          <w:caps w:val="0"/>
          <w:strike w:val="0"/>
          <w:color w:val="auto"/>
          <w:spacing w:val="0"/>
          <w:sz w:val="24"/>
          <w:szCs w:val="27"/>
          <w:u w:val="none"/>
          <w:lang w:val="en-US" w:eastAsia="zh-CN"/>
        </w:rPr>
        <w:t>3.3</w:t>
      </w:r>
      <w:r>
        <w:rPr>
          <w:rFonts w:hint="default" w:ascii="Times New Roman" w:hAnsi="Times New Roman" w:eastAsia="宋体" w:cs="Times New Roman"/>
          <w:b/>
          <w:bCs/>
          <w:i w:val="0"/>
          <w:iCs w:val="0"/>
          <w:caps w:val="0"/>
          <w:strike w:val="0"/>
          <w:color w:val="auto"/>
          <w:spacing w:val="0"/>
          <w:sz w:val="24"/>
          <w:szCs w:val="27"/>
          <w:u w:val="none"/>
        </w:rPr>
        <w:t>平台智能体</w:t>
      </w:r>
    </w:p>
    <w:p w14:paraId="3943ED2B">
      <w:pPr>
        <w:keepNext w:val="0"/>
        <w:keepLines w:val="0"/>
        <w:widowControl/>
        <w:suppressLineNumbers w:val="0"/>
        <w:ind w:firstLine="420" w:firstLineChars="200"/>
        <w:jc w:val="left"/>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平台智能体代表算法推荐系统。它不产生内容，但通过调节信息可见性的排序规则，直接影响公众的信息消费环境。具体推荐规则：平台针对每名公众</w:t>
      </w:r>
      <w:r>
        <w:rPr>
          <w:rFonts w:hint="default" w:ascii="Times New Roman" w:hAnsi="Times New Roman" w:eastAsia="宋体" w:cs="Times New Roman"/>
          <w:b w:val="0"/>
          <w:bCs w:val="0"/>
          <w:color w:val="000000" w:themeColor="text1"/>
          <w:kern w:val="0"/>
          <w:sz w:val="21"/>
          <w:szCs w:val="21"/>
          <w:lang w:val="en-US" w:eastAsia="zh-CN" w:bidi="ar"/>
          <w14:textFill>
            <w14:solidFill>
              <w14:schemeClr w14:val="tx1"/>
            </w14:solidFill>
          </w14:textFill>
        </w:rPr>
        <w:t>i</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和每条信息</w:t>
      </w:r>
      <w:r>
        <w:rPr>
          <w:rFonts w:hint="default" w:ascii="Times New Roman" w:hAnsi="Times New Roman" w:eastAsia="宋体" w:cs="Times New Roman"/>
          <w:b w:val="0"/>
          <w:bCs w:val="0"/>
          <w:color w:val="000000" w:themeColor="text1"/>
          <w:kern w:val="0"/>
          <w:sz w:val="21"/>
          <w:szCs w:val="21"/>
          <w:lang w:val="en-US" w:eastAsia="zh-CN" w:bidi="ar"/>
          <w14:textFill>
            <w14:solidFill>
              <w14:schemeClr w14:val="tx1"/>
            </w14:solidFill>
          </w14:textFill>
        </w:rPr>
        <w:t>j</w:t>
      </w: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，在视野范围内计算推荐分数：</w:t>
      </w:r>
    </w:p>
    <w:p w14:paraId="48B01043">
      <w:pPr>
        <w:keepNext w:val="0"/>
        <w:keepLines w:val="0"/>
        <w:widowControl/>
        <w:suppressLineNumbers w:val="0"/>
        <w:ind w:firstLine="420" w:firstLineChars="200"/>
        <w:jc w:val="left"/>
        <m:rPr/>
        <w:rPr>
          <w:rFonts w:hint="eastAsia" w:hAnsi="Cambria Math" w:eastAsia="宋体" w:cs="宋体"/>
          <w:b w:val="0"/>
          <w:bCs w:val="0"/>
          <w:i w:val="0"/>
          <w:color w:val="000000" w:themeColor="text1"/>
          <w:kern w:val="0"/>
          <w:sz w:val="21"/>
          <w:szCs w:val="21"/>
          <w:lang w:val="en-US" w:eastAsia="zh-CN" w:bidi="ar"/>
          <w14:textFill>
            <w14:solidFill>
              <w14:schemeClr w14:val="tx1"/>
            </w14:solidFill>
          </w14:textFill>
        </w:rPr>
      </w:pPr>
      <m:oMathPara>
        <m:oMath>
          <m:sSub>
            <m:sSubPr>
              <m:ctrlPr>
                <m:r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Score</m:t>
              </m:r>
              <m:ctrlPr>
                <m:r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ij</m:t>
              </m:r>
              <m:ctrlPr>
                <m:r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sub>
          </m:sSub>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=α</m:t>
          </m:r>
          <m:r>
            <m:rPr/>
            <w:rPr>
              <w:rFonts w:hint="eastAsia" w:ascii="Cambria Math" w:hAnsi="Cambria Math" w:eastAsia="宋体" w:cs="宋体"/>
              <w:color w:val="000000" w:themeColor="text1"/>
              <w:kern w:val="0"/>
              <w:sz w:val="21"/>
              <w:szCs w:val="21"/>
              <w:lang w:val="en-US" w:eastAsia="zh-CN" w:bidi="ar"/>
              <w14:textFill>
                <w14:solidFill>
                  <w14:schemeClr w14:val="tx1"/>
                </w14:solidFill>
              </w14:textFill>
            </w:rPr>
            <m:t>·</m:t>
          </m:r>
          <m:sSub>
            <m:sSubPr>
              <m:ctrlPr>
                <m:rPr/>
                <w:rPr>
                  <w:rFonts w:hint="eastAsia"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H</m:t>
              </m:r>
              <m:ctrlPr>
                <m:rPr/>
                <w:rPr>
                  <w:rFonts w:hint="eastAsia"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j</m:t>
              </m:r>
              <m:ctrlPr>
                <m:rPr/>
                <w:rPr>
                  <w:rFonts w:hint="eastAsia"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sub>
          </m:sSub>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m:t>
          </m:r>
          <m:d>
            <m:dPr>
              <m:ctrlPr>
                <m:r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dPr>
            <m:e>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1−α</m:t>
              </m:r>
              <m:ctrlPr>
                <m:r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e>
          </m:d>
          <m:r>
            <m:rPr/>
            <w:rPr>
              <w:rFonts w:hint="eastAsia" w:ascii="Cambria Math" w:hAnsi="Cambria Math" w:eastAsia="宋体" w:cs="宋体"/>
              <w:color w:val="000000" w:themeColor="text1"/>
              <w:kern w:val="0"/>
              <w:sz w:val="21"/>
              <w:szCs w:val="21"/>
              <w:lang w:val="en-US" w:eastAsia="zh-CN" w:bidi="ar"/>
              <w14:textFill>
                <w14:solidFill>
                  <w14:schemeClr w14:val="tx1"/>
                </w14:solidFill>
              </w14:textFill>
            </w:rPr>
            <m:t>·</m:t>
          </m:r>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Sim</m:t>
          </m:r>
          <m:d>
            <m:dPr>
              <m:ctrlPr>
                <m:r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dPr>
            <m:e>
              <m:sSub>
                <m:sSubPr>
                  <m:ctrlPr>
                    <m:r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P</m:t>
                  </m:r>
                  <m:ctrlPr>
                    <m:r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i</m:t>
                  </m:r>
                  <m:ctrlPr>
                    <m:r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sub>
              </m:sSub>
              <m:r>
                <m:rPr/>
                <w:rPr>
                  <w:rFonts w:hint="eastAsia" w:ascii="Cambria Math" w:hAnsi="Cambria Math" w:eastAsia="宋体" w:cs="宋体"/>
                  <w:color w:val="000000" w:themeColor="text1"/>
                  <w:kern w:val="0"/>
                  <w:sz w:val="21"/>
                  <w:szCs w:val="21"/>
                  <w:lang w:val="en-US" w:eastAsia="zh-CN" w:bidi="ar"/>
                  <w14:textFill>
                    <w14:solidFill>
                      <w14:schemeClr w14:val="tx1"/>
                    </w14:solidFill>
                  </w14:textFill>
                </w:rPr>
                <m:t>，</m:t>
              </m:r>
              <m:sSub>
                <m:sSubPr>
                  <m:ctrlPr>
                    <m:rPr/>
                    <w:rPr>
                      <w:rFonts w:hint="eastAsia"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T</m:t>
                  </m:r>
                  <m:ctrlPr>
                    <m:rPr/>
                    <w:rPr>
                      <w:rFonts w:hint="eastAsia"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j</m:t>
                  </m:r>
                  <m:ctrlPr>
                    <m:rPr/>
                    <w:rPr>
                      <w:rFonts w:hint="eastAsia"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sub>
              </m:sSub>
              <m:ctrlPr>
                <m:r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e>
          </m:d>
        </m:oMath>
      </m:oMathPara>
    </w:p>
    <w:p w14:paraId="6047DCD8">
      <w:pPr>
        <w:keepNext w:val="0"/>
        <w:keepLines w:val="0"/>
        <w:widowControl/>
        <w:suppressLineNumbers w:val="0"/>
        <w:ind w:firstLine="420" w:firstLineChars="200"/>
        <w:jc w:val="left"/>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eastAsia" w:hAnsi="Cambria Math" w:eastAsia="宋体" w:cs="宋体"/>
          <w:b w:val="0"/>
          <w:bCs w:val="0"/>
          <w:i w:val="0"/>
          <w:color w:val="000000" w:themeColor="text1"/>
          <w:kern w:val="0"/>
          <w:sz w:val="21"/>
          <w:szCs w:val="21"/>
          <w:lang w:val="en-US" w:eastAsia="zh-CN" w:bidi="ar"/>
          <w14:textFill>
            <w14:solidFill>
              <w14:schemeClr w14:val="tx1"/>
            </w14:solidFill>
          </w14:textFill>
        </w:rPr>
        <w:t>其中</w:t>
      </w:r>
      <m:oMath>
        <m:sSub>
          <m:sSubPr>
            <m:ctrlPr>
              <w:rPr>
                <w:rFonts w:hint="eastAsia"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H</m:t>
            </m:r>
            <m:ctrlPr>
              <w:rPr>
                <w:rFonts w:hint="eastAsia"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j</m:t>
            </m:r>
            <m:ctrlPr>
              <w:rPr>
                <w:rFonts w:hint="eastAsia"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sub>
        </m:sSub>
      </m:oMath>
      <w:r>
        <w:rPr>
          <w:rFonts w:hint="eastAsia" w:hAnsi="Cambria Math" w:eastAsia="宋体" w:cs="宋体"/>
          <w:b w:val="0"/>
          <w:bCs w:val="0"/>
          <w:i w:val="0"/>
          <w:color w:val="000000" w:themeColor="text1"/>
          <w:kern w:val="0"/>
          <w:sz w:val="21"/>
          <w:szCs w:val="21"/>
          <w:lang w:val="en-US" w:eastAsia="zh-CN" w:bidi="ar"/>
          <w14:textFill>
            <w14:solidFill>
              <w14:schemeClr w14:val="tx1"/>
            </w14:solidFill>
          </w14:textFill>
        </w:rPr>
        <w:t>为信息 j的热度信号，先计算</w:t>
      </w:r>
      <m:oMath>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log</m:t>
        </m:r>
        <m:d>
          <m:dPr>
            <m:ctrlPr>
              <m:r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dPr>
          <m:e>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1+heat</m:t>
            </m:r>
            <m:ctrlPr>
              <m:r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e>
        </m:d>
      </m:oMath>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再除以当前信息池中的最大值，使热度信号位于 [0,1][0,1] 区间。对数压缩避免了少数极高热度信息完全淹没其他信息，最大值归一化使热度信号在不同信息池规模下保持可比。</w:t>
      </w:r>
    </w:p>
    <w:p w14:paraId="69C6AE9A">
      <w:pPr>
        <w:keepNext w:val="0"/>
        <w:keepLines w:val="0"/>
        <w:widowControl/>
        <w:suppressLineNumbers w:val="0"/>
        <w:ind w:firstLine="420" w:firstLineChars="200"/>
        <w:jc w:val="left"/>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eastAsia" w:hAnsi="Cambria Math" w:eastAsia="宋体" w:cs="宋体"/>
          <w:b w:val="0"/>
          <w:bCs w:val="0"/>
          <w:i w:val="0"/>
          <w:color w:val="000000" w:themeColor="text1"/>
          <w:kern w:val="0"/>
          <w:sz w:val="21"/>
          <w:szCs w:val="21"/>
          <w:lang w:val="en-US" w:eastAsia="zh-CN" w:bidi="ar"/>
          <w14:textFill>
            <w14:solidFill>
              <w14:schemeClr w14:val="tx1"/>
            </w14:solidFill>
          </w14:textFill>
        </w:rPr>
        <w:t>而</w:t>
      </w:r>
      <m:oMath>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Sim</m:t>
        </m:r>
        <m:d>
          <m:dPr>
            <m:ctrl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dPr>
          <m:e>
            <m:sSub>
              <m:sSubPr>
                <m:ctrl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P</m:t>
                </m:r>
                <m:ctrl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i</m:t>
                </m:r>
                <m:ctrl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sub>
            </m:sSub>
            <m:r>
              <m:rPr/>
              <w:rPr>
                <w:rFonts w:hint="eastAsia" w:ascii="Cambria Math" w:hAnsi="Cambria Math" w:eastAsia="宋体" w:cs="宋体"/>
                <w:color w:val="000000" w:themeColor="text1"/>
                <w:kern w:val="0"/>
                <w:sz w:val="21"/>
                <w:szCs w:val="21"/>
                <w:lang w:val="en-US" w:eastAsia="zh-CN" w:bidi="ar"/>
                <w14:textFill>
                  <w14:solidFill>
                    <w14:schemeClr w14:val="tx1"/>
                  </w14:solidFill>
                </w14:textFill>
              </w:rPr>
              <m:t>，</m:t>
            </m:r>
            <m:sSub>
              <m:sSubPr>
                <m:ctrlPr>
                  <w:rPr>
                    <w:rFonts w:hint="eastAsia"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T</m:t>
                </m:r>
                <m:ctrlPr>
                  <w:rPr>
                    <w:rFonts w:hint="eastAsia"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j</m:t>
                </m:r>
                <m:ctrlPr>
                  <w:rPr>
                    <w:rFonts w:hint="eastAsia"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sub>
            </m:sSub>
            <m:ctrl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e>
        </m:d>
      </m:oMath>
      <w: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 为公众 i的偏好向量 </w:t>
      </w:r>
      <m:oMath>
        <m:sSub>
          <m:sSubPr>
            <m:ctrl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P</m:t>
            </m:r>
            <m:ctrl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i</m:t>
            </m:r>
            <m:ctrlPr>
              <w:rPr>
                <w:rFonts w:hint="default"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sub>
        </m:sSub>
      </m:oMath>
      <w: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 与信息 j 的议题向量 </w:t>
      </w:r>
      <m:oMath>
        <m:sSub>
          <m:sSubPr>
            <m:ctrlPr>
              <w:rPr>
                <w:rFonts w:hint="eastAsia"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T</m:t>
            </m:r>
            <m:ctrlPr>
              <w:rPr>
                <w:rFonts w:hint="eastAsia"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eastAsia="宋体" w:cs="宋体"/>
                <w:color w:val="000000" w:themeColor="text1"/>
                <w:kern w:val="0"/>
                <w:sz w:val="21"/>
                <w:szCs w:val="21"/>
                <w:lang w:val="en-US" w:eastAsia="zh-CN" w:bidi="ar"/>
                <w14:textFill>
                  <w14:solidFill>
                    <w14:schemeClr w14:val="tx1"/>
                  </w14:solidFill>
                </w14:textFill>
              </w:rPr>
              <m:t>j</m:t>
            </m:r>
            <m:ctrlPr>
              <w:rPr>
                <w:rFonts w:hint="eastAsia" w:ascii="Cambria Math" w:hAnsi="Cambria Math" w:eastAsia="宋体" w:cs="宋体"/>
                <w:b w:val="0"/>
                <w:bCs w:val="0"/>
                <w:i/>
                <w:color w:val="000000" w:themeColor="text1"/>
                <w:kern w:val="0"/>
                <w:sz w:val="21"/>
                <w:szCs w:val="21"/>
                <w:lang w:val="en-US" w:eastAsia="zh-CN" w:bidi="ar"/>
                <w14:textFill>
                  <w14:solidFill>
                    <w14:schemeClr w14:val="tx1"/>
                  </w14:solidFill>
                </w14:textFill>
              </w:rPr>
            </m:ctrlPr>
          </m:sub>
        </m:sSub>
      </m:oMath>
      <w: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的余弦相似度，反映内容与用户既有兴趣的匹配程度。</w:t>
      </w:r>
    </w:p>
    <w:p w14:paraId="1E3D5E30">
      <w:pPr>
        <w:keepNext w:val="0"/>
        <w:keepLines w:val="0"/>
        <w:widowControl/>
        <w:suppressLineNumbers w:val="0"/>
        <w:ind w:firstLine="420" w:firstLineChars="200"/>
        <w:jc w:val="left"/>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α∈[0,1] 调节推荐中“热度导向”与“兴趣匹配导向”的相对权重。当 α=0α=0 时，推荐完全由兴趣匹配驱动；当 α=1α=1 时，推荐完全由当前热度驱动。αα 是本研究的核心实验变量，其取值从0到1、步长0.05进行系统扫描，以覆盖从低反馈到高反馈的全参数空间。基于KuaiRand公开推荐日志的外部验证表明，混合推荐策略（α≈0.4–0.6）在预测用户点击和长观看行为时，显著优于仅热度驱动或仅兴趣驱动的极端策略（详见附录S1）。</w:t>
      </w:r>
    </w:p>
    <w:p w14:paraId="3D6190E8">
      <w:pPr>
        <w:keepNext w:val="0"/>
        <w:keepLines w:val="0"/>
        <w:widowControl/>
        <w:suppressLineNumbers w:val="0"/>
        <w:ind w:firstLine="420" w:firstLineChars="200"/>
        <w:jc w:val="left"/>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推荐截断：平台在每名公众的可见信息范围内按Score排序，选择前 K条推荐给该公众，K取注意力预算（默认5）与当前信息池规模的较小值。可见信息不足5条时，只推荐实际存在的条目。</w:t>
      </w:r>
    </w:p>
    <w:p w14:paraId="24463AA3">
      <w:pPr>
        <w:keepNext w:val="0"/>
        <w:keepLines w:val="0"/>
        <w:widowControl/>
        <w:suppressLineNumbers w:val="0"/>
        <w:ind w:firstLine="420" w:firstLineChars="200"/>
        <w:jc w:val="left"/>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空间可见性：当前版本中，所有信息对全部公众可见。这一“全局均质混合”假设与经典舆论动力学模型一致，使本研究能在排除空间结构干扰的条件下，聚焦于算法反馈强度（α）与治理干预之间的核心互动。后续的扩展模型将在这一基础上引入空间网格与邻域扩散机制。</w:t>
      </w:r>
    </w:p>
    <w:p w14:paraId="56D6C3FD">
      <w:pPr>
        <w:pStyle w:val="3"/>
        <w:keepNext w:val="0"/>
        <w:keepLines w:val="0"/>
        <w:widowControl/>
        <w:suppressLineNumbers w:val="0"/>
        <w:spacing w:before="0" w:beforeAutospacing="0" w:after="0" w:afterAutospacing="0" w:line="360" w:lineRule="auto"/>
        <w:ind w:left="0" w:right="0"/>
        <w:jc w:val="both"/>
        <w:rPr>
          <w:rFonts w:hint="eastAsia" w:ascii="Times New Roman" w:hAnsi="Times New Roman" w:cs="Times New Roman"/>
          <w:b/>
          <w:bCs/>
          <w:i w:val="0"/>
          <w:iCs w:val="0"/>
          <w:caps w:val="0"/>
          <w:strike w:val="0"/>
          <w:color w:val="auto"/>
          <w:spacing w:val="0"/>
          <w:sz w:val="24"/>
          <w:szCs w:val="27"/>
          <w:u w:val="none"/>
          <w:lang w:val="en-US" w:eastAsia="zh-CN"/>
        </w:rPr>
      </w:pPr>
      <w:r>
        <w:rPr>
          <w:rFonts w:hint="eastAsia" w:ascii="Times New Roman" w:hAnsi="Times New Roman" w:eastAsia="宋体" w:cs="Times New Roman"/>
          <w:b/>
          <w:bCs/>
          <w:i w:val="0"/>
          <w:iCs w:val="0"/>
          <w:caps w:val="0"/>
          <w:strike w:val="0"/>
          <w:color w:val="auto"/>
          <w:spacing w:val="0"/>
          <w:sz w:val="24"/>
          <w:szCs w:val="27"/>
          <w:u w:val="none"/>
          <w:lang w:val="en-US" w:eastAsia="zh-CN"/>
        </w:rPr>
        <w:t>3.4</w:t>
      </w:r>
      <w:r>
        <w:rPr>
          <w:rFonts w:hint="eastAsia" w:ascii="Times New Roman" w:hAnsi="Times New Roman" w:cs="Times New Roman"/>
          <w:b/>
          <w:bCs/>
          <w:i w:val="0"/>
          <w:iCs w:val="0"/>
          <w:caps w:val="0"/>
          <w:strike w:val="0"/>
          <w:color w:val="auto"/>
          <w:spacing w:val="0"/>
          <w:sz w:val="24"/>
          <w:szCs w:val="27"/>
          <w:u w:val="none"/>
          <w:lang w:val="en-US" w:eastAsia="zh-CN"/>
        </w:rPr>
        <w:t>公众智能体</w:t>
      </w:r>
    </w:p>
    <w:p w14:paraId="4B4631EA">
      <w:pPr>
        <w:keepNext w:val="0"/>
        <w:keepLines w:val="0"/>
        <w:widowControl/>
        <w:suppressLineNumbers w:val="0"/>
        <w:ind w:firstLine="420" w:firstLineChars="200"/>
        <w:jc w:val="left"/>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公众智能体代表信息生态中的注意力消费者。每个公众具有异质性的偏好、情绪易感性、数字素养、学习成本和政府信任，并在每步中执行信息消费、互动决策、偏好漂移与信任更新等行为。</w:t>
      </w:r>
    </w:p>
    <w:p w14:paraId="3E66E1A6">
      <w:pPr>
        <w:keepNext w:val="0"/>
        <w:keepLines w:val="0"/>
        <w:widowControl/>
        <w:suppressLineNumbers w:val="0"/>
        <w:jc w:val="left"/>
        <w:rPr>
          <w:rFonts w:hint="eastAsia" w:ascii="宋体" w:hAnsi="宋体" w:eastAsia="宋体" w:cs="宋体"/>
          <w:b/>
          <w:bCs/>
          <w:i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i w:val="0"/>
          <w:color w:val="000000" w:themeColor="text1"/>
          <w:kern w:val="0"/>
          <w:sz w:val="21"/>
          <w:szCs w:val="21"/>
          <w:lang w:val="en-US" w:eastAsia="zh-CN" w:bidi="ar"/>
          <w14:textFill>
            <w14:solidFill>
              <w14:schemeClr w14:val="tx1"/>
            </w14:solidFill>
          </w14:textFill>
        </w:rPr>
        <w:t>3.4.1静态属性</w:t>
      </w:r>
    </w:p>
    <w:p w14:paraId="2078377A">
      <w:pPr>
        <w:keepNext w:val="0"/>
        <w:keepLines w:val="0"/>
        <w:widowControl/>
        <w:suppressLineNumbers w:val="0"/>
        <w:ind w:firstLine="420" w:firstLineChars="200"/>
        <w:jc w:val="left"/>
        <w:rPr>
          <w:rFonts w:hint="eastAsia" w:hAnsi="Cambria Math" w:eastAsia="宋体" w:cs="宋体"/>
          <w:b w:val="0"/>
          <w:bCs w:val="0"/>
          <w:i w:val="0"/>
          <w:color w:val="000000" w:themeColor="text1"/>
          <w:kern w:val="0"/>
          <w:sz w:val="21"/>
          <w:szCs w:val="21"/>
          <w:lang w:val="en-US" w:eastAsia="zh-CN" w:bidi="ar"/>
          <w14:textFill>
            <w14:solidFill>
              <w14:schemeClr w14:val="tx1"/>
            </w14:solidFill>
          </w14:textFill>
        </w:rPr>
      </w:pPr>
      <w:r>
        <w:rPr>
          <w:rFonts w:hint="eastAsia" w:hAnsi="Cambria Math" w:eastAsia="宋体" w:cs="宋体"/>
          <w:b w:val="0"/>
          <w:bCs w:val="0"/>
          <w:i w:val="0"/>
          <w:color w:val="000000" w:themeColor="text1"/>
          <w:kern w:val="0"/>
          <w:sz w:val="21"/>
          <w:szCs w:val="21"/>
          <w:lang w:val="en-US" w:eastAsia="zh-CN" w:bidi="ar"/>
          <w14:textFill>
            <w14:solidFill>
              <w14:schemeClr w14:val="tx1"/>
            </w14:solidFill>
          </w14:textFill>
        </w:rPr>
        <w:t>每位公众初始化时具有以下属性：</w:t>
      </w:r>
    </w:p>
    <w:tbl>
      <w:tblPr>
        <w:tblW w:w="81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709"/>
        <w:gridCol w:w="1212"/>
        <w:gridCol w:w="4000"/>
        <w:gridCol w:w="2197"/>
      </w:tblGrid>
      <w:tr w14:paraId="779FC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70" w:hRule="atLeast"/>
          <w:jc w:val="center"/>
        </w:trPr>
        <w:tc>
          <w:tcPr>
            <w:tcW w:w="709" w:type="dxa"/>
            <w:shd w:val="clear" w:color="auto" w:fill="FFFFFF"/>
            <w:vAlign w:val="center"/>
          </w:tcPr>
          <w:p w14:paraId="3CF948B4">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属性</w:t>
            </w:r>
          </w:p>
        </w:tc>
        <w:tc>
          <w:tcPr>
            <w:tcW w:w="1212" w:type="dxa"/>
            <w:shd w:val="clear" w:color="auto" w:fill="FFFFFF"/>
            <w:vAlign w:val="center"/>
          </w:tcPr>
          <w:p w14:paraId="3CFC4EB6">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含义</w:t>
            </w:r>
          </w:p>
        </w:tc>
        <w:tc>
          <w:tcPr>
            <w:tcW w:w="4000" w:type="dxa"/>
            <w:shd w:val="clear" w:color="auto" w:fill="FFFFFF"/>
            <w:vAlign w:val="center"/>
          </w:tcPr>
          <w:p w14:paraId="693EF0F1">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分布设定</w:t>
            </w:r>
          </w:p>
        </w:tc>
        <w:tc>
          <w:tcPr>
            <w:tcW w:w="2197" w:type="dxa"/>
            <w:shd w:val="clear" w:color="auto" w:fill="FFFFFF"/>
            <w:vAlign w:val="center"/>
          </w:tcPr>
          <w:p w14:paraId="49EA8E46">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理论依据</w:t>
            </w:r>
          </w:p>
        </w:tc>
      </w:tr>
      <w:tr w14:paraId="644E7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1053" w:hRule="atLeast"/>
          <w:jc w:val="center"/>
        </w:trPr>
        <w:tc>
          <w:tcPr>
            <w:tcW w:w="709" w:type="dxa"/>
            <w:shd w:val="clear" w:color="auto" w:fill="FFFFFF"/>
            <w:vAlign w:val="center"/>
          </w:tcPr>
          <w:p w14:paraId="3219725C">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偏好向量</w:t>
            </w:r>
          </w:p>
        </w:tc>
        <w:tc>
          <w:tcPr>
            <w:tcW w:w="1212" w:type="dxa"/>
            <w:shd w:val="clear" w:color="auto" w:fill="FFFFFF"/>
            <w:vAlign w:val="center"/>
          </w:tcPr>
          <w:p w14:paraId="6471E786">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对四个议题的初始关注权重</w:t>
            </w:r>
          </w:p>
        </w:tc>
        <w:tc>
          <w:tcPr>
            <w:tcW w:w="4000" w:type="dxa"/>
            <w:shd w:val="clear" w:color="auto" w:fill="FFFFFF"/>
            <w:vAlign w:val="center"/>
          </w:tcPr>
          <w:p w14:paraId="45A24685">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对称狄利克雷分布 Dirichlet(1,1,1,1)，总和为1</w:t>
            </w:r>
          </w:p>
        </w:tc>
        <w:tc>
          <w:tcPr>
            <w:tcW w:w="2197" w:type="dxa"/>
            <w:shd w:val="clear" w:color="auto" w:fill="FFFFFF"/>
            <w:vAlign w:val="center"/>
          </w:tcPr>
          <w:p w14:paraId="283276E8">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确保异质性但不预设群体类别</w:t>
            </w:r>
          </w:p>
        </w:tc>
      </w:tr>
      <w:tr w14:paraId="390B5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1028" w:hRule="atLeast"/>
          <w:jc w:val="center"/>
        </w:trPr>
        <w:tc>
          <w:tcPr>
            <w:tcW w:w="709" w:type="dxa"/>
            <w:shd w:val="clear" w:color="auto" w:fill="FFFFFF"/>
            <w:vAlign w:val="center"/>
          </w:tcPr>
          <w:p w14:paraId="343B6786">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情绪易感性</w:t>
            </w:r>
          </w:p>
        </w:tc>
        <w:tc>
          <w:tcPr>
            <w:tcW w:w="1212" w:type="dxa"/>
            <w:shd w:val="clear" w:color="auto" w:fill="FFFFFF"/>
            <w:vAlign w:val="center"/>
          </w:tcPr>
          <w:p w14:paraId="64F5D75B">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被情绪信息触发的倾向</w:t>
            </w:r>
          </w:p>
        </w:tc>
        <w:tc>
          <w:tcPr>
            <w:tcW w:w="4000" w:type="dxa"/>
            <w:shd w:val="clear" w:color="auto" w:fill="FFFFFF"/>
            <w:vAlign w:val="center"/>
          </w:tcPr>
          <w:p w14:paraId="2E37DCF5">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截断正态分布 N(0.30,0.10)，限 [0,1]</w:t>
            </w:r>
          </w:p>
        </w:tc>
        <w:tc>
          <w:tcPr>
            <w:tcW w:w="2197" w:type="dxa"/>
            <w:shd w:val="clear" w:color="auto" w:fill="FFFFFF"/>
            <w:vAlign w:val="center"/>
          </w:tcPr>
          <w:p w14:paraId="2FA419DB">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对应传播学中个体情绪唤醒度的差异</w:t>
            </w:r>
          </w:p>
        </w:tc>
      </w:tr>
      <w:tr w14:paraId="7FBCD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965" w:hRule="atLeast"/>
          <w:jc w:val="center"/>
        </w:trPr>
        <w:tc>
          <w:tcPr>
            <w:tcW w:w="709" w:type="dxa"/>
            <w:shd w:val="clear" w:color="auto" w:fill="FFFFFF"/>
            <w:vAlign w:val="center"/>
          </w:tcPr>
          <w:p w14:paraId="5B291951">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数字素养</w:t>
            </w:r>
          </w:p>
        </w:tc>
        <w:tc>
          <w:tcPr>
            <w:tcW w:w="1212" w:type="dxa"/>
            <w:shd w:val="clear" w:color="auto" w:fill="FFFFFF"/>
            <w:vAlign w:val="center"/>
          </w:tcPr>
          <w:p w14:paraId="586B73AB">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信息识别与处理能力</w:t>
            </w:r>
          </w:p>
        </w:tc>
        <w:tc>
          <w:tcPr>
            <w:tcW w:w="4000" w:type="dxa"/>
            <w:shd w:val="clear" w:color="auto" w:fill="FFFFFF"/>
            <w:vAlign w:val="center"/>
          </w:tcPr>
          <w:p w14:paraId="376C8A28">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截断正态分布N(0.69,0.18)，限 [0,1][0,1]</w:t>
            </w:r>
          </w:p>
        </w:tc>
        <w:tc>
          <w:tcPr>
            <w:tcW w:w="2197" w:type="dxa"/>
            <w:shd w:val="clear" w:color="auto" w:fill="FFFFFF"/>
            <w:vAlign w:val="center"/>
          </w:tcPr>
          <w:p w14:paraId="7C007581">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参考论文中CGSS问卷的素养分布特征</w:t>
            </w:r>
          </w:p>
        </w:tc>
      </w:tr>
      <w:tr w14:paraId="7C575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90" w:hRule="atLeast"/>
          <w:jc w:val="center"/>
        </w:trPr>
        <w:tc>
          <w:tcPr>
            <w:tcW w:w="709" w:type="dxa"/>
            <w:shd w:val="clear" w:color="auto" w:fill="FFFFFF"/>
            <w:vAlign w:val="center"/>
          </w:tcPr>
          <w:p w14:paraId="72A46147">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初始政府信任</w:t>
            </w:r>
          </w:p>
        </w:tc>
        <w:tc>
          <w:tcPr>
            <w:tcW w:w="1212" w:type="dxa"/>
            <w:shd w:val="clear" w:color="auto" w:fill="FFFFFF"/>
            <w:vAlign w:val="center"/>
          </w:tcPr>
          <w:p w14:paraId="3D296649">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对官方信息的初始接受倾向</w:t>
            </w:r>
          </w:p>
        </w:tc>
        <w:tc>
          <w:tcPr>
            <w:tcW w:w="4000" w:type="dxa"/>
            <w:shd w:val="clear" w:color="auto" w:fill="FFFFFF"/>
            <w:vAlign w:val="center"/>
          </w:tcPr>
          <w:p w14:paraId="311226A4">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截断正态分布 N(0.69,0.12)N(0.69,0.12)，限 [0,1][0,1]</w:t>
            </w:r>
          </w:p>
        </w:tc>
        <w:tc>
          <w:tcPr>
            <w:tcW w:w="2197" w:type="dxa"/>
            <w:shd w:val="clear" w:color="auto" w:fill="FFFFFF"/>
            <w:vAlign w:val="center"/>
          </w:tcPr>
          <w:p w14:paraId="061C098A">
            <w:pPr>
              <w:keepNext w:val="0"/>
              <w:keepLines w:val="0"/>
              <w:widowControl/>
              <w:suppressLineNumbers w:val="0"/>
              <w:jc w:val="cente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m:rP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参考论文中信任变量的描述统计</w:t>
            </w:r>
          </w:p>
        </w:tc>
      </w:tr>
    </w:tbl>
    <w:p w14:paraId="609E9AEE">
      <w:pPr>
        <w:keepNext w:val="0"/>
        <w:keepLines w:val="0"/>
        <w:widowControl/>
        <w:suppressLineNumbers w:val="0"/>
        <w:ind w:firstLine="420" w:firstLineChars="200"/>
        <w:jc w:val="left"/>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偏好异质性使公众对初始信息有不同的兴趣方向；情绪易感性差异导致同一情绪强度信息对不同公众触发不同的互动概率；数字素养影响学习成本的初始水平及更新轨迹；信任则贯穿整个因果链，既影响互动倾向，也随系统状态演化。</w:t>
      </w:r>
    </w:p>
    <w:p w14:paraId="0FB50090">
      <w:pPr>
        <w:keepNext w:val="0"/>
        <w:keepLines w:val="0"/>
        <w:widowControl/>
        <w:suppressLineNumbers w:val="0"/>
        <w:jc w:val="left"/>
        <w:rPr>
          <w:rFonts w:hint="eastAsia" w:ascii="宋体" w:hAnsi="宋体" w:eastAsia="宋体" w:cs="宋体"/>
          <w:b/>
          <w:bCs/>
          <w:i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i w:val="0"/>
          <w:color w:val="000000" w:themeColor="text1"/>
          <w:kern w:val="0"/>
          <w:sz w:val="21"/>
          <w:szCs w:val="21"/>
          <w:lang w:val="en-US" w:eastAsia="zh-CN" w:bidi="ar"/>
          <w14:textFill>
            <w14:solidFill>
              <w14:schemeClr w14:val="tx1"/>
            </w14:solidFill>
          </w14:textFill>
        </w:rPr>
        <w:t>3.4.2信息消费与互动</w:t>
      </w:r>
    </w:p>
    <w:p w14:paraId="7F188261">
      <w:pPr>
        <w:keepNext w:val="0"/>
        <w:keepLines w:val="0"/>
        <w:widowControl/>
        <w:suppressLineNumbers w:val="0"/>
        <w:ind w:firstLine="420" w:firstLineChars="200"/>
        <w:jc w:val="left"/>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pPr>
      <w: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每步中，平台向每位公众推荐 K=min(注意力预算,当前信息池规模)条信息，默认注意力预算为5。公众依次消费推荐列表中的全部信息。消费以“进入推荐列表即视为被消费”计，所有议程份额和话题份额均按消费次数统计，而非按信息数量或热度值统计。</w:t>
      </w:r>
    </w:p>
    <w:p w14:paraId="682E051F">
      <w:pPr>
        <w:keepNext w:val="0"/>
        <w:keepLines w:val="0"/>
        <w:widowControl/>
        <w:suppressLineNumbers w:val="0"/>
        <w:ind w:firstLine="420" w:firstLineChars="200"/>
        <w:jc w:val="left"/>
        <w:rPr>
          <w:rFonts w:hint="eastAsia" w:hAnsi="Cambria Math" w:cs="宋体"/>
          <w:bCs w:val="0"/>
          <w:i w:val="0"/>
          <w:color w:val="000000" w:themeColor="text1"/>
          <w:kern w:val="0"/>
          <w:sz w:val="21"/>
          <w:szCs w:val="21"/>
          <w:lang w:val="en-US" w:eastAsia="zh-CN" w:bidi="ar"/>
          <w14:textFill>
            <w14:solidFill>
              <w14:schemeClr w14:val="tx1"/>
            </w14:solidFill>
          </w14:textFill>
        </w:rPr>
      </w:pPr>
      <w:r>
        <w:rPr>
          <w:rFonts w:hint="eastAsia" w:hAnsi="Cambria Math" w:eastAsia="宋体" w:cs="宋体"/>
          <w:b w:val="0"/>
          <w:bCs w:val="0"/>
          <w:i w:val="0"/>
          <w:color w:val="000000" w:themeColor="text1"/>
          <w:kern w:val="0"/>
          <w:sz w:val="21"/>
          <w:szCs w:val="21"/>
          <w:lang w:val="en-US" w:eastAsia="zh-CN" w:bidi="ar"/>
          <w14:textFill>
            <w14:solidFill>
              <w14:schemeClr w14:val="tx1"/>
            </w14:solidFill>
          </w14:textFill>
        </w:rPr>
        <w:t>对每条消费的信息，公众决定是否互动（点赞或转发）。互动概率为：</w:t>
      </w:r>
      <m:oMath>
        <m:sSub>
          <m:sSubPr>
            <m:ctrlPr>
              <w:rPr>
                <w:rFonts w:ascii="Cambria Math" w:hAnsi="Cambria Math" w:cs="宋体"/>
                <w:bCs w:val="0"/>
                <w:i/>
                <w:color w:val="000000" w:themeColor="text1"/>
                <w:kern w:val="0"/>
                <w:sz w:val="21"/>
                <w:szCs w:val="21"/>
                <w:lang w:val="en-US" w:bidi="ar"/>
                <w14:textFill>
                  <w14:solidFill>
                    <w14:schemeClr w14:val="tx1"/>
                  </w14:solidFill>
                </w14:textFill>
              </w:rPr>
            </m:ctrlPr>
          </m:sSubPr>
          <m:e>
            <m:r>
              <m:rPr/>
              <w:rPr>
                <w:rFonts w:hint="default" w:ascii="Cambria Math" w:hAnsi="Cambria Math" w:cs="宋体"/>
                <w:color w:val="000000" w:themeColor="text1"/>
                <w:kern w:val="0"/>
                <w:sz w:val="21"/>
                <w:szCs w:val="21"/>
                <w:lang w:val="en-US" w:eastAsia="zh-CN" w:bidi="ar"/>
                <w14:textFill>
                  <w14:solidFill>
                    <w14:schemeClr w14:val="tx1"/>
                  </w14:solidFill>
                </w14:textFill>
              </w:rPr>
              <m:t>P</m:t>
            </m:r>
            <m:ctrlPr>
              <w:rPr>
                <w:rFonts w:ascii="Cambria Math" w:hAnsi="Cambria Math" w:cs="宋体"/>
                <w:bCs w:val="0"/>
                <w:i/>
                <w:color w:val="000000" w:themeColor="text1"/>
                <w:kern w:val="0"/>
                <w:sz w:val="21"/>
                <w:szCs w:val="21"/>
                <w:lang w:val="en-US" w:bidi="ar"/>
                <w14:textFill>
                  <w14:solidFill>
                    <w14:schemeClr w14:val="tx1"/>
                  </w14:solidFill>
                </w14:textFill>
              </w:rPr>
            </m:ctrlPr>
          </m:e>
          <m:sub>
            <m:r>
              <m:rPr/>
              <w:rPr>
                <w:rFonts w:hint="default" w:ascii="Cambria Math" w:hAnsi="Cambria Math" w:cs="宋体"/>
                <w:color w:val="000000" w:themeColor="text1"/>
                <w:kern w:val="0"/>
                <w:sz w:val="21"/>
                <w:szCs w:val="21"/>
                <w:lang w:val="en-US" w:eastAsia="zh-CN" w:bidi="ar"/>
                <w14:textFill>
                  <w14:solidFill>
                    <w14:schemeClr w14:val="tx1"/>
                  </w14:solidFill>
                </w14:textFill>
              </w:rPr>
              <m:t>ij</m:t>
            </m:r>
            <m:ctrlPr>
              <w:rPr>
                <w:rFonts w:ascii="Cambria Math" w:hAnsi="Cambria Math" w:cs="宋体"/>
                <w:bCs w:val="0"/>
                <w:i/>
                <w:color w:val="000000" w:themeColor="text1"/>
                <w:kern w:val="0"/>
                <w:sz w:val="21"/>
                <w:szCs w:val="21"/>
                <w:lang w:val="en-US" w:bidi="ar"/>
                <w14:textFill>
                  <w14:solidFill>
                    <w14:schemeClr w14:val="tx1"/>
                  </w14:solidFill>
                </w14:textFill>
              </w:rPr>
            </m:ctrlPr>
          </m:sub>
        </m:sSub>
        <m:r>
          <m:rPr/>
          <w:rPr>
            <w:rFonts w:hint="default" w:ascii="Cambria Math" w:hAnsi="Cambria Math" w:cs="宋体"/>
            <w:color w:val="000000" w:themeColor="text1"/>
            <w:kern w:val="0"/>
            <w:sz w:val="21"/>
            <w:szCs w:val="21"/>
            <w:lang w:val="en-US" w:eastAsia="zh-CN" w:bidi="ar"/>
            <w14:textFill>
              <w14:solidFill>
                <w14:schemeClr w14:val="tx1"/>
              </w14:solidFill>
            </w14:textFill>
          </w:rPr>
          <m:t>=clip</m:t>
        </m:r>
        <m:d>
          <m:dPr>
            <m:ctrlPr>
              <m:r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dPr>
          <m:e>
            <m:sSub>
              <m:sSubPr>
                <m:ctrlPr>
                  <m:r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cs="宋体"/>
                    <w:color w:val="000000" w:themeColor="text1"/>
                    <w:kern w:val="0"/>
                    <w:sz w:val="21"/>
                    <w:szCs w:val="21"/>
                    <w:lang w:val="en-US" w:eastAsia="zh-CN" w:bidi="ar"/>
                    <w14:textFill>
                      <w14:solidFill>
                        <w14:schemeClr w14:val="tx1"/>
                      </w14:solidFill>
                    </w14:textFill>
                  </w:rPr>
                  <m:t>E</m:t>
                </m:r>
                <m:ctrlPr>
                  <m:r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cs="宋体"/>
                    <w:color w:val="000000" w:themeColor="text1"/>
                    <w:kern w:val="0"/>
                    <w:sz w:val="21"/>
                    <w:szCs w:val="21"/>
                    <w:lang w:val="en-US" w:eastAsia="zh-CN" w:bidi="ar"/>
                    <w14:textFill>
                      <w14:solidFill>
                        <w14:schemeClr w14:val="tx1"/>
                      </w14:solidFill>
                    </w14:textFill>
                  </w:rPr>
                  <m:t>i</m:t>
                </m:r>
                <m:ctrlPr>
                  <m:r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sub>
            </m:sSub>
            <m:r>
              <m:rPr/>
              <w:rPr>
                <w:rFonts w:hint="eastAsia" w:ascii="Cambria Math" w:hAnsi="Cambria Math" w:cs="宋体"/>
                <w:color w:val="000000" w:themeColor="text1"/>
                <w:kern w:val="0"/>
                <w:sz w:val="21"/>
                <w:szCs w:val="21"/>
                <w:lang w:val="en-US" w:eastAsia="zh-CN" w:bidi="ar"/>
                <w14:textFill>
                  <w14:solidFill>
                    <w14:schemeClr w14:val="tx1"/>
                  </w14:solidFill>
                </w14:textFill>
              </w:rPr>
              <m:t>·</m:t>
            </m:r>
            <m:sSub>
              <m:sSubPr>
                <m:ctrlPr>
                  <m:rPr/>
                  <w:rPr>
                    <w:rFonts w:hint="eastAsia" w:ascii="Cambria Math" w:hAnsi="Cambria Math" w:cs="宋体"/>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cs="宋体"/>
                    <w:color w:val="000000" w:themeColor="text1"/>
                    <w:kern w:val="0"/>
                    <w:sz w:val="21"/>
                    <w:szCs w:val="21"/>
                    <w:lang w:val="en-US" w:eastAsia="zh-CN" w:bidi="ar"/>
                    <w14:textFill>
                      <w14:solidFill>
                        <w14:schemeClr w14:val="tx1"/>
                      </w14:solidFill>
                    </w14:textFill>
                  </w:rPr>
                  <m:t>Emo</m:t>
                </m:r>
                <m:ctrlPr>
                  <m:rPr/>
                  <w:rPr>
                    <w:rFonts w:hint="eastAsia" w:ascii="Cambria Math" w:hAnsi="Cambria Math" w:cs="宋体"/>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cs="宋体"/>
                    <w:color w:val="000000" w:themeColor="text1"/>
                    <w:kern w:val="0"/>
                    <w:sz w:val="21"/>
                    <w:szCs w:val="21"/>
                    <w:lang w:val="en-US" w:eastAsia="zh-CN" w:bidi="ar"/>
                    <w14:textFill>
                      <w14:solidFill>
                        <w14:schemeClr w14:val="tx1"/>
                      </w14:solidFill>
                    </w14:textFill>
                  </w:rPr>
                  <m:t>j</m:t>
                </m:r>
                <m:ctrlPr>
                  <m:rPr/>
                  <w:rPr>
                    <w:rFonts w:hint="eastAsia" w:ascii="Cambria Math" w:hAnsi="Cambria Math" w:cs="宋体"/>
                    <w:bCs w:val="0"/>
                    <w:i/>
                    <w:color w:val="000000" w:themeColor="text1"/>
                    <w:kern w:val="0"/>
                    <w:sz w:val="21"/>
                    <w:szCs w:val="21"/>
                    <w:lang w:val="en-US" w:eastAsia="zh-CN" w:bidi="ar"/>
                    <w14:textFill>
                      <w14:solidFill>
                        <w14:schemeClr w14:val="tx1"/>
                      </w14:solidFill>
                    </w14:textFill>
                  </w:rPr>
                </m:ctrlPr>
              </m:sub>
            </m:sSub>
            <m:r>
              <m:rPr/>
              <w:rPr>
                <w:rFonts w:hint="eastAsia" w:ascii="Cambria Math" w:hAnsi="Cambria Math" w:cs="宋体"/>
                <w:color w:val="000000" w:themeColor="text1"/>
                <w:kern w:val="0"/>
                <w:sz w:val="21"/>
                <w:szCs w:val="21"/>
                <w:lang w:val="en-US" w:eastAsia="zh-CN" w:bidi="ar"/>
                <w14:textFill>
                  <w14:solidFill>
                    <w14:schemeClr w14:val="tx1"/>
                  </w14:solidFill>
                </w14:textFill>
              </w:rPr>
              <m:t>·</m:t>
            </m:r>
            <m:sSub>
              <m:sSubPr>
                <m:ctrlPr>
                  <m:rPr/>
                  <w:rPr>
                    <w:rFonts w:hint="eastAsia" w:ascii="Cambria Math" w:hAnsi="Cambria Math" w:cs="宋体"/>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cs="宋体"/>
                    <w:color w:val="000000" w:themeColor="text1"/>
                    <w:kern w:val="0"/>
                    <w:sz w:val="21"/>
                    <w:szCs w:val="21"/>
                    <w:lang w:val="en-US" w:eastAsia="zh-CN" w:bidi="ar"/>
                    <w14:textFill>
                      <w14:solidFill>
                        <w14:schemeClr w14:val="tx1"/>
                      </w14:solidFill>
                    </w14:textFill>
                  </w:rPr>
                  <m:t>F</m:t>
                </m:r>
                <m:ctrlPr>
                  <m:rPr/>
                  <w:rPr>
                    <w:rFonts w:hint="eastAsia" w:ascii="Cambria Math" w:hAnsi="Cambria Math" w:cs="宋体"/>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cs="宋体"/>
                    <w:color w:val="000000" w:themeColor="text1"/>
                    <w:kern w:val="0"/>
                    <w:sz w:val="21"/>
                    <w:szCs w:val="21"/>
                    <w:lang w:val="en-US" w:eastAsia="zh-CN" w:bidi="ar"/>
                    <w14:textFill>
                      <w14:solidFill>
                        <w14:schemeClr w14:val="tx1"/>
                      </w14:solidFill>
                    </w14:textFill>
                  </w:rPr>
                  <m:t>ij</m:t>
                </m:r>
                <m:ctrlPr>
                  <m:rPr/>
                  <w:rPr>
                    <w:rFonts w:hint="eastAsia" w:ascii="Cambria Math" w:hAnsi="Cambria Math" w:cs="宋体"/>
                    <w:bCs w:val="0"/>
                    <w:i/>
                    <w:color w:val="000000" w:themeColor="text1"/>
                    <w:kern w:val="0"/>
                    <w:sz w:val="21"/>
                    <w:szCs w:val="21"/>
                    <w:lang w:val="en-US" w:eastAsia="zh-CN" w:bidi="ar"/>
                    <w14:textFill>
                      <w14:solidFill>
                        <w14:schemeClr w14:val="tx1"/>
                      </w14:solidFill>
                    </w14:textFill>
                  </w:rPr>
                </m:ctrlPr>
              </m:sub>
            </m:sSub>
            <m:r>
              <m:rPr/>
              <w:rPr>
                <w:rFonts w:hint="default" w:ascii="Cambria Math" w:hAnsi="Cambria Math" w:cs="宋体"/>
                <w:color w:val="000000" w:themeColor="text1"/>
                <w:kern w:val="0"/>
                <w:sz w:val="21"/>
                <w:szCs w:val="21"/>
                <w:lang w:val="en-US" w:eastAsia="zh-CN" w:bidi="ar"/>
                <w14:textFill>
                  <w14:solidFill>
                    <w14:schemeClr w14:val="tx1"/>
                  </w14:solidFill>
                </w14:textFill>
              </w:rPr>
              <m:t xml:space="preserve"> ,0 , 1</m:t>
            </m:r>
            <m:ctrlPr>
              <m:r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e>
        </m:d>
      </m:oMath>
      <w:r>
        <m:rPr/>
        <w:rPr>
          <w:rFonts w:hint="eastAsia" w:hAnsi="Cambria Math" w:cs="宋体"/>
          <w:bCs w:val="0"/>
          <w:i w:val="0"/>
          <w:color w:val="000000" w:themeColor="text1"/>
          <w:kern w:val="0"/>
          <w:sz w:val="21"/>
          <w:szCs w:val="21"/>
          <w:lang w:val="en-US" w:eastAsia="zh-CN" w:bidi="ar"/>
          <w14:textFill>
            <w14:solidFill>
              <w14:schemeClr w14:val="tx1"/>
            </w14:solidFill>
          </w14:textFill>
        </w:rPr>
        <w:t>。其中</w:t>
      </w:r>
      <m:oMath>
        <m:sSub>
          <m:sSubPr>
            <m:ctrl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cs="宋体"/>
                <w:color w:val="000000" w:themeColor="text1"/>
                <w:kern w:val="0"/>
                <w:sz w:val="21"/>
                <w:szCs w:val="21"/>
                <w:lang w:val="en-US" w:eastAsia="zh-CN" w:bidi="ar"/>
                <w14:textFill>
                  <w14:solidFill>
                    <w14:schemeClr w14:val="tx1"/>
                  </w14:solidFill>
                </w14:textFill>
              </w:rPr>
              <m:t>E</m:t>
            </m:r>
            <m:ctrl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cs="宋体"/>
                <w:color w:val="000000" w:themeColor="text1"/>
                <w:kern w:val="0"/>
                <w:sz w:val="21"/>
                <w:szCs w:val="21"/>
                <w:lang w:val="en-US" w:eastAsia="zh-CN" w:bidi="ar"/>
                <w14:textFill>
                  <w14:solidFill>
                    <w14:schemeClr w14:val="tx1"/>
                  </w14:solidFill>
                </w14:textFill>
              </w:rPr>
              <m:t>i</m:t>
            </m:r>
            <m:ctrl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sub>
        </m:sSub>
      </m:oMath>
      <w:r>
        <w:rPr>
          <w:rFonts w:hint="default" w:hAnsi="Cambria Math" w:cs="宋体"/>
          <w:bCs w:val="0"/>
          <w:i w:val="0"/>
          <w:color w:val="000000" w:themeColor="text1"/>
          <w:kern w:val="0"/>
          <w:sz w:val="21"/>
          <w:szCs w:val="21"/>
          <w:lang w:val="en-US" w:eastAsia="zh-CN" w:bidi="ar"/>
          <w14:textFill>
            <w14:solidFill>
              <w14:schemeClr w14:val="tx1"/>
            </w14:solidFill>
          </w14:textFill>
        </w:rPr>
        <w:t>为公众 </w:t>
      </w:r>
      <w:r>
        <w:rPr>
          <w:rFonts w:hint="eastAsia" w:hAnsi="Cambria Math" w:cs="宋体"/>
          <w:bCs w:val="0"/>
          <w:i w:val="0"/>
          <w:color w:val="000000" w:themeColor="text1"/>
          <w:kern w:val="0"/>
          <w:sz w:val="21"/>
          <w:szCs w:val="21"/>
          <w:lang w:val="en-US" w:eastAsia="zh-CN" w:bidi="ar"/>
          <w14:textFill>
            <w14:solidFill>
              <w14:schemeClr w14:val="tx1"/>
            </w14:solidFill>
          </w14:textFill>
        </w:rPr>
        <w:t>i</w:t>
      </w:r>
      <w:r>
        <w:rPr>
          <w:rFonts w:hint="default" w:hAnsi="Cambria Math" w:cs="宋体"/>
          <w:bCs w:val="0"/>
          <w:i w:val="0"/>
          <w:color w:val="000000" w:themeColor="text1"/>
          <w:kern w:val="0"/>
          <w:sz w:val="21"/>
          <w:szCs w:val="21"/>
          <w:lang w:val="en-US" w:eastAsia="zh-CN" w:bidi="ar"/>
          <w14:textFill>
            <w14:solidFill>
              <w14:schemeClr w14:val="tx1"/>
            </w14:solidFill>
          </w14:textFill>
        </w:rPr>
        <w:t>的情绪易感性</w:t>
      </w:r>
      <w:r>
        <w:rPr>
          <w:rFonts w:hint="eastAsia" w:hAnsi="Cambria Math" w:cs="宋体"/>
          <w:bCs w:val="0"/>
          <w:i w:val="0"/>
          <w:color w:val="000000" w:themeColor="text1"/>
          <w:kern w:val="0"/>
          <w:sz w:val="21"/>
          <w:szCs w:val="21"/>
          <w:lang w:val="en-US" w:eastAsia="zh-CN" w:bidi="ar"/>
          <w14:textFill>
            <w14:solidFill>
              <w14:schemeClr w14:val="tx1"/>
            </w14:solidFill>
          </w14:textFill>
        </w:rPr>
        <w:t>， </w:t>
      </w:r>
      <m:oMath>
        <m:sSub>
          <m:sSubPr>
            <m:ctrlPr>
              <w:rPr>
                <w:rFonts w:hint="eastAsia" w:ascii="Cambria Math" w:hAnsi="Cambria Math" w:cs="宋体"/>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cs="宋体"/>
                <w:color w:val="000000" w:themeColor="text1"/>
                <w:kern w:val="0"/>
                <w:sz w:val="21"/>
                <w:szCs w:val="21"/>
                <w:lang w:val="en-US" w:eastAsia="zh-CN" w:bidi="ar"/>
                <w14:textFill>
                  <w14:solidFill>
                    <w14:schemeClr w14:val="tx1"/>
                  </w14:solidFill>
                </w14:textFill>
              </w:rPr>
              <m:t>Emo</m:t>
            </m:r>
            <m:ctrlPr>
              <w:rPr>
                <w:rFonts w:hint="eastAsia" w:ascii="Cambria Math" w:hAnsi="Cambria Math" w:cs="宋体"/>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cs="宋体"/>
                <w:color w:val="000000" w:themeColor="text1"/>
                <w:kern w:val="0"/>
                <w:sz w:val="21"/>
                <w:szCs w:val="21"/>
                <w:lang w:val="en-US" w:eastAsia="zh-CN" w:bidi="ar"/>
                <w14:textFill>
                  <w14:solidFill>
                    <w14:schemeClr w14:val="tx1"/>
                  </w14:solidFill>
                </w14:textFill>
              </w:rPr>
              <m:t>j</m:t>
            </m:r>
            <m:ctrlPr>
              <w:rPr>
                <w:rFonts w:hint="eastAsia" w:ascii="Cambria Math" w:hAnsi="Cambria Math" w:cs="宋体"/>
                <w:bCs w:val="0"/>
                <w:i/>
                <w:color w:val="000000" w:themeColor="text1"/>
                <w:kern w:val="0"/>
                <w:sz w:val="21"/>
                <w:szCs w:val="21"/>
                <w:lang w:val="en-US" w:eastAsia="zh-CN" w:bidi="ar"/>
                <w14:textFill>
                  <w14:solidFill>
                    <w14:schemeClr w14:val="tx1"/>
                  </w14:solidFill>
                </w14:textFill>
              </w:rPr>
            </m:ctrlPr>
          </m:sub>
        </m:sSub>
      </m:oMath>
      <w:r>
        <w:rPr>
          <w:rFonts w:hint="eastAsia" w:hAnsi="Cambria Math" w:cs="宋体"/>
          <w:bCs w:val="0"/>
          <w:i w:val="0"/>
          <w:color w:val="000000" w:themeColor="text1"/>
          <w:kern w:val="0"/>
          <w:sz w:val="21"/>
          <w:szCs w:val="21"/>
          <w:lang w:val="en-US" w:eastAsia="zh-CN" w:bidi="ar"/>
          <w14:textFill>
            <w14:solidFill>
              <w14:schemeClr w14:val="tx1"/>
            </w14:solidFill>
          </w14:textFill>
        </w:rPr>
        <w:t>为信息 j的情绪强度，</w:t>
      </w:r>
      <m:oMath>
        <m:sSub>
          <m:sSubPr>
            <m:ctrlPr>
              <w:rPr>
                <w:rFonts w:hint="eastAsia" w:ascii="Cambria Math" w:hAnsi="Cambria Math" w:cs="宋体"/>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cs="宋体"/>
                <w:color w:val="000000" w:themeColor="text1"/>
                <w:kern w:val="0"/>
                <w:sz w:val="21"/>
                <w:szCs w:val="21"/>
                <w:lang w:val="en-US" w:eastAsia="zh-CN" w:bidi="ar"/>
                <w14:textFill>
                  <w14:solidFill>
                    <w14:schemeClr w14:val="tx1"/>
                  </w14:solidFill>
                </w14:textFill>
              </w:rPr>
              <m:t>F</m:t>
            </m:r>
            <m:ctrlPr>
              <w:rPr>
                <w:rFonts w:hint="eastAsia" w:ascii="Cambria Math" w:hAnsi="Cambria Math" w:cs="宋体"/>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cs="宋体"/>
                <w:color w:val="000000" w:themeColor="text1"/>
                <w:kern w:val="0"/>
                <w:sz w:val="21"/>
                <w:szCs w:val="21"/>
                <w:lang w:val="en-US" w:eastAsia="zh-CN" w:bidi="ar"/>
                <w14:textFill>
                  <w14:solidFill>
                    <w14:schemeClr w14:val="tx1"/>
                  </w14:solidFill>
                </w14:textFill>
              </w:rPr>
              <m:t>ij</m:t>
            </m:r>
            <m:ctrlPr>
              <w:rPr>
                <w:rFonts w:hint="eastAsia" w:ascii="Cambria Math" w:hAnsi="Cambria Math" w:cs="宋体"/>
                <w:bCs w:val="0"/>
                <w:i/>
                <w:color w:val="000000" w:themeColor="text1"/>
                <w:kern w:val="0"/>
                <w:sz w:val="21"/>
                <w:szCs w:val="21"/>
                <w:lang w:val="en-US" w:eastAsia="zh-CN" w:bidi="ar"/>
                <w14:textFill>
                  <w14:solidFill>
                    <w14:schemeClr w14:val="tx1"/>
                  </w14:solidFill>
                </w14:textFill>
              </w:rPr>
            </m:ctrlPr>
          </m:sub>
        </m:sSub>
        <m:r>
          <m:rPr/>
          <w:rPr>
            <w:rFonts w:hint="default" w:ascii="Cambria Math" w:hAnsi="Cambria Math" w:cs="宋体"/>
            <w:color w:val="000000" w:themeColor="text1"/>
            <w:kern w:val="0"/>
            <w:sz w:val="21"/>
            <w:szCs w:val="21"/>
            <w:lang w:val="en-US" w:eastAsia="zh-CN" w:bidi="ar"/>
            <w14:textFill>
              <w14:solidFill>
                <w14:schemeClr w14:val="tx1"/>
              </w14:solidFill>
            </w14:textFill>
          </w:rPr>
          <m:t xml:space="preserve"> </m:t>
        </m:r>
      </m:oMath>
      <w: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为由政府信任</w:t>
      </w:r>
      <m:oMath>
        <m:sSub>
          <m:sSubPr>
            <m:ctrl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cs="宋体"/>
                <w:color w:val="000000" w:themeColor="text1"/>
                <w:kern w:val="0"/>
                <w:sz w:val="21"/>
                <w:szCs w:val="21"/>
                <w:lang w:val="en-US" w:eastAsia="zh-CN" w:bidi="ar"/>
                <w14:textFill>
                  <w14:solidFill>
                    <w14:schemeClr w14:val="tx1"/>
                  </w14:solidFill>
                </w14:textFill>
              </w:rPr>
              <m:t>T</m:t>
            </m:r>
            <m:ctrl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cs="宋体"/>
                <w:color w:val="000000" w:themeColor="text1"/>
                <w:kern w:val="0"/>
                <w:sz w:val="21"/>
                <w:szCs w:val="21"/>
                <w:lang w:val="en-US" w:eastAsia="zh-CN" w:bidi="ar"/>
                <w14:textFill>
                  <w14:solidFill>
                    <w14:schemeClr w14:val="tx1"/>
                  </w14:solidFill>
                </w14:textFill>
              </w:rPr>
              <m:t>i</m:t>
            </m:r>
            <m:ctrl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sub>
        </m:sSub>
      </m:oMath>
      <w:r>
        <w:rPr>
          <w:rFonts w:hint="default" w:hAnsi="Cambria Math" w:eastAsia="宋体" w:cs="宋体"/>
          <w:b w:val="0"/>
          <w:bCs w:val="0"/>
          <w:i w:val="0"/>
          <w:color w:val="000000" w:themeColor="text1"/>
          <w:kern w:val="0"/>
          <w:sz w:val="21"/>
          <w:szCs w:val="21"/>
          <w:lang w:val="en-US" w:eastAsia="zh-CN" w:bidi="ar"/>
          <w14:textFill>
            <w14:solidFill>
              <w14:schemeClr w14:val="tx1"/>
            </w14:solidFill>
          </w14:textFill>
        </w:rPr>
        <w:t>调节的来源因子</w:t>
      </w:r>
      <w:r>
        <w:rPr>
          <w:rFonts w:hint="eastAsia" w:hAnsi="Cambria Math" w:eastAsia="宋体" w:cs="宋体"/>
          <w:b w:val="0"/>
          <w:bCs w:val="0"/>
          <w:i w:val="0"/>
          <w:color w:val="000000" w:themeColor="text1"/>
          <w:kern w:val="0"/>
          <w:sz w:val="21"/>
          <w:szCs w:val="21"/>
          <w:lang w:val="en-US" w:eastAsia="zh-CN" w:bidi="ar"/>
          <w14:textFill>
            <w14:solidFill>
              <w14:schemeClr w14:val="tx1"/>
            </w14:solidFill>
          </w14:textFill>
        </w:rPr>
        <w:t xml:space="preserve">: </w:t>
      </w:r>
      <m:oMath>
        <m:sSub>
          <m:sSubPr>
            <m:ctrlPr>
              <w:rPr>
                <w:rFonts w:ascii="Cambria Math" w:hAnsi="Cambria Math" w:cs="宋体"/>
                <w:bCs w:val="0"/>
                <w:i w:val="0"/>
                <w:color w:val="000000" w:themeColor="text1"/>
                <w:kern w:val="0"/>
                <w:sz w:val="21"/>
                <w:szCs w:val="21"/>
                <w:lang w:val="en-US" w:bidi="ar"/>
                <w14:textFill>
                  <w14:solidFill>
                    <w14:schemeClr w14:val="tx1"/>
                  </w14:solidFill>
                </w14:textFill>
              </w:rPr>
            </m:ctrlPr>
          </m:sSubPr>
          <m:e>
            <m:r>
              <m:rPr>
                <m:sty m:val="p"/>
              </m:rPr>
              <w:rPr>
                <w:rFonts w:hint="default" w:ascii="Cambria Math" w:hAnsi="Cambria Math" w:cs="宋体"/>
                <w:color w:val="000000" w:themeColor="text1"/>
                <w:kern w:val="0"/>
                <w:sz w:val="21"/>
                <w:szCs w:val="21"/>
                <w:lang w:val="en-US" w:eastAsia="zh-CN" w:bidi="ar"/>
                <w14:textFill>
                  <w14:solidFill>
                    <w14:schemeClr w14:val="tx1"/>
                  </w14:solidFill>
                </w14:textFill>
              </w:rPr>
              <m:t>F</m:t>
            </m:r>
            <m:ctrlPr>
              <w:rPr>
                <w:rFonts w:ascii="Cambria Math" w:hAnsi="Cambria Math" w:cs="宋体"/>
                <w:bCs w:val="0"/>
                <w:i w:val="0"/>
                <w:color w:val="000000" w:themeColor="text1"/>
                <w:kern w:val="0"/>
                <w:sz w:val="21"/>
                <w:szCs w:val="21"/>
                <w:lang w:val="en-US" w:bidi="ar"/>
                <w14:textFill>
                  <w14:solidFill>
                    <w14:schemeClr w14:val="tx1"/>
                  </w14:solidFill>
                </w14:textFill>
              </w:rPr>
            </m:ctrlPr>
          </m:e>
          <m:sub>
            <m:r>
              <m:rPr>
                <m:sty m:val="p"/>
              </m:rPr>
              <w:rPr>
                <w:rFonts w:hint="default" w:ascii="Cambria Math" w:hAnsi="Cambria Math" w:cs="宋体"/>
                <w:color w:val="000000" w:themeColor="text1"/>
                <w:kern w:val="0"/>
                <w:sz w:val="21"/>
                <w:szCs w:val="21"/>
                <w:lang w:val="en-US" w:eastAsia="zh-CN" w:bidi="ar"/>
                <w14:textFill>
                  <w14:solidFill>
                    <w14:schemeClr w14:val="tx1"/>
                  </w14:solidFill>
                </w14:textFill>
              </w:rPr>
              <m:t>ij</m:t>
            </m:r>
            <m:ctrlPr>
              <w:rPr>
                <w:rFonts w:ascii="Cambria Math" w:hAnsi="Cambria Math" w:cs="宋体"/>
                <w:bCs w:val="0"/>
                <w:i w:val="0"/>
                <w:color w:val="000000" w:themeColor="text1"/>
                <w:kern w:val="0"/>
                <w:sz w:val="21"/>
                <w:szCs w:val="21"/>
                <w:lang w:val="en-US" w:bidi="ar"/>
                <w14:textFill>
                  <w14:solidFill>
                    <w14:schemeClr w14:val="tx1"/>
                  </w14:solidFill>
                </w14:textFill>
              </w:rPr>
            </m:ctrlPr>
          </m:sub>
        </m:sSub>
        <m:d>
          <m:dPr>
            <m:begChr m:val="{"/>
            <m:endChr m:val=""/>
            <m:ctrlPr>
              <w:rPr>
                <w:rFonts w:ascii="Cambria Math" w:hAnsi="Cambria Math" w:cs="宋体"/>
                <w:bCs w:val="0"/>
                <w:i/>
                <w:color w:val="000000" w:themeColor="text1"/>
                <w:kern w:val="0"/>
                <w:sz w:val="21"/>
                <w:szCs w:val="21"/>
                <w:lang w:val="en-US" w:bidi="ar"/>
                <w14:textFill>
                  <w14:solidFill>
                    <w14:schemeClr w14:val="tx1"/>
                  </w14:solidFill>
                </w14:textFill>
              </w:rPr>
            </m:ctrlPr>
          </m:dPr>
          <m:e>
            <m:eqArr>
              <m:eqArrPr>
                <m:ctrlPr>
                  <w:rPr>
                    <w:rFonts w:ascii="Cambria Math" w:hAnsi="Cambria Math" w:cs="宋体"/>
                    <w:bCs w:val="0"/>
                    <w:i/>
                    <w:color w:val="000000" w:themeColor="text1"/>
                    <w:kern w:val="0"/>
                    <w:sz w:val="21"/>
                    <w:szCs w:val="21"/>
                    <w:lang w:val="en-US" w:bidi="ar"/>
                    <w14:textFill>
                      <w14:solidFill>
                        <w14:schemeClr w14:val="tx1"/>
                      </w14:solidFill>
                    </w14:textFill>
                  </w:rPr>
                </m:ctrlPr>
              </m:eqArrPr>
              <m:e>
                <m:r>
                  <m:rPr/>
                  <w:rPr>
                    <w:rFonts w:hint="default" w:ascii="Cambria Math" w:hAnsi="Cambria Math" w:cs="宋体"/>
                    <w:color w:val="000000" w:themeColor="text1"/>
                    <w:kern w:val="0"/>
                    <w:sz w:val="21"/>
                    <w:szCs w:val="21"/>
                    <w:lang w:val="en-US" w:eastAsia="zh-CN" w:bidi="ar"/>
                    <w14:textFill>
                      <w14:solidFill>
                        <w14:schemeClr w14:val="tx1"/>
                      </w14:solidFill>
                    </w14:textFill>
                  </w:rPr>
                  <m:t>1+s</m:t>
                </m:r>
                <m:d>
                  <m:dPr>
                    <m:ctrlPr>
                      <m:r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dPr>
                  <m:e>
                    <m:r>
                      <m:rPr/>
                      <w:rPr>
                        <w:rFonts w:hint="default" w:ascii="Cambria Math" w:hAnsi="Cambria Math" w:cs="宋体"/>
                        <w:color w:val="000000" w:themeColor="text1"/>
                        <w:kern w:val="0"/>
                        <w:sz w:val="21"/>
                        <w:szCs w:val="21"/>
                        <w:lang w:val="en-US" w:eastAsia="zh-CN" w:bidi="ar"/>
                        <w14:textFill>
                          <w14:solidFill>
                            <w14:schemeClr w14:val="tx1"/>
                          </w14:solidFill>
                        </w14:textFill>
                      </w:rPr>
                      <m:t>2</m:t>
                    </m:r>
                    <m:sSub>
                      <m:sSubPr>
                        <m:ctrlPr>
                          <m:r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cs="宋体"/>
                            <w:color w:val="000000" w:themeColor="text1"/>
                            <w:kern w:val="0"/>
                            <w:sz w:val="21"/>
                            <w:szCs w:val="21"/>
                            <w:lang w:val="en-US" w:eastAsia="zh-CN" w:bidi="ar"/>
                            <w14:textFill>
                              <w14:solidFill>
                                <w14:schemeClr w14:val="tx1"/>
                              </w14:solidFill>
                            </w14:textFill>
                          </w:rPr>
                          <m:t>T</m:t>
                        </m:r>
                        <m:ctrlPr>
                          <m:r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cs="宋体"/>
                            <w:color w:val="000000" w:themeColor="text1"/>
                            <w:kern w:val="0"/>
                            <w:sz w:val="21"/>
                            <w:szCs w:val="21"/>
                            <w:lang w:val="en-US" w:eastAsia="zh-CN" w:bidi="ar"/>
                            <w14:textFill>
                              <w14:solidFill>
                                <w14:schemeClr w14:val="tx1"/>
                              </w14:solidFill>
                            </w14:textFill>
                          </w:rPr>
                          <m:t>i</m:t>
                        </m:r>
                        <m:ctrlPr>
                          <m:r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sub>
                    </m:sSub>
                    <m:r>
                      <m:rPr/>
                      <w:rPr>
                        <w:rFonts w:hint="default" w:ascii="Cambria Math" w:hAnsi="Cambria Math" w:cs="宋体"/>
                        <w:color w:val="000000" w:themeColor="text1"/>
                        <w:kern w:val="0"/>
                        <w:sz w:val="21"/>
                        <w:szCs w:val="21"/>
                        <w:lang w:val="en-US" w:eastAsia="zh-CN" w:bidi="ar"/>
                        <w14:textFill>
                          <w14:solidFill>
                            <w14:schemeClr w14:val="tx1"/>
                          </w14:solidFill>
                        </w14:textFill>
                      </w:rPr>
                      <m:t>−1</m:t>
                    </m:r>
                    <m:ctrlPr>
                      <m:r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e>
                </m:d>
                <m:ctrlPr>
                  <w:rPr>
                    <w:rFonts w:ascii="Cambria Math" w:hAnsi="Cambria Math" w:cs="宋体"/>
                    <w:bCs w:val="0"/>
                    <w:i/>
                    <w:color w:val="000000" w:themeColor="text1"/>
                    <w:kern w:val="0"/>
                    <w:sz w:val="21"/>
                    <w:szCs w:val="21"/>
                    <w:lang w:val="en-US" w:bidi="ar"/>
                    <w14:textFill>
                      <w14:solidFill>
                        <w14:schemeClr w14:val="tx1"/>
                      </w14:solidFill>
                    </w14:textFill>
                  </w:rPr>
                </m:ctrlPr>
              </m:e>
              <m:e>
                <m:r>
                  <m:rPr/>
                  <w:rPr>
                    <w:rFonts w:hint="default" w:ascii="Cambria Math" w:hAnsi="Cambria Math" w:cs="宋体"/>
                    <w:color w:val="000000" w:themeColor="text1"/>
                    <w:kern w:val="0"/>
                    <w:sz w:val="21"/>
                    <w:szCs w:val="21"/>
                    <w:lang w:val="en-US" w:eastAsia="zh-CN" w:bidi="ar"/>
                    <w14:textFill>
                      <w14:solidFill>
                        <w14:schemeClr w14:val="tx1"/>
                      </w14:solidFill>
                    </w14:textFill>
                  </w:rPr>
                  <m:t>1−s</m:t>
                </m:r>
                <m:d>
                  <m:dPr>
                    <m:ctrlPr>
                      <m:r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dPr>
                  <m:e>
                    <m:r>
                      <m:rPr/>
                      <w:rPr>
                        <w:rFonts w:hint="default" w:ascii="Cambria Math" w:hAnsi="Cambria Math" w:cs="宋体"/>
                        <w:color w:val="000000" w:themeColor="text1"/>
                        <w:kern w:val="0"/>
                        <w:sz w:val="21"/>
                        <w:szCs w:val="21"/>
                        <w:lang w:val="en-US" w:eastAsia="zh-CN" w:bidi="ar"/>
                        <w14:textFill>
                          <w14:solidFill>
                            <w14:schemeClr w14:val="tx1"/>
                          </w14:solidFill>
                        </w14:textFill>
                      </w:rPr>
                      <m:t>2</m:t>
                    </m:r>
                    <m:sSub>
                      <m:sSubPr>
                        <m:ctrlPr>
                          <m:r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cs="宋体"/>
                            <w:color w:val="000000" w:themeColor="text1"/>
                            <w:kern w:val="0"/>
                            <w:sz w:val="21"/>
                            <w:szCs w:val="21"/>
                            <w:lang w:val="en-US" w:eastAsia="zh-CN" w:bidi="ar"/>
                            <w14:textFill>
                              <w14:solidFill>
                                <w14:schemeClr w14:val="tx1"/>
                              </w14:solidFill>
                            </w14:textFill>
                          </w:rPr>
                          <m:t>T</m:t>
                        </m:r>
                        <m:ctrlPr>
                          <m:r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cs="宋体"/>
                            <w:color w:val="000000" w:themeColor="text1"/>
                            <w:kern w:val="0"/>
                            <w:sz w:val="21"/>
                            <w:szCs w:val="21"/>
                            <w:lang w:val="en-US" w:eastAsia="zh-CN" w:bidi="ar"/>
                            <w14:textFill>
                              <w14:solidFill>
                                <w14:schemeClr w14:val="tx1"/>
                              </w14:solidFill>
                            </w14:textFill>
                          </w:rPr>
                          <m:t>i</m:t>
                        </m:r>
                        <m:ctrlPr>
                          <m:r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sub>
                    </m:sSub>
                    <m:r>
                      <m:rPr/>
                      <w:rPr>
                        <w:rFonts w:hint="default" w:ascii="Cambria Math" w:hAnsi="Cambria Math" w:cs="宋体"/>
                        <w:color w:val="000000" w:themeColor="text1"/>
                        <w:kern w:val="0"/>
                        <w:sz w:val="21"/>
                        <w:szCs w:val="21"/>
                        <w:lang w:val="en-US" w:eastAsia="zh-CN" w:bidi="ar"/>
                        <w14:textFill>
                          <w14:solidFill>
                            <w14:schemeClr w14:val="tx1"/>
                          </w14:solidFill>
                        </w14:textFill>
                      </w:rPr>
                      <m:t>−1</m:t>
                    </m:r>
                    <m:ctrlPr>
                      <m:rPr/>
                      <w:rPr>
                        <w:rFonts w:hint="default" w:ascii="Cambria Math" w:hAnsi="Cambria Math" w:cs="宋体"/>
                        <w:bCs w:val="0"/>
                        <w:i/>
                        <w:color w:val="000000" w:themeColor="text1"/>
                        <w:kern w:val="0"/>
                        <w:sz w:val="21"/>
                        <w:szCs w:val="21"/>
                        <w:lang w:val="en-US" w:eastAsia="zh-CN" w:bidi="ar"/>
                        <w14:textFill>
                          <w14:solidFill>
                            <w14:schemeClr w14:val="tx1"/>
                          </w14:solidFill>
                        </w14:textFill>
                      </w:rPr>
                    </m:ctrlPr>
                  </m:e>
                </m:d>
                <m:ctrlPr>
                  <w:rPr>
                    <w:rFonts w:ascii="Cambria Math" w:hAnsi="Cambria Math" w:cs="宋体"/>
                    <w:bCs w:val="0"/>
                    <w:i/>
                    <w:color w:val="000000" w:themeColor="text1"/>
                    <w:kern w:val="0"/>
                    <w:sz w:val="21"/>
                    <w:szCs w:val="21"/>
                    <w:lang w:val="en-US" w:bidi="ar"/>
                    <w14:textFill>
                      <w14:solidFill>
                        <w14:schemeClr w14:val="tx1"/>
                      </w14:solidFill>
                    </w14:textFill>
                  </w:rPr>
                </m:ctrlPr>
              </m:e>
            </m:eqArr>
            <m:ctrlPr>
              <w:rPr>
                <w:rFonts w:ascii="Cambria Math" w:hAnsi="Cambria Math" w:cs="宋体"/>
                <w:bCs w:val="0"/>
                <w:i/>
                <w:color w:val="000000" w:themeColor="text1"/>
                <w:kern w:val="0"/>
                <w:sz w:val="21"/>
                <w:szCs w:val="21"/>
                <w:lang w:val="en-US" w:bidi="ar"/>
                <w14:textFill>
                  <w14:solidFill>
                    <w14:schemeClr w14:val="tx1"/>
                  </w14:solidFill>
                </w14:textFill>
              </w:rPr>
            </m:ctrlPr>
          </m:e>
        </m:d>
      </m:oMath>
      <w:r>
        <w:rPr>
          <w:rFonts w:hint="eastAsia" w:hAnsi="Cambria Math" w:cs="宋体"/>
          <w:bCs w:val="0"/>
          <w:i w:val="0"/>
          <w:color w:val="000000" w:themeColor="text1"/>
          <w:kern w:val="0"/>
          <w:sz w:val="21"/>
          <w:szCs w:val="21"/>
          <w:lang w:val="en-US" w:eastAsia="zh-CN" w:bidi="ar"/>
          <w14:textFill>
            <w14:solidFill>
              <w14:schemeClr w14:val="tx1"/>
            </w14:solidFill>
          </w14:textFill>
        </w:rPr>
        <w:t>，上半部分是信息j来自政府，下半部分信息j来自自发来源。s=0.25 为信任反馈强度。当信任高于0.5时，公众更倾向于互动政府信息、抑制自发信息的互动倾向；信任低于0.5时产生相反效果。将 ss 设为0即可切断信任反馈，用于消融实验。每发生一次互动，对应信息副本的热度增加1。热度积累和衰减共同决定信息在后续推荐中的可见性。</w:t>
      </w:r>
    </w:p>
    <w:p w14:paraId="498B8E95">
      <w:pPr>
        <w:keepNext w:val="0"/>
        <w:keepLines w:val="0"/>
        <w:widowControl/>
        <w:suppressLineNumbers w:val="0"/>
        <w:jc w:val="left"/>
        <w:rPr>
          <w:rFonts w:hint="eastAsia" w:ascii="宋体" w:hAnsi="宋体" w:eastAsia="宋体" w:cs="宋体"/>
          <w:b/>
          <w:bCs/>
          <w:i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b/>
          <w:bCs/>
          <w:i w:val="0"/>
          <w:color w:val="000000" w:themeColor="text1"/>
          <w:kern w:val="0"/>
          <w:sz w:val="21"/>
          <w:szCs w:val="21"/>
          <w:lang w:val="en-US" w:eastAsia="zh-CN" w:bidi="ar"/>
          <w14:textFill>
            <w14:solidFill>
              <w14:schemeClr w14:val="tx1"/>
            </w14:solidFill>
          </w14:textFill>
        </w:rPr>
        <w:t>3.4.3偏好漂移</w:t>
      </w:r>
    </w:p>
    <w:p w14:paraId="066477B6">
      <w:pPr>
        <w:keepNext w:val="0"/>
        <w:keepLines w:val="0"/>
        <w:widowControl/>
        <w:suppressLineNumbers w:val="0"/>
        <w:ind w:firstLine="420" w:firstLineChars="200"/>
        <w:jc w:val="left"/>
        <w:rPr>
          <w:rFonts w:hint="default" w:ascii="Times New Roman" w:hAnsi="Times New Roman" w:cs="Times New Roman" w:eastAsiaTheme="minorEastAsia"/>
          <w:bCs w:val="0"/>
          <w:i w:val="0"/>
          <w:color w:val="000000" w:themeColor="text1"/>
          <w:kern w:val="0"/>
          <w:sz w:val="21"/>
          <w:szCs w:val="21"/>
          <w:lang w:val="en-US" w:eastAsia="zh-CN" w:bidi="ar"/>
          <w14:textFill>
            <w14:solidFill>
              <w14:schemeClr w14:val="tx1"/>
            </w14:solidFill>
          </w14:textFill>
        </w:rPr>
      </w:pPr>
      <w:r>
        <w:rPr>
          <w:rFonts w:hint="default" w:hAnsi="Cambria Math" w:cs="宋体"/>
          <w:bCs w:val="0"/>
          <w:i w:val="0"/>
          <w:color w:val="000000" w:themeColor="text1"/>
          <w:kern w:val="0"/>
          <w:sz w:val="21"/>
          <w:szCs w:val="21"/>
          <w:lang w:val="en-US" w:eastAsia="zh-CN" w:bidi="ar"/>
          <w14:textFill>
            <w14:solidFill>
              <w14:schemeClr w14:val="tx1"/>
            </w14:solidFill>
          </w14:textFill>
        </w:rPr>
        <w:t>每步结束后，程序统计每名公众本步消费信息中的主导议题。若同一议题连续 T=4步成为其主导消费议题，则偏好向量向该议题方向移动：</w:t>
      </w:r>
      <m:oMath>
        <m:sSubSup>
          <m:sSubSupPr>
            <m:ctrlPr>
              <w:rPr>
                <w:rFonts w:ascii="Cambria Math" w:hAnsi="Cambria Math" w:cs="宋体"/>
                <w:bCs w:val="0"/>
                <w:i/>
                <w:color w:val="000000" w:themeColor="text1"/>
                <w:kern w:val="0"/>
                <w:sz w:val="21"/>
                <w:szCs w:val="21"/>
                <w:lang w:val="en-US" w:bidi="ar"/>
                <w14:textFill>
                  <w14:solidFill>
                    <w14:schemeClr w14:val="tx1"/>
                  </w14:solidFill>
                </w14:textFill>
              </w:rPr>
            </m:ctrlPr>
          </m:sSubSupPr>
          <m:e>
            <m:r>
              <m:rPr/>
              <w:rPr>
                <w:rFonts w:hint="default" w:ascii="Cambria Math" w:hAnsi="Cambria Math" w:cs="宋体"/>
                <w:color w:val="000000" w:themeColor="text1"/>
                <w:kern w:val="0"/>
                <w:sz w:val="21"/>
                <w:szCs w:val="21"/>
                <w:lang w:val="en-US" w:eastAsia="zh-CN" w:bidi="ar"/>
                <w14:textFill>
                  <w14:solidFill>
                    <w14:schemeClr w14:val="tx1"/>
                  </w14:solidFill>
                </w14:textFill>
              </w:rPr>
              <m:t>P</m:t>
            </m:r>
            <m:ctrlPr>
              <w:rPr>
                <w:rFonts w:ascii="Cambria Math" w:hAnsi="Cambria Math" w:cs="宋体"/>
                <w:bCs w:val="0"/>
                <w:i/>
                <w:color w:val="000000" w:themeColor="text1"/>
                <w:kern w:val="0"/>
                <w:sz w:val="21"/>
                <w:szCs w:val="21"/>
                <w:lang w:val="en-US" w:bidi="ar"/>
                <w14:textFill>
                  <w14:solidFill>
                    <w14:schemeClr w14:val="tx1"/>
                  </w14:solidFill>
                </w14:textFill>
              </w:rPr>
            </m:ctrlPr>
          </m:e>
          <m:sub>
            <m:r>
              <m:rPr/>
              <w:rPr>
                <w:rFonts w:hint="default" w:ascii="Cambria Math" w:hAnsi="Cambria Math" w:cs="宋体"/>
                <w:color w:val="000000" w:themeColor="text1"/>
                <w:kern w:val="0"/>
                <w:sz w:val="21"/>
                <w:szCs w:val="21"/>
                <w:lang w:val="en-US" w:eastAsia="zh-CN" w:bidi="ar"/>
                <w14:textFill>
                  <w14:solidFill>
                    <w14:schemeClr w14:val="tx1"/>
                  </w14:solidFill>
                </w14:textFill>
              </w:rPr>
              <m:t>i</m:t>
            </m:r>
            <m:ctrlPr>
              <w:rPr>
                <w:rFonts w:ascii="Cambria Math" w:hAnsi="Cambria Math" w:cs="宋体"/>
                <w:bCs w:val="0"/>
                <w:i/>
                <w:color w:val="000000" w:themeColor="text1"/>
                <w:kern w:val="0"/>
                <w:sz w:val="21"/>
                <w:szCs w:val="21"/>
                <w:lang w:val="en-US" w:bidi="ar"/>
                <w14:textFill>
                  <w14:solidFill>
                    <w14:schemeClr w14:val="tx1"/>
                  </w14:solidFill>
                </w14:textFill>
              </w:rPr>
            </m:ctrlPr>
          </m:sub>
          <m:sup>
            <m:r>
              <m:rPr/>
              <w:rPr>
                <w:rFonts w:hint="default" w:ascii="Cambria Math" w:hAnsi="Cambria Math" w:cs="宋体"/>
                <w:color w:val="000000" w:themeColor="text1"/>
                <w:kern w:val="0"/>
                <w:sz w:val="21"/>
                <w:szCs w:val="21"/>
                <w:lang w:val="en-US" w:eastAsia="zh-CN" w:bidi="ar"/>
                <w14:textFill>
                  <w14:solidFill>
                    <w14:schemeClr w14:val="tx1"/>
                  </w14:solidFill>
                </w14:textFill>
              </w:rPr>
              <m:t>dominant</m:t>
            </m:r>
            <m:ctrlPr>
              <w:rPr>
                <w:rFonts w:ascii="Cambria Math" w:hAnsi="Cambria Math" w:cs="宋体"/>
                <w:bCs w:val="0"/>
                <w:i/>
                <w:color w:val="000000" w:themeColor="text1"/>
                <w:kern w:val="0"/>
                <w:sz w:val="21"/>
                <w:szCs w:val="21"/>
                <w:lang w:val="en-US" w:bidi="ar"/>
                <w14:textFill>
                  <w14:solidFill>
                    <w14:schemeClr w14:val="tx1"/>
                  </w14:solidFill>
                </w14:textFill>
              </w:rPr>
            </m:ctrlPr>
          </m:sup>
        </m:sSubSup>
        <m:r>
          <w:rPr>
            <w:rFonts w:hint="default" w:ascii="Cambria Math" w:hAnsi="Cambria Math" w:cs="Cambria Math"/>
            <w:color w:val="000000" w:themeColor="text1"/>
            <w:kern w:val="0"/>
            <w:sz w:val="21"/>
            <w:szCs w:val="21"/>
            <w:lang w:val="en-US" w:bidi="ar"/>
            <w14:textFill>
              <w14:solidFill>
                <w14:schemeClr w14:val="tx1"/>
              </w14:solidFill>
            </w14:textFill>
          </w:rPr>
          <m:t>⟵</m:t>
        </m:r>
        <m:sSubSup>
          <m:sSubSupPr>
            <m:ctrlPr>
              <w:rPr>
                <w:rFonts w:ascii="Cambria Math" w:hAnsi="Cambria Math" w:cs="宋体"/>
                <w:bCs w:val="0"/>
                <w:i/>
                <w:color w:val="000000" w:themeColor="text1"/>
                <w:kern w:val="0"/>
                <w:sz w:val="21"/>
                <w:szCs w:val="21"/>
                <w:lang w:val="en-US" w:bidi="ar"/>
                <w14:textFill>
                  <w14:solidFill>
                    <w14:schemeClr w14:val="tx1"/>
                  </w14:solidFill>
                </w14:textFill>
              </w:rPr>
            </m:ctrlPr>
          </m:sSubSupPr>
          <m:e>
            <m:r>
              <m:rPr/>
              <w:rPr>
                <w:rFonts w:hint="default" w:ascii="Cambria Math" w:hAnsi="Cambria Math" w:cs="宋体"/>
                <w:color w:val="000000" w:themeColor="text1"/>
                <w:kern w:val="0"/>
                <w:sz w:val="21"/>
                <w:szCs w:val="21"/>
                <w:lang w:val="en-US" w:eastAsia="zh-CN" w:bidi="ar"/>
                <w14:textFill>
                  <w14:solidFill>
                    <w14:schemeClr w14:val="tx1"/>
                  </w14:solidFill>
                </w14:textFill>
              </w:rPr>
              <m:t>P</m:t>
            </m:r>
            <m:ctrlPr>
              <w:rPr>
                <w:rFonts w:ascii="Cambria Math" w:hAnsi="Cambria Math" w:cs="宋体"/>
                <w:bCs w:val="0"/>
                <w:i/>
                <w:color w:val="000000" w:themeColor="text1"/>
                <w:kern w:val="0"/>
                <w:sz w:val="21"/>
                <w:szCs w:val="21"/>
                <w:lang w:val="en-US" w:bidi="ar"/>
                <w14:textFill>
                  <w14:solidFill>
                    <w14:schemeClr w14:val="tx1"/>
                  </w14:solidFill>
                </w14:textFill>
              </w:rPr>
            </m:ctrlPr>
          </m:e>
          <m:sub>
            <m:r>
              <m:rPr/>
              <w:rPr>
                <w:rFonts w:hint="default" w:ascii="Cambria Math" w:hAnsi="Cambria Math" w:cs="宋体"/>
                <w:color w:val="000000" w:themeColor="text1"/>
                <w:kern w:val="0"/>
                <w:sz w:val="21"/>
                <w:szCs w:val="21"/>
                <w:lang w:val="en-US" w:eastAsia="zh-CN" w:bidi="ar"/>
                <w14:textFill>
                  <w14:solidFill>
                    <w14:schemeClr w14:val="tx1"/>
                  </w14:solidFill>
                </w14:textFill>
              </w:rPr>
              <m:t>i</m:t>
            </m:r>
            <m:ctrlPr>
              <w:rPr>
                <w:rFonts w:ascii="Cambria Math" w:hAnsi="Cambria Math" w:cs="宋体"/>
                <w:bCs w:val="0"/>
                <w:i/>
                <w:color w:val="000000" w:themeColor="text1"/>
                <w:kern w:val="0"/>
                <w:sz w:val="21"/>
                <w:szCs w:val="21"/>
                <w:lang w:val="en-US" w:bidi="ar"/>
                <w14:textFill>
                  <w14:solidFill>
                    <w14:schemeClr w14:val="tx1"/>
                  </w14:solidFill>
                </w14:textFill>
              </w:rPr>
            </m:ctrlPr>
          </m:sub>
          <m:sup>
            <m:r>
              <m:rPr/>
              <w:rPr>
                <w:rFonts w:hint="default" w:ascii="Cambria Math" w:hAnsi="Cambria Math" w:cs="宋体"/>
                <w:color w:val="000000" w:themeColor="text1"/>
                <w:kern w:val="0"/>
                <w:sz w:val="21"/>
                <w:szCs w:val="21"/>
                <w:lang w:val="en-US" w:eastAsia="zh-CN" w:bidi="ar"/>
                <w14:textFill>
                  <w14:solidFill>
                    <w14:schemeClr w14:val="tx1"/>
                  </w14:solidFill>
                </w14:textFill>
              </w:rPr>
              <m:t>dominant</m:t>
            </m:r>
            <m:ctrlPr>
              <w:rPr>
                <w:rFonts w:ascii="Cambria Math" w:hAnsi="Cambria Math" w:cs="宋体"/>
                <w:bCs w:val="0"/>
                <w:i/>
                <w:color w:val="000000" w:themeColor="text1"/>
                <w:kern w:val="0"/>
                <w:sz w:val="21"/>
                <w:szCs w:val="21"/>
                <w:lang w:val="en-US" w:bidi="ar"/>
                <w14:textFill>
                  <w14:solidFill>
                    <w14:schemeClr w14:val="tx1"/>
                  </w14:solidFill>
                </w14:textFill>
              </w:rPr>
            </m:ctrlPr>
          </m:sup>
        </m:sSubSup>
        <m:r>
          <m:rPr/>
          <w:rPr>
            <w:rFonts w:hint="default" w:ascii="Cambria Math" w:hAnsi="Cambria Math" w:cs="宋体"/>
            <w:color w:val="000000" w:themeColor="text1"/>
            <w:kern w:val="0"/>
            <w:sz w:val="21"/>
            <w:szCs w:val="21"/>
            <w:lang w:val="en-US" w:eastAsia="zh-CN" w:bidi="ar"/>
            <w14:textFill>
              <w14:solidFill>
                <w14:schemeClr w14:val="tx1"/>
              </w14:solidFill>
            </w14:textFill>
          </w:rPr>
          <m:t>+</m:t>
        </m:r>
        <m:r>
          <m:rPr/>
          <w:rPr>
            <w:rFonts w:hint="default" w:ascii="Cambria Math" w:hAnsi="Cambria Math" w:cs="Cambria Math"/>
            <w:color w:val="000000" w:themeColor="text1"/>
            <w:kern w:val="0"/>
            <w:sz w:val="21"/>
            <w:szCs w:val="21"/>
            <w:lang w:val="en-US" w:eastAsia="zh-CN" w:bidi="ar"/>
            <w14:textFill>
              <w14:solidFill>
                <w14:schemeClr w14:val="tx1"/>
              </w14:solidFill>
            </w14:textFill>
          </w:rPr>
          <m:t>γ</m:t>
        </m:r>
        <m:r>
          <m:rPr/>
          <w:rPr>
            <w:rFonts w:hint="default" w:ascii="Cambria Math" w:hAnsi="Cambria Math" w:cs="宋体"/>
            <w:color w:val="000000" w:themeColor="text1"/>
            <w:kern w:val="0"/>
            <w:sz w:val="21"/>
            <w:szCs w:val="21"/>
            <w:lang w:val="en-US" w:eastAsia="zh-CN" w:bidi="ar"/>
            <w14:textFill>
              <w14:solidFill>
                <w14:schemeClr w14:val="tx1"/>
              </w14:solidFill>
            </w14:textFill>
          </w:rPr>
          <m:t xml:space="preserve"> , </m:t>
        </m:r>
        <m:sSubSup>
          <m:sSubSupPr>
            <m:ctrlPr>
              <w:rPr>
                <w:rFonts w:ascii="Cambria Math" w:hAnsi="Cambria Math" w:cs="宋体"/>
                <w:bCs w:val="0"/>
                <w:i/>
                <w:color w:val="000000" w:themeColor="text1"/>
                <w:kern w:val="0"/>
                <w:sz w:val="21"/>
                <w:szCs w:val="21"/>
                <w:lang w:val="en-US" w:bidi="ar"/>
                <w14:textFill>
                  <w14:solidFill>
                    <w14:schemeClr w14:val="tx1"/>
                  </w14:solidFill>
                </w14:textFill>
              </w:rPr>
            </m:ctrlPr>
          </m:sSubSupPr>
          <m:e>
            <m:r>
              <m:rPr/>
              <w:rPr>
                <w:rFonts w:hint="default" w:ascii="Cambria Math" w:hAnsi="Cambria Math" w:cs="宋体"/>
                <w:color w:val="000000" w:themeColor="text1"/>
                <w:kern w:val="0"/>
                <w:sz w:val="21"/>
                <w:szCs w:val="21"/>
                <w:lang w:val="en-US" w:eastAsia="zh-CN" w:bidi="ar"/>
                <w14:textFill>
                  <w14:solidFill>
                    <w14:schemeClr w14:val="tx1"/>
                  </w14:solidFill>
                </w14:textFill>
              </w:rPr>
              <m:t>P</m:t>
            </m:r>
            <m:ctrlPr>
              <w:rPr>
                <w:rFonts w:ascii="Cambria Math" w:hAnsi="Cambria Math" w:cs="宋体"/>
                <w:bCs w:val="0"/>
                <w:i/>
                <w:color w:val="000000" w:themeColor="text1"/>
                <w:kern w:val="0"/>
                <w:sz w:val="21"/>
                <w:szCs w:val="21"/>
                <w:lang w:val="en-US" w:bidi="ar"/>
                <w14:textFill>
                  <w14:solidFill>
                    <w14:schemeClr w14:val="tx1"/>
                  </w14:solidFill>
                </w14:textFill>
              </w:rPr>
            </m:ctrlPr>
          </m:e>
          <m:sub>
            <m:r>
              <m:rPr/>
              <w:rPr>
                <w:rFonts w:hint="default" w:ascii="Cambria Math" w:hAnsi="Cambria Math" w:cs="宋体"/>
                <w:color w:val="000000" w:themeColor="text1"/>
                <w:kern w:val="0"/>
                <w:sz w:val="21"/>
                <w:szCs w:val="21"/>
                <w:lang w:val="en-US" w:eastAsia="zh-CN" w:bidi="ar"/>
                <w14:textFill>
                  <w14:solidFill>
                    <w14:schemeClr w14:val="tx1"/>
                  </w14:solidFill>
                </w14:textFill>
              </w:rPr>
              <m:t>i</m:t>
            </m:r>
            <m:ctrlPr>
              <w:rPr>
                <w:rFonts w:ascii="Cambria Math" w:hAnsi="Cambria Math" w:cs="宋体"/>
                <w:bCs w:val="0"/>
                <w:i/>
                <w:color w:val="000000" w:themeColor="text1"/>
                <w:kern w:val="0"/>
                <w:sz w:val="21"/>
                <w:szCs w:val="21"/>
                <w:lang w:val="en-US" w:bidi="ar"/>
                <w14:textFill>
                  <w14:solidFill>
                    <w14:schemeClr w14:val="tx1"/>
                  </w14:solidFill>
                </w14:textFill>
              </w:rPr>
            </m:ctrlPr>
          </m:sub>
          <m:sup>
            <m:r>
              <m:rPr/>
              <w:rPr>
                <w:rFonts w:hint="default" w:ascii="Cambria Math" w:hAnsi="Cambria Math" w:cs="宋体"/>
                <w:color w:val="000000" w:themeColor="text1"/>
                <w:kern w:val="0"/>
                <w:sz w:val="21"/>
                <w:szCs w:val="21"/>
                <w:lang w:val="en-US" w:eastAsia="zh-CN" w:bidi="ar"/>
                <w14:textFill>
                  <w14:solidFill>
                    <w14:schemeClr w14:val="tx1"/>
                  </w14:solidFill>
                </w14:textFill>
              </w:rPr>
              <m:t>other</m:t>
            </m:r>
            <m:ctrlPr>
              <w:rPr>
                <w:rFonts w:ascii="Cambria Math" w:hAnsi="Cambria Math" w:cs="宋体"/>
                <w:bCs w:val="0"/>
                <w:i/>
                <w:color w:val="000000" w:themeColor="text1"/>
                <w:kern w:val="0"/>
                <w:sz w:val="21"/>
                <w:szCs w:val="21"/>
                <w:lang w:val="en-US" w:bidi="ar"/>
                <w14:textFill>
                  <w14:solidFill>
                    <w14:schemeClr w14:val="tx1"/>
                  </w14:solidFill>
                </w14:textFill>
              </w:rPr>
            </m:ctrlPr>
          </m:sup>
        </m:sSubSup>
        <m:r>
          <m:rPr/>
          <w:rPr>
            <w:rFonts w:hint="default" w:ascii="Cambria Math" w:hAnsi="Cambria Math" w:cs="宋体"/>
            <w:color w:val="000000" w:themeColor="text1"/>
            <w:kern w:val="0"/>
            <w:sz w:val="21"/>
            <w:szCs w:val="21"/>
            <w:lang w:val="en-US" w:eastAsia="zh-CN" w:bidi="ar"/>
            <w14:textFill>
              <w14:solidFill>
                <w14:schemeClr w14:val="tx1"/>
              </w14:solidFill>
            </w14:textFill>
          </w:rPr>
          <m:t xml:space="preserve"> </m:t>
        </m:r>
        <m:r>
          <m:rPr/>
          <w:rPr>
            <w:rFonts w:hint="default" w:ascii="Cambria Math" w:hAnsi="Cambria Math" w:cs="Cambria Math"/>
            <w:color w:val="000000" w:themeColor="text1"/>
            <w:kern w:val="0"/>
            <w:sz w:val="21"/>
            <w:szCs w:val="21"/>
            <w:lang w:val="en-US" w:bidi="ar"/>
            <w14:textFill>
              <w14:solidFill>
                <w14:schemeClr w14:val="tx1"/>
              </w14:solidFill>
            </w14:textFill>
          </w:rPr>
          <m:t>⟵</m:t>
        </m:r>
        <m:r>
          <m:rPr/>
          <w:rPr>
            <w:rFonts w:hint="default" w:ascii="Cambria Math" w:hAnsi="Cambria Math" w:cs="宋体"/>
            <w:color w:val="000000" w:themeColor="text1"/>
            <w:kern w:val="0"/>
            <w:sz w:val="21"/>
            <w:szCs w:val="21"/>
            <w:lang w:val="en-US" w:eastAsia="zh-CN" w:bidi="ar"/>
            <w14:textFill>
              <w14:solidFill>
                <w14:schemeClr w14:val="tx1"/>
              </w14:solidFill>
            </w14:textFill>
          </w:rPr>
          <m:t xml:space="preserve"> </m:t>
        </m:r>
        <m:sSubSup>
          <m:sSubSupPr>
            <m:ctrlPr>
              <w:rPr>
                <w:rFonts w:ascii="Cambria Math" w:hAnsi="Cambria Math" w:cs="宋体"/>
                <w:bCs w:val="0"/>
                <w:i/>
                <w:color w:val="000000" w:themeColor="text1"/>
                <w:kern w:val="0"/>
                <w:sz w:val="21"/>
                <w:szCs w:val="21"/>
                <w:lang w:val="en-US" w:bidi="ar"/>
                <w14:textFill>
                  <w14:solidFill>
                    <w14:schemeClr w14:val="tx1"/>
                  </w14:solidFill>
                </w14:textFill>
              </w:rPr>
            </m:ctrlPr>
          </m:sSubSupPr>
          <m:e>
            <m:r>
              <m:rPr/>
              <w:rPr>
                <w:rFonts w:hint="default" w:ascii="Cambria Math" w:hAnsi="Cambria Math" w:cs="宋体"/>
                <w:color w:val="000000" w:themeColor="text1"/>
                <w:kern w:val="0"/>
                <w:sz w:val="21"/>
                <w:szCs w:val="21"/>
                <w:lang w:val="en-US" w:eastAsia="zh-CN" w:bidi="ar"/>
                <w14:textFill>
                  <w14:solidFill>
                    <w14:schemeClr w14:val="tx1"/>
                  </w14:solidFill>
                </w14:textFill>
              </w:rPr>
              <m:t>P</m:t>
            </m:r>
            <m:ctrlPr>
              <w:rPr>
                <w:rFonts w:ascii="Cambria Math" w:hAnsi="Cambria Math" w:cs="宋体"/>
                <w:bCs w:val="0"/>
                <w:i/>
                <w:color w:val="000000" w:themeColor="text1"/>
                <w:kern w:val="0"/>
                <w:sz w:val="21"/>
                <w:szCs w:val="21"/>
                <w:lang w:val="en-US" w:bidi="ar"/>
                <w14:textFill>
                  <w14:solidFill>
                    <w14:schemeClr w14:val="tx1"/>
                  </w14:solidFill>
                </w14:textFill>
              </w:rPr>
            </m:ctrlPr>
          </m:e>
          <m:sub>
            <m:r>
              <m:rPr/>
              <w:rPr>
                <w:rFonts w:hint="default" w:ascii="Cambria Math" w:hAnsi="Cambria Math" w:cs="宋体"/>
                <w:color w:val="000000" w:themeColor="text1"/>
                <w:kern w:val="0"/>
                <w:sz w:val="21"/>
                <w:szCs w:val="21"/>
                <w:lang w:val="en-US" w:eastAsia="zh-CN" w:bidi="ar"/>
                <w14:textFill>
                  <w14:solidFill>
                    <w14:schemeClr w14:val="tx1"/>
                  </w14:solidFill>
                </w14:textFill>
              </w:rPr>
              <m:t>i</m:t>
            </m:r>
            <m:ctrlPr>
              <w:rPr>
                <w:rFonts w:ascii="Cambria Math" w:hAnsi="Cambria Math" w:cs="宋体"/>
                <w:bCs w:val="0"/>
                <w:i/>
                <w:color w:val="000000" w:themeColor="text1"/>
                <w:kern w:val="0"/>
                <w:sz w:val="21"/>
                <w:szCs w:val="21"/>
                <w:lang w:val="en-US" w:bidi="ar"/>
                <w14:textFill>
                  <w14:solidFill>
                    <w14:schemeClr w14:val="tx1"/>
                  </w14:solidFill>
                </w14:textFill>
              </w:rPr>
            </m:ctrlPr>
          </m:sub>
          <m:sup>
            <m:r>
              <m:rPr/>
              <w:rPr>
                <w:rFonts w:hint="default" w:ascii="Cambria Math" w:hAnsi="Cambria Math" w:cs="宋体"/>
                <w:color w:val="000000" w:themeColor="text1"/>
                <w:kern w:val="0"/>
                <w:sz w:val="21"/>
                <w:szCs w:val="21"/>
                <w:lang w:val="en-US" w:eastAsia="zh-CN" w:bidi="ar"/>
                <w14:textFill>
                  <w14:solidFill>
                    <w14:schemeClr w14:val="tx1"/>
                  </w14:solidFill>
                </w14:textFill>
              </w:rPr>
              <m:t>other</m:t>
            </m:r>
            <m:ctrlPr>
              <w:rPr>
                <w:rFonts w:ascii="Cambria Math" w:hAnsi="Cambria Math" w:cs="宋体"/>
                <w:bCs w:val="0"/>
                <w:i/>
                <w:color w:val="000000" w:themeColor="text1"/>
                <w:kern w:val="0"/>
                <w:sz w:val="21"/>
                <w:szCs w:val="21"/>
                <w:lang w:val="en-US" w:bidi="ar"/>
                <w14:textFill>
                  <w14:solidFill>
                    <w14:schemeClr w14:val="tx1"/>
                  </w14:solidFill>
                </w14:textFill>
              </w:rPr>
            </m:ctrlPr>
          </m:sup>
        </m:sSubSup>
        <m:r>
          <w:rPr>
            <w:rFonts w:hint="default" w:ascii="Cambria Math" w:hAnsi="Cambria Math" w:cs="Cambria Math"/>
            <w:color w:val="000000" w:themeColor="text1"/>
            <w:kern w:val="0"/>
            <w:sz w:val="21"/>
            <w:szCs w:val="21"/>
            <w:lang w:val="en-US" w:bidi="ar"/>
            <w14:textFill>
              <w14:solidFill>
                <w14:schemeClr w14:val="tx1"/>
              </w14:solidFill>
            </w14:textFill>
          </w:rPr>
          <m:t>×</m:t>
        </m:r>
        <m:d>
          <m:dPr>
            <m:ctrlPr>
              <w:rPr>
                <w:rFonts w:hint="default" w:ascii="Cambria Math" w:hAnsi="Cambria Math" w:cs="Cambria Math"/>
                <w:bCs w:val="0"/>
                <w:i/>
                <w:color w:val="000000" w:themeColor="text1"/>
                <w:kern w:val="0"/>
                <w:sz w:val="21"/>
                <w:szCs w:val="21"/>
                <w:lang w:val="en-US" w:bidi="ar"/>
                <w14:textFill>
                  <w14:solidFill>
                    <w14:schemeClr w14:val="tx1"/>
                  </w14:solidFill>
                </w14:textFill>
              </w:rPr>
            </m:ctrlPr>
          </m:dPr>
          <m:e>
            <m:r>
              <m:rPr/>
              <w:rPr>
                <w:rFonts w:hint="default" w:ascii="Cambria Math" w:hAnsi="Cambria Math" w:cs="Cambria Math"/>
                <w:color w:val="000000" w:themeColor="text1"/>
                <w:kern w:val="0"/>
                <w:sz w:val="21"/>
                <w:szCs w:val="21"/>
                <w:lang w:val="en-US" w:eastAsia="zh-CN" w:bidi="ar"/>
                <w14:textFill>
                  <w14:solidFill>
                    <w14:schemeClr w14:val="tx1"/>
                  </w14:solidFill>
                </w14:textFill>
              </w:rPr>
              <m:t>1−</m:t>
            </m:r>
            <m:r>
              <m:rPr/>
              <w:rPr>
                <w:rFonts w:ascii="Cambria Math" w:hAnsi="Cambria Math" w:cs="Cambria Math"/>
                <w:color w:val="000000" w:themeColor="text1"/>
                <w:kern w:val="0"/>
                <w:sz w:val="21"/>
                <w:szCs w:val="21"/>
                <w:lang w:val="en-US" w:bidi="ar"/>
                <w14:textFill>
                  <w14:solidFill>
                    <w14:schemeClr w14:val="tx1"/>
                  </w14:solidFill>
                </w14:textFill>
              </w:rPr>
              <m:t>γ</m:t>
            </m:r>
            <m:ctrlPr>
              <w:rPr>
                <w:rFonts w:hint="default" w:ascii="Cambria Math" w:hAnsi="Cambria Math" w:cs="Cambria Math"/>
                <w:bCs w:val="0"/>
                <w:i/>
                <w:color w:val="000000" w:themeColor="text1"/>
                <w:kern w:val="0"/>
                <w:sz w:val="21"/>
                <w:szCs w:val="21"/>
                <w:lang w:val="en-US" w:bidi="ar"/>
                <w14:textFill>
                  <w14:solidFill>
                    <w14:schemeClr w14:val="tx1"/>
                  </w14:solidFill>
                </w14:textFill>
              </w:rPr>
            </m:ctrlPr>
          </m:e>
        </m:d>
      </m:oMath>
      <w:r>
        <w:rPr>
          <w:rFonts w:hint="eastAsia" w:hAnsi="Cambria Math" w:cs="Cambria Math"/>
          <w:bCs w:val="0"/>
          <w:i w:val="0"/>
          <w:color w:val="000000" w:themeColor="text1"/>
          <w:kern w:val="0"/>
          <w:sz w:val="21"/>
          <w:szCs w:val="21"/>
          <w:lang w:val="en-US" w:eastAsia="zh-CN" w:bidi="ar"/>
          <w14:textFill>
            <w14:solidFill>
              <w14:schemeClr w14:val="tx1"/>
            </w14:solidFill>
          </w14:textFill>
        </w:rPr>
        <w:t>。</w:t>
      </w:r>
      <w: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其中 γ=0.03为偏好漂移速率，更新后重新归一化使总和保持为1。该机制模拟认知科学中的赫布学习法则，持续的信息暴露渐进重塑个体的认知结构（Hebb, 1949）。偏好漂移形成“持续暴露→偏好改变→后续推荐更集中”的正反馈，是系统失稳的加速机制。将 γ 设为0即可关闭偏好漂移，用于消融实验。</w:t>
      </w:r>
    </w:p>
    <w:p w14:paraId="18DCBE93">
      <w:pPr>
        <w:keepNext w:val="0"/>
        <w:keepLines w:val="0"/>
        <w:widowControl/>
        <w:suppressLineNumbers w:val="0"/>
        <w:jc w:val="left"/>
        <w:rPr>
          <w:rFonts w:hint="eastAsia" w:ascii="宋体" w:hAnsi="宋体" w:eastAsia="宋体" w:cs="宋体"/>
          <w:b/>
          <w:bCs/>
          <w:i w:val="0"/>
          <w:color w:val="000000" w:themeColor="text1"/>
          <w:kern w:val="0"/>
          <w:sz w:val="21"/>
          <w:szCs w:val="21"/>
          <w:lang w:val="en-US" w:eastAsia="zh-CN" w:bidi="ar"/>
          <w14:textFill>
            <w14:solidFill>
              <w14:schemeClr w14:val="tx1"/>
            </w14:solidFill>
          </w14:textFill>
        </w:rPr>
      </w:pPr>
      <w:r>
        <m:rPr/>
        <w:rPr>
          <w:rFonts w:hint="eastAsia" w:ascii="宋体" w:hAnsi="宋体" w:eastAsia="宋体" w:cs="宋体"/>
          <w:b/>
          <w:bCs/>
          <w:i w:val="0"/>
          <w:color w:val="000000" w:themeColor="text1"/>
          <w:kern w:val="0"/>
          <w:sz w:val="21"/>
          <w:szCs w:val="21"/>
          <w:lang w:val="en-US" w:eastAsia="zh-CN" w:bidi="ar"/>
          <w14:textFill>
            <w14:solidFill>
              <w14:schemeClr w14:val="tx1"/>
            </w14:solidFill>
          </w14:textFill>
        </w:rPr>
        <w:t>3.4.4</w:t>
      </w:r>
      <w:r>
        <w:rPr>
          <w:rFonts w:hint="default" w:ascii="宋体" w:hAnsi="宋体" w:eastAsia="宋体" w:cs="宋体"/>
          <w:b/>
          <w:bCs/>
          <w:i w:val="0"/>
          <w:color w:val="000000" w:themeColor="text1"/>
          <w:kern w:val="0"/>
          <w:sz w:val="21"/>
          <w:szCs w:val="21"/>
          <w:lang w:val="en-US" w:eastAsia="zh-CN" w:bidi="ar"/>
          <w14:textFill>
            <w14:solidFill>
              <w14:schemeClr w14:val="tx1"/>
            </w14:solidFill>
          </w14:textFill>
        </w:rPr>
        <w:t>信任与学习成本更新</w:t>
      </w:r>
    </w:p>
    <w:p w14:paraId="0F75066E">
      <w:pPr>
        <w:keepNext w:val="0"/>
        <w:keepLines w:val="0"/>
        <w:widowControl/>
        <w:suppressLineNumbers w:val="0"/>
        <w:ind w:firstLine="420" w:firstLineChars="200"/>
        <w:jc w:val="left"/>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信任更新采用目标值+渐进逼近机制。每步结束后，基于本步的官方信息暴露比例 O</w:t>
      </w:r>
      <w:r>
        <w:rPr>
          <w:rFonts w:hint="default" w:ascii="Times New Roman" w:hAnsi="Times New Roman" w:cs="Times New Roman"/>
          <w:bCs w:val="0"/>
          <w:i w:val="0"/>
          <w:color w:val="000000" w:themeColor="text1"/>
          <w:kern w:val="0"/>
          <w:sz w:val="21"/>
          <w:szCs w:val="21"/>
          <w:vertAlign w:val="subscript"/>
          <w:lang w:val="en-US" w:eastAsia="zh-CN" w:bidi="ar"/>
          <w14:textFill>
            <w14:solidFill>
              <w14:schemeClr w14:val="tx1"/>
            </w14:solidFill>
          </w14:textFill>
        </w:rPr>
        <w:t>i</w:t>
      </w:r>
      <w: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​、非官方信息暴露比例 N</w:t>
      </w:r>
      <w:r>
        <w:rPr>
          <w:rFonts w:hint="default" w:ascii="Times New Roman" w:hAnsi="Times New Roman" w:cs="Times New Roman"/>
          <w:bCs w:val="0"/>
          <w:i w:val="0"/>
          <w:color w:val="000000" w:themeColor="text1"/>
          <w:kern w:val="0"/>
          <w:sz w:val="21"/>
          <w:szCs w:val="21"/>
          <w:vertAlign w:val="subscript"/>
          <w:lang w:val="en-US" w:eastAsia="zh-CN" w:bidi="ar"/>
          <w14:textFill>
            <w14:solidFill>
              <w14:schemeClr w14:val="tx1"/>
            </w14:solidFill>
          </w14:textFill>
        </w:rPr>
        <w:t>i</w:t>
      </w:r>
      <w: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、情绪暴露水平 </w:t>
      </w:r>
      <m:oMath>
        <m:sSubSup>
          <m:sSubSupPr>
            <m:ctrlPr>
              <w:rPr>
                <w:rFonts w:hint="default" w:ascii="Cambria Math" w:hAnsi="Cambria Math" w:cs="Times New Roman"/>
                <w:bCs w:val="0"/>
                <w:i/>
                <w:color w:val="000000" w:themeColor="text1"/>
                <w:kern w:val="0"/>
                <w:sz w:val="21"/>
                <w:szCs w:val="21"/>
                <w:lang w:val="en-US" w:bidi="ar"/>
                <w14:textFill>
                  <w14:solidFill>
                    <w14:schemeClr w14:val="tx1"/>
                  </w14:solidFill>
                </w14:textFill>
              </w:rPr>
            </m:ctrlPr>
          </m:sSubSupPr>
          <m:e>
            <m:r>
              <m:rPr>
                <m:nor/>
              </m:rPr>
              <w:rPr>
                <w:rFonts w:hint="default" w:ascii="Times New Roman" w:hAnsi="Times New Roman" w:cs="Times New Roman"/>
                <w:bCs w:val="0"/>
                <w:i/>
                <w:color w:val="000000" w:themeColor="text1"/>
                <w:kern w:val="0"/>
                <w:sz w:val="21"/>
                <w:szCs w:val="21"/>
                <w:lang w:val="en-US" w:eastAsia="zh-CN" w:bidi="ar"/>
                <w14:textFill>
                  <w14:solidFill>
                    <w14:schemeClr w14:val="tx1"/>
                  </w14:solidFill>
                </w14:textFill>
              </w:rPr>
              <m:t>E</m:t>
            </m:r>
            <m:ctrlPr>
              <w:rPr>
                <w:rFonts w:hint="default" w:ascii="Cambria Math" w:hAnsi="Cambria Math" w:cs="Times New Roman"/>
                <w:bCs w:val="0"/>
                <w:i/>
                <w:color w:val="000000" w:themeColor="text1"/>
                <w:kern w:val="0"/>
                <w:sz w:val="21"/>
                <w:szCs w:val="21"/>
                <w:lang w:val="en-US" w:bidi="ar"/>
                <w14:textFill>
                  <w14:solidFill>
                    <w14:schemeClr w14:val="tx1"/>
                  </w14:solidFill>
                </w14:textFill>
              </w:rPr>
            </m:ctrlPr>
          </m:e>
          <m:sub>
            <m:r>
              <m:rPr>
                <m:nor/>
              </m:rPr>
              <w:rPr>
                <w:rFonts w:hint="default" w:ascii="Times New Roman" w:hAnsi="Times New Roman" w:cs="Times New Roman"/>
                <w:bCs w:val="0"/>
                <w:i/>
                <w:color w:val="000000" w:themeColor="text1"/>
                <w:kern w:val="0"/>
                <w:sz w:val="21"/>
                <w:szCs w:val="21"/>
                <w:lang w:val="en-US" w:eastAsia="zh-CN" w:bidi="ar"/>
                <w14:textFill>
                  <w14:solidFill>
                    <w14:schemeClr w14:val="tx1"/>
                  </w14:solidFill>
                </w14:textFill>
              </w:rPr>
              <m:t>i</m:t>
            </m:r>
            <m:ctrlPr>
              <w:rPr>
                <w:rFonts w:hint="default" w:ascii="Cambria Math" w:hAnsi="Cambria Math" w:cs="Times New Roman"/>
                <w:bCs w:val="0"/>
                <w:i/>
                <w:color w:val="000000" w:themeColor="text1"/>
                <w:kern w:val="0"/>
                <w:sz w:val="21"/>
                <w:szCs w:val="21"/>
                <w:lang w:val="en-US" w:bidi="ar"/>
                <w14:textFill>
                  <w14:solidFill>
                    <w14:schemeClr w14:val="tx1"/>
                  </w14:solidFill>
                </w14:textFill>
              </w:rPr>
            </m:ctrlPr>
          </m:sub>
          <m:sup>
            <m:r>
              <m:rPr>
                <m:nor/>
              </m:rPr>
              <w:rPr>
                <w:rFonts w:hint="default" w:ascii="Times New Roman" w:hAnsi="Times New Roman" w:cs="Times New Roman"/>
                <w:bCs w:val="0"/>
                <w:i/>
                <w:color w:val="000000" w:themeColor="text1"/>
                <w:kern w:val="0"/>
                <w:sz w:val="21"/>
                <w:szCs w:val="21"/>
                <w:lang w:val="en-US" w:eastAsia="zh-CN" w:bidi="ar"/>
                <w14:textFill>
                  <w14:solidFill>
                    <w14:schemeClr w14:val="tx1"/>
                  </w14:solidFill>
                </w14:textFill>
              </w:rPr>
              <m:t>exp</m:t>
            </m:r>
            <m:ctrlPr>
              <w:rPr>
                <w:rFonts w:hint="default" w:ascii="Cambria Math" w:hAnsi="Cambria Math" w:cs="Times New Roman"/>
                <w:bCs w:val="0"/>
                <w:i/>
                <w:color w:val="000000" w:themeColor="text1"/>
                <w:kern w:val="0"/>
                <w:sz w:val="21"/>
                <w:szCs w:val="21"/>
                <w:lang w:val="en-US" w:bidi="ar"/>
                <w14:textFill>
                  <w14:solidFill>
                    <w14:schemeClr w14:val="tx1"/>
                  </w14:solidFill>
                </w14:textFill>
              </w:rPr>
            </m:ctrlPr>
          </m:sup>
        </m:sSubSup>
      </m:oMath>
      <w: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以及政府回应效果 R，计算信任目标值 </w:t>
      </w:r>
      <m:oMath>
        <m:sSubSup>
          <m:sSubSupPr>
            <m:ctrlPr>
              <w:rPr>
                <w:rFonts w:ascii="Cambria Math" w:hAnsi="Cambria Math" w:cs="Times New Roman"/>
                <w:bCs w:val="0"/>
                <w:i/>
                <w:color w:val="000000" w:themeColor="text1"/>
                <w:kern w:val="0"/>
                <w:sz w:val="21"/>
                <w:szCs w:val="21"/>
                <w:lang w:val="en-US" w:bidi="ar"/>
                <w14:textFill>
                  <w14:solidFill>
                    <w14:schemeClr w14:val="tx1"/>
                  </w14:solidFill>
                </w14:textFill>
              </w:rPr>
            </m:ctrlPr>
          </m:sSubSupPr>
          <m:e>
            <m:r>
              <m:rPr/>
              <w:rPr>
                <w:rFonts w:hint="default" w:ascii="Cambria Math" w:hAnsi="Cambria Math" w:cs="Times New Roman"/>
                <w:color w:val="000000" w:themeColor="text1"/>
                <w:kern w:val="0"/>
                <w:sz w:val="21"/>
                <w:szCs w:val="21"/>
                <w:lang w:val="en-US" w:eastAsia="zh-CN" w:bidi="ar"/>
                <w14:textFill>
                  <w14:solidFill>
                    <w14:schemeClr w14:val="tx1"/>
                  </w14:solidFill>
                </w14:textFill>
              </w:rPr>
              <m:t>T</m:t>
            </m:r>
            <m:ctrlPr>
              <w:rPr>
                <w:rFonts w:ascii="Cambria Math" w:hAnsi="Cambria Math" w:cs="Times New Roman"/>
                <w:bCs w:val="0"/>
                <w:i/>
                <w:color w:val="000000" w:themeColor="text1"/>
                <w:kern w:val="0"/>
                <w:sz w:val="21"/>
                <w:szCs w:val="21"/>
                <w:lang w:val="en-US" w:bidi="ar"/>
                <w14:textFill>
                  <w14:solidFill>
                    <w14:schemeClr w14:val="tx1"/>
                  </w14:solidFill>
                </w14:textFill>
              </w:rPr>
            </m:ctrlPr>
          </m:e>
          <m:sub>
            <m:r>
              <m:rPr/>
              <w:rPr>
                <w:rFonts w:hint="default" w:ascii="Cambria Math" w:hAnsi="Cambria Math" w:cs="Times New Roman"/>
                <w:color w:val="000000" w:themeColor="text1"/>
                <w:kern w:val="0"/>
                <w:sz w:val="21"/>
                <w:szCs w:val="21"/>
                <w:lang w:val="en-US" w:eastAsia="zh-CN" w:bidi="ar"/>
                <w14:textFill>
                  <w14:solidFill>
                    <w14:schemeClr w14:val="tx1"/>
                  </w14:solidFill>
                </w14:textFill>
              </w:rPr>
              <m:t>i</m:t>
            </m:r>
            <m:ctrlPr>
              <w:rPr>
                <w:rFonts w:ascii="Cambria Math" w:hAnsi="Cambria Math" w:cs="Times New Roman"/>
                <w:bCs w:val="0"/>
                <w:i/>
                <w:color w:val="000000" w:themeColor="text1"/>
                <w:kern w:val="0"/>
                <w:sz w:val="21"/>
                <w:szCs w:val="21"/>
                <w:lang w:val="en-US" w:bidi="ar"/>
                <w14:textFill>
                  <w14:solidFill>
                    <w14:schemeClr w14:val="tx1"/>
                  </w14:solidFill>
                </w14:textFill>
              </w:rPr>
            </m:ctrlPr>
          </m:sub>
          <m:sup>
            <m:r>
              <m:rPr/>
              <w:rPr>
                <w:rFonts w:hint="default" w:ascii="Cambria Math" w:hAnsi="Cambria Math" w:cs="Times New Roman"/>
                <w:color w:val="000000" w:themeColor="text1"/>
                <w:kern w:val="0"/>
                <w:sz w:val="21"/>
                <w:szCs w:val="21"/>
                <w:lang w:val="en-US" w:eastAsia="zh-CN" w:bidi="ar"/>
                <w14:textFill>
                  <w14:solidFill>
                    <w14:schemeClr w14:val="tx1"/>
                  </w14:solidFill>
                </w14:textFill>
              </w:rPr>
              <m:t>∗</m:t>
            </m:r>
            <m:ctrlPr>
              <w:rPr>
                <w:rFonts w:ascii="Cambria Math" w:hAnsi="Cambria Math" w:cs="Times New Roman"/>
                <w:bCs w:val="0"/>
                <w:i/>
                <w:color w:val="000000" w:themeColor="text1"/>
                <w:kern w:val="0"/>
                <w:sz w:val="21"/>
                <w:szCs w:val="21"/>
                <w:lang w:val="en-US" w:bidi="ar"/>
                <w14:textFill>
                  <w14:solidFill>
                    <w14:schemeClr w14:val="tx1"/>
                  </w14:solidFill>
                </w14:textFill>
              </w:rPr>
            </m:ctrlPr>
          </m:sup>
        </m:sSubSup>
      </m:oMath>
      <w: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w:t>
      </w:r>
    </w:p>
    <w:p w14:paraId="0CBE5981">
      <w:pPr>
        <w:keepNext w:val="0"/>
        <w:keepLines w:val="0"/>
        <w:widowControl/>
        <w:suppressLineNumbers w:val="0"/>
        <w:jc w:val="left"/>
        <m:rPr/>
        <w:rPr>
          <w:rFonts w:hint="default" w:hAnsi="Cambria Math" w:cs="Cambria Math"/>
          <w:b w:val="0"/>
          <w:bCs w:val="0"/>
          <w:i w:val="0"/>
          <w:color w:val="000000" w:themeColor="text1"/>
          <w:kern w:val="0"/>
          <w:sz w:val="21"/>
          <w:szCs w:val="21"/>
          <w:lang w:val="en-US" w:eastAsia="zh-CN" w:bidi="ar"/>
          <w14:textFill>
            <w14:solidFill>
              <w14:schemeClr w14:val="tx1"/>
            </w14:solidFill>
          </w14:textFill>
        </w:rPr>
      </w:pPr>
      <m:oMathPara>
        <m:oMath>
          <m:sSubSup>
            <m:sSubSupPr>
              <m:ctrlPr>
                <w:rPr>
                  <w:rFonts w:ascii="Cambria Math" w:hAnsi="Cambria Math" w:cs="Times New Roman"/>
                  <w:bCs w:val="0"/>
                  <w:i/>
                  <w:color w:val="000000" w:themeColor="text1"/>
                  <w:kern w:val="0"/>
                  <w:sz w:val="21"/>
                  <w:szCs w:val="21"/>
                  <w:lang w:val="en-US" w:bidi="ar"/>
                  <w14:textFill>
                    <w14:solidFill>
                      <w14:schemeClr w14:val="tx1"/>
                    </w14:solidFill>
                  </w14:textFill>
                </w:rPr>
              </m:ctrlPr>
            </m:sSubSupPr>
            <m:e>
              <m:r>
                <m:rPr/>
                <w:rPr>
                  <w:rFonts w:hint="default" w:ascii="Cambria Math" w:hAnsi="Cambria Math" w:cs="Times New Roman"/>
                  <w:color w:val="000000" w:themeColor="text1"/>
                  <w:kern w:val="0"/>
                  <w:sz w:val="21"/>
                  <w:szCs w:val="21"/>
                  <w:lang w:val="en-US" w:eastAsia="zh-CN" w:bidi="ar"/>
                  <w14:textFill>
                    <w14:solidFill>
                      <w14:schemeClr w14:val="tx1"/>
                    </w14:solidFill>
                  </w14:textFill>
                </w:rPr>
                <m:t>T</m:t>
              </m:r>
              <m:ctrlPr>
                <w:rPr>
                  <w:rFonts w:ascii="Cambria Math" w:hAnsi="Cambria Math" w:cs="Times New Roman"/>
                  <w:bCs w:val="0"/>
                  <w:i/>
                  <w:color w:val="000000" w:themeColor="text1"/>
                  <w:kern w:val="0"/>
                  <w:sz w:val="21"/>
                  <w:szCs w:val="21"/>
                  <w:lang w:val="en-US" w:bidi="ar"/>
                  <w14:textFill>
                    <w14:solidFill>
                      <w14:schemeClr w14:val="tx1"/>
                    </w14:solidFill>
                  </w14:textFill>
                </w:rPr>
              </m:ctrlPr>
            </m:e>
            <m:sub>
              <m:r>
                <m:rPr/>
                <w:rPr>
                  <w:rFonts w:hint="default" w:ascii="Cambria Math" w:hAnsi="Cambria Math" w:cs="Times New Roman"/>
                  <w:color w:val="000000" w:themeColor="text1"/>
                  <w:kern w:val="0"/>
                  <w:sz w:val="21"/>
                  <w:szCs w:val="21"/>
                  <w:lang w:val="en-US" w:eastAsia="zh-CN" w:bidi="ar"/>
                  <w14:textFill>
                    <w14:solidFill>
                      <w14:schemeClr w14:val="tx1"/>
                    </w14:solidFill>
                  </w14:textFill>
                </w:rPr>
                <m:t>i</m:t>
              </m:r>
              <m:ctrlPr>
                <w:rPr>
                  <w:rFonts w:ascii="Cambria Math" w:hAnsi="Cambria Math" w:cs="Times New Roman"/>
                  <w:bCs w:val="0"/>
                  <w:i/>
                  <w:color w:val="000000" w:themeColor="text1"/>
                  <w:kern w:val="0"/>
                  <w:sz w:val="21"/>
                  <w:szCs w:val="21"/>
                  <w:lang w:val="en-US" w:bidi="ar"/>
                  <w14:textFill>
                    <w14:solidFill>
                      <w14:schemeClr w14:val="tx1"/>
                    </w14:solidFill>
                  </w14:textFill>
                </w:rPr>
              </m:ctrlPr>
            </m:sub>
            <m:sup>
              <m:r>
                <m:rPr/>
                <w:rPr>
                  <w:rFonts w:hint="default" w:ascii="Cambria Math" w:hAnsi="Cambria Math" w:cs="Times New Roman"/>
                  <w:color w:val="000000" w:themeColor="text1"/>
                  <w:kern w:val="0"/>
                  <w:sz w:val="21"/>
                  <w:szCs w:val="21"/>
                  <w:lang w:val="en-US" w:eastAsia="zh-CN" w:bidi="ar"/>
                  <w14:textFill>
                    <w14:solidFill>
                      <w14:schemeClr w14:val="tx1"/>
                    </w14:solidFill>
                  </w14:textFill>
                </w:rPr>
                <m:t>∗</m:t>
              </m:r>
              <m:ctrlPr>
                <w:rPr>
                  <w:rFonts w:ascii="Cambria Math" w:hAnsi="Cambria Math" w:cs="Times New Roman"/>
                  <w:bCs w:val="0"/>
                  <w:i/>
                  <w:color w:val="000000" w:themeColor="text1"/>
                  <w:kern w:val="0"/>
                  <w:sz w:val="21"/>
                  <w:szCs w:val="21"/>
                  <w:lang w:val="en-US" w:bidi="ar"/>
                  <w14:textFill>
                    <w14:solidFill>
                      <w14:schemeClr w14:val="tx1"/>
                    </w14:solidFill>
                  </w14:textFill>
                </w:rPr>
              </m:ctrlPr>
            </m:sup>
          </m:sSubSup>
          <m:r>
            <m:rPr/>
            <w:rPr>
              <w:rFonts w:hint="default" w:ascii="Cambria Math" w:hAnsi="Cambria Math" w:cs="Times New Roman"/>
              <w:color w:val="000000" w:themeColor="text1"/>
              <w:kern w:val="0"/>
              <w:sz w:val="21"/>
              <w:szCs w:val="21"/>
              <w:lang w:val="en-US" w:eastAsia="zh-CN" w:bidi="ar"/>
              <w14:textFill>
                <w14:solidFill>
                  <w14:schemeClr w14:val="tx1"/>
                </w14:solidFill>
              </w14:textFill>
            </w:rPr>
            <m:t>=</m:t>
          </m:r>
          <m:r>
            <m:rPr/>
            <w:rPr>
              <w:rFonts w:hint="default" w:ascii="Cambria Math" w:hAnsi="Cambria Math" w:cs="Cambria Math"/>
              <w:color w:val="000000" w:themeColor="text1"/>
              <w:kern w:val="0"/>
              <w:sz w:val="21"/>
              <w:szCs w:val="21"/>
              <w:lang w:val="en-US" w:eastAsia="zh-CN" w:bidi="ar"/>
              <w14:textFill>
                <w14:solidFill>
                  <w14:schemeClr w14:val="tx1"/>
                </w14:solidFill>
              </w14:textFill>
            </w:rPr>
            <m:t>σ</m:t>
          </m:r>
          <m:d>
            <m:dPr>
              <m:ctrlPr>
                <m:r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dPr>
            <m:e>
              <m:r>
                <m:rPr/>
                <w:rPr>
                  <w:rFonts w:hint="default" w:ascii="Cambria Math" w:hAnsi="Cambria Math" w:cs="Cambria Math"/>
                  <w:color w:val="000000" w:themeColor="text1"/>
                  <w:kern w:val="0"/>
                  <w:sz w:val="21"/>
                  <w:szCs w:val="21"/>
                  <w:lang w:val="en-US" w:eastAsia="zh-CN" w:bidi="ar"/>
                  <w14:textFill>
                    <w14:solidFill>
                      <w14:schemeClr w14:val="tx1"/>
                    </w14:solidFill>
                  </w14:textFill>
                </w:rPr>
                <m:t>0.80+</m:t>
              </m:r>
              <m:sSub>
                <m:sSubPr>
                  <m:ctrlPr>
                    <m:r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cs="Cambria Math"/>
                      <w:color w:val="000000" w:themeColor="text1"/>
                      <w:kern w:val="0"/>
                      <w:sz w:val="21"/>
                      <w:szCs w:val="21"/>
                      <w:lang w:val="en-US" w:eastAsia="zh-CN" w:bidi="ar"/>
                      <w14:textFill>
                        <w14:solidFill>
                          <w14:schemeClr w14:val="tx1"/>
                        </w14:solidFill>
                      </w14:textFill>
                    </w:rPr>
                    <m:t>β</m:t>
                  </m:r>
                  <m:ctrlPr>
                    <m:r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cs="Cambria Math"/>
                      <w:color w:val="000000" w:themeColor="text1"/>
                      <w:kern w:val="0"/>
                      <w:sz w:val="21"/>
                      <w:szCs w:val="21"/>
                      <w:lang w:val="en-US" w:eastAsia="zh-CN" w:bidi="ar"/>
                      <w14:textFill>
                        <w14:solidFill>
                          <w14:schemeClr w14:val="tx1"/>
                        </w14:solidFill>
                      </w14:textFill>
                    </w:rPr>
                    <m:t>G</m:t>
                  </m:r>
                  <m:r>
                    <m:rPr/>
                    <w:rPr>
                      <w:rFonts w:ascii="Cambria Math" w:hAnsi="Cambria Math" w:cs="Cambria Math"/>
                      <w:color w:val="000000" w:themeColor="text1"/>
                      <w:kern w:val="0"/>
                      <w:sz w:val="21"/>
                      <w:szCs w:val="21"/>
                      <w:lang w:val="en-US" w:bidi="ar"/>
                      <w14:textFill>
                        <w14:solidFill>
                          <w14:schemeClr w14:val="tx1"/>
                        </w14:solidFill>
                      </w14:textFill>
                    </w:rPr>
                    <m:t>⟵</m:t>
                  </m:r>
                  <m:r>
                    <m:rPr/>
                    <w:rPr>
                      <w:rFonts w:hint="default" w:ascii="Cambria Math" w:hAnsi="Cambria Math" w:cs="Cambria Math"/>
                      <w:color w:val="000000" w:themeColor="text1"/>
                      <w:kern w:val="0"/>
                      <w:sz w:val="21"/>
                      <w:szCs w:val="21"/>
                      <w:lang w:val="en-US" w:eastAsia="zh-CN" w:bidi="ar"/>
                      <w14:textFill>
                        <w14:solidFill>
                          <w14:schemeClr w14:val="tx1"/>
                        </w14:solidFill>
                      </w14:textFill>
                    </w:rPr>
                    <m:t>T</m:t>
                  </m:r>
                  <m:ctrlPr>
                    <m:r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sub>
              </m:sSub>
              <m:sSub>
                <m:sSubPr>
                  <m:ctrlPr>
                    <m:r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cs="Cambria Math"/>
                      <w:color w:val="000000" w:themeColor="text1"/>
                      <w:kern w:val="0"/>
                      <w:sz w:val="21"/>
                      <w:szCs w:val="21"/>
                      <w:lang w:val="en-US" w:eastAsia="zh-CN" w:bidi="ar"/>
                      <w14:textFill>
                        <w14:solidFill>
                          <w14:schemeClr w14:val="tx1"/>
                        </w14:solidFill>
                      </w14:textFill>
                    </w:rPr>
                    <m:t>Z</m:t>
                  </m:r>
                  <m:ctrlPr>
                    <m:r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cs="Cambria Math"/>
                      <w:color w:val="000000" w:themeColor="text1"/>
                      <w:kern w:val="0"/>
                      <w:sz w:val="21"/>
                      <w:szCs w:val="21"/>
                      <w:lang w:val="en-US" w:eastAsia="zh-CN" w:bidi="ar"/>
                      <w14:textFill>
                        <w14:solidFill>
                          <w14:schemeClr w14:val="tx1"/>
                        </w14:solidFill>
                      </w14:textFill>
                    </w:rPr>
                    <m:t>G</m:t>
                  </m:r>
                  <m:ctrlPr>
                    <m:r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sub>
              </m:sSub>
              <m:r>
                <m:rPr/>
                <w:rPr>
                  <w:rFonts w:hint="default" w:ascii="Cambria Math" w:hAnsi="Cambria Math" w:cs="Cambria Math"/>
                  <w:color w:val="000000" w:themeColor="text1"/>
                  <w:kern w:val="0"/>
                  <w:sz w:val="21"/>
                  <w:szCs w:val="21"/>
                  <w:lang w:val="en-US" w:eastAsia="zh-CN" w:bidi="ar"/>
                  <w14:textFill>
                    <w14:solidFill>
                      <w14:schemeClr w14:val="tx1"/>
                    </w14:solidFill>
                  </w14:textFill>
                </w:rPr>
                <m:t>+</m:t>
              </m:r>
              <m:sSub>
                <m:sSubPr>
                  <m:ctrl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cs="Cambria Math"/>
                      <w:color w:val="000000" w:themeColor="text1"/>
                      <w:kern w:val="0"/>
                      <w:sz w:val="21"/>
                      <w:szCs w:val="21"/>
                      <w:lang w:val="en-US" w:eastAsia="zh-CN" w:bidi="ar"/>
                      <w14:textFill>
                        <w14:solidFill>
                          <w14:schemeClr w14:val="tx1"/>
                        </w14:solidFill>
                      </w14:textFill>
                    </w:rPr>
                    <m:t>β</m:t>
                  </m:r>
                  <m:ctrl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cs="Cambria Math"/>
                      <w:color w:val="000000" w:themeColor="text1"/>
                      <w:kern w:val="0"/>
                      <w:sz w:val="21"/>
                      <w:szCs w:val="21"/>
                      <w:lang w:val="en-US" w:eastAsia="zh-CN" w:bidi="ar"/>
                      <w14:textFill>
                        <w14:solidFill>
                          <w14:schemeClr w14:val="tx1"/>
                        </w14:solidFill>
                      </w14:textFill>
                    </w:rPr>
                    <m:t>L</m:t>
                  </m:r>
                  <m:r>
                    <m:rPr/>
                    <w:rPr>
                      <w:rFonts w:ascii="Cambria Math" w:hAnsi="Cambria Math" w:cs="Cambria Math"/>
                      <w:color w:val="000000" w:themeColor="text1"/>
                      <w:kern w:val="0"/>
                      <w:sz w:val="21"/>
                      <w:szCs w:val="21"/>
                      <w:lang w:val="en-US" w:bidi="ar"/>
                      <w14:textFill>
                        <w14:solidFill>
                          <w14:schemeClr w14:val="tx1"/>
                        </w14:solidFill>
                      </w14:textFill>
                    </w:rPr>
                    <m:t>⟵</m:t>
                  </m:r>
                  <m:r>
                    <m:rPr/>
                    <w:rPr>
                      <w:rFonts w:hint="default" w:ascii="Cambria Math" w:hAnsi="Cambria Math" w:cs="Cambria Math"/>
                      <w:color w:val="000000" w:themeColor="text1"/>
                      <w:kern w:val="0"/>
                      <w:sz w:val="21"/>
                      <w:szCs w:val="21"/>
                      <w:lang w:val="en-US" w:eastAsia="zh-CN" w:bidi="ar"/>
                      <w14:textFill>
                        <w14:solidFill>
                          <w14:schemeClr w14:val="tx1"/>
                        </w14:solidFill>
                      </w14:textFill>
                    </w:rPr>
                    <m:t>T</m:t>
                  </m:r>
                  <m:ctrl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sub>
              </m:sSub>
              <m:sSub>
                <m:sSubPr>
                  <m:ctrl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cs="Cambria Math"/>
                      <w:color w:val="000000" w:themeColor="text1"/>
                      <w:kern w:val="0"/>
                      <w:sz w:val="21"/>
                      <w:szCs w:val="21"/>
                      <w:lang w:val="en-US" w:eastAsia="zh-CN" w:bidi="ar"/>
                      <w14:textFill>
                        <w14:solidFill>
                          <w14:schemeClr w14:val="tx1"/>
                        </w14:solidFill>
                      </w14:textFill>
                    </w:rPr>
                    <m:t>Z</m:t>
                  </m:r>
                  <m:ctrl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cs="Cambria Math"/>
                      <w:color w:val="000000" w:themeColor="text1"/>
                      <w:kern w:val="0"/>
                      <w:sz w:val="21"/>
                      <w:szCs w:val="21"/>
                      <w:lang w:val="en-US" w:eastAsia="zh-CN" w:bidi="ar"/>
                      <w14:textFill>
                        <w14:solidFill>
                          <w14:schemeClr w14:val="tx1"/>
                        </w14:solidFill>
                      </w14:textFill>
                    </w:rPr>
                    <m:t>L</m:t>
                  </m:r>
                  <m:ctrl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sub>
              </m:sSub>
              <m:r>
                <m:rPr/>
                <w:rPr>
                  <w:rFonts w:hint="default" w:ascii="Cambria Math" w:hAnsi="Cambria Math" w:cs="Cambria Math"/>
                  <w:color w:val="000000" w:themeColor="text1"/>
                  <w:kern w:val="0"/>
                  <w:sz w:val="21"/>
                  <w:szCs w:val="21"/>
                  <w:lang w:val="en-US" w:eastAsia="zh-CN" w:bidi="ar"/>
                  <w14:textFill>
                    <w14:solidFill>
                      <w14:schemeClr w14:val="tx1"/>
                    </w14:solidFill>
                  </w14:textFill>
                </w:rPr>
                <m:t>+0.45</m:t>
              </m:r>
              <m:d>
                <m:dPr>
                  <m:ctrlPr>
                    <m:r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dPr>
                <m:e>
                  <m:sSub>
                    <m:sSubPr>
                      <m:ctrlPr>
                        <m:r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cs="Cambria Math"/>
                          <w:color w:val="000000" w:themeColor="text1"/>
                          <w:kern w:val="0"/>
                          <w:sz w:val="21"/>
                          <w:szCs w:val="21"/>
                          <w:lang w:val="en-US" w:eastAsia="zh-CN" w:bidi="ar"/>
                          <w14:textFill>
                            <w14:solidFill>
                              <w14:schemeClr w14:val="tx1"/>
                            </w14:solidFill>
                          </w14:textFill>
                        </w:rPr>
                        <m:t>O</m:t>
                      </m:r>
                      <m:ctrlPr>
                        <m:r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cs="Cambria Math"/>
                          <w:color w:val="000000" w:themeColor="text1"/>
                          <w:kern w:val="0"/>
                          <w:sz w:val="21"/>
                          <w:szCs w:val="21"/>
                          <w:lang w:val="en-US" w:eastAsia="zh-CN" w:bidi="ar"/>
                          <w14:textFill>
                            <w14:solidFill>
                              <w14:schemeClr w14:val="tx1"/>
                            </w14:solidFill>
                          </w14:textFill>
                        </w:rPr>
                        <m:t>i</m:t>
                      </m:r>
                      <m:ctrlPr>
                        <m:r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sub>
                  </m:sSub>
                  <m:r>
                    <m:rPr/>
                    <w:rPr>
                      <w:rFonts w:hint="default" w:ascii="Cambria Math" w:hAnsi="Cambria Math" w:cs="Cambria Math"/>
                      <w:color w:val="000000" w:themeColor="text1"/>
                      <w:kern w:val="0"/>
                      <w:sz w:val="21"/>
                      <w:szCs w:val="21"/>
                      <w:lang w:val="en-US" w:eastAsia="zh-CN" w:bidi="ar"/>
                      <w14:textFill>
                        <w14:solidFill>
                          <w14:schemeClr w14:val="tx1"/>
                        </w14:solidFill>
                      </w14:textFill>
                    </w:rPr>
                    <m:t>−0.25</m:t>
                  </m:r>
                  <m:ctrlPr>
                    <m:r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e>
              </m:d>
              <m:r>
                <m:rPr/>
                <w:rPr>
                  <w:rFonts w:hint="default" w:ascii="Cambria Math" w:hAnsi="Cambria Math" w:cs="Cambria Math"/>
                  <w:color w:val="000000" w:themeColor="text1"/>
                  <w:kern w:val="0"/>
                  <w:sz w:val="21"/>
                  <w:szCs w:val="21"/>
                  <w:lang w:val="en-US" w:eastAsia="zh-CN" w:bidi="ar"/>
                  <w14:textFill>
                    <w14:solidFill>
                      <w14:schemeClr w14:val="tx1"/>
                    </w14:solidFill>
                  </w14:textFill>
                </w:rPr>
                <m:t>+0.75R−0.60</m:t>
              </m:r>
              <m:sSub>
                <m:sSubPr>
                  <m:ctrlPr>
                    <m:r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cs="Cambria Math"/>
                      <w:color w:val="000000" w:themeColor="text1"/>
                      <w:kern w:val="0"/>
                      <w:sz w:val="21"/>
                      <w:szCs w:val="21"/>
                      <w:lang w:val="en-US" w:eastAsia="zh-CN" w:bidi="ar"/>
                      <w14:textFill>
                        <w14:solidFill>
                          <w14:schemeClr w14:val="tx1"/>
                        </w14:solidFill>
                      </w14:textFill>
                    </w:rPr>
                    <m:t>N</m:t>
                  </m:r>
                  <m:ctrlPr>
                    <m:r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cs="Cambria Math"/>
                      <w:color w:val="000000" w:themeColor="text1"/>
                      <w:kern w:val="0"/>
                      <w:sz w:val="21"/>
                      <w:szCs w:val="21"/>
                      <w:lang w:val="en-US" w:eastAsia="zh-CN" w:bidi="ar"/>
                      <w14:textFill>
                        <w14:solidFill>
                          <w14:schemeClr w14:val="tx1"/>
                        </w14:solidFill>
                      </w14:textFill>
                    </w:rPr>
                    <m:t>i</m:t>
                  </m:r>
                  <m:ctrlPr>
                    <m:r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sub>
              </m:sSub>
              <m:ctrlPr>
                <m:r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e>
          </m:d>
        </m:oMath>
      </m:oMathPara>
    </w:p>
    <w:p w14:paraId="2CB2533C">
      <w:pPr>
        <w:keepNext w:val="0"/>
        <w:keepLines w:val="0"/>
        <w:widowControl/>
        <w:suppressLineNumbers w:val="0"/>
        <w:jc w:val="left"/>
        <w:rPr>
          <w:rFonts w:hint="eastAsia" w:hAnsi="Cambria Math" w:cs="Cambria Math"/>
          <w:b w:val="0"/>
          <w:bCs w:val="0"/>
          <w:i w:val="0"/>
          <w:color w:val="000000" w:themeColor="text1"/>
          <w:kern w:val="0"/>
          <w:sz w:val="21"/>
          <w:szCs w:val="21"/>
          <w:lang w:val="en-US" w:eastAsia="zh-CN" w:bidi="ar"/>
          <w14:textFill>
            <w14:solidFill>
              <w14:schemeClr w14:val="tx1"/>
            </w14:solidFill>
          </w14:textFill>
        </w:rPr>
      </w:pPr>
      <w:r>
        <m:rPr/>
        <w:rPr>
          <w:rFonts w:hint="eastAsia" w:hAnsi="Cambria Math" w:cs="Cambria Math"/>
          <w:b w:val="0"/>
          <w:bCs w:val="0"/>
          <w:i w:val="0"/>
          <w:color w:val="000000" w:themeColor="text1"/>
          <w:kern w:val="0"/>
          <w:sz w:val="21"/>
          <w:szCs w:val="21"/>
          <w:lang w:val="en-US" w:eastAsia="zh-CN" w:bidi="ar"/>
          <w14:textFill>
            <w14:solidFill>
              <w14:schemeClr w14:val="tx1"/>
            </w14:solidFill>
          </w14:textFill>
        </w:rPr>
        <w:t>其中</w:t>
      </w:r>
      <m:oMath>
        <m:r>
          <m:rPr/>
          <w:rPr>
            <w:rFonts w:hint="default" w:ascii="Cambria Math" w:hAnsi="Cambria Math" w:cs="Cambria Math"/>
            <w:color w:val="000000" w:themeColor="text1"/>
            <w:kern w:val="0"/>
            <w:sz w:val="21"/>
            <w:szCs w:val="21"/>
            <w:lang w:val="en-US" w:eastAsia="zh-CN" w:bidi="ar"/>
            <w14:textFill>
              <w14:solidFill>
                <w14:schemeClr w14:val="tx1"/>
              </w14:solidFill>
            </w14:textFill>
          </w:rPr>
          <m:t>σ</m:t>
        </m:r>
      </m:oMath>
      <w:r>
        <m:rPr/>
        <w:rPr>
          <w:rFonts w:hint="default" w:ascii="Times New Roman" w:hAnsi="Times New Roman" w:cs="Times New Roman"/>
          <w:i w:val="0"/>
          <w:color w:val="000000" w:themeColor="text1"/>
          <w:kern w:val="0"/>
          <w:sz w:val="21"/>
          <w:szCs w:val="21"/>
          <w:lang w:val="en-US" w:eastAsia="zh-CN" w:bidi="ar"/>
          <w14:textFill>
            <w14:solidFill>
              <w14:schemeClr w14:val="tx1"/>
            </w14:solidFill>
          </w14:textFill>
        </w:rPr>
        <w:t>（·）</w:t>
      </w:r>
      <w:r>
        <m:rPr/>
        <w:rPr>
          <w:rFonts w:hint="eastAsia" w:ascii="Times New Roman" w:hAnsi="Times New Roman" w:cs="Times New Roman"/>
          <w:i w:val="0"/>
          <w:color w:val="000000" w:themeColor="text1"/>
          <w:kern w:val="0"/>
          <w:sz w:val="21"/>
          <w:szCs w:val="21"/>
          <w:lang w:val="en-US" w:eastAsia="zh-CN" w:bidi="ar"/>
          <w14:textFill>
            <w14:solidFill>
              <w14:schemeClr w14:val="tx1"/>
            </w14:solidFill>
          </w14:textFill>
        </w:rPr>
        <w:t>为logistic函数</w:t>
      </w:r>
      <m:oMath>
        <m:sSub>
          <m:sSubPr>
            <m:ctrl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cs="Cambria Math"/>
                <w:color w:val="000000" w:themeColor="text1"/>
                <w:kern w:val="0"/>
                <w:sz w:val="21"/>
                <w:szCs w:val="21"/>
                <w:lang w:val="en-US" w:eastAsia="zh-CN" w:bidi="ar"/>
                <w14:textFill>
                  <w14:solidFill>
                    <w14:schemeClr w14:val="tx1"/>
                  </w14:solidFill>
                </w14:textFill>
              </w:rPr>
              <m:t>Z</m:t>
            </m:r>
            <m:ctrl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cs="Cambria Math"/>
                <w:color w:val="000000" w:themeColor="text1"/>
                <w:kern w:val="0"/>
                <w:sz w:val="21"/>
                <w:szCs w:val="21"/>
                <w:lang w:val="en-US" w:eastAsia="zh-CN" w:bidi="ar"/>
                <w14:textFill>
                  <w14:solidFill>
                    <w14:schemeClr w14:val="tx1"/>
                  </w14:solidFill>
                </w14:textFill>
              </w:rPr>
              <m:t>G</m:t>
            </m:r>
            <m:ctrl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sub>
        </m:sSub>
      </m:oMath>
      <w:r>
        <w:rPr>
          <w:rFonts w:hint="eastAsia" w:hAnsi="Cambria Math" w:cs="Cambria Math"/>
          <w:b w:val="0"/>
          <w:bCs w:val="0"/>
          <w:i w:val="0"/>
          <w:color w:val="000000" w:themeColor="text1"/>
          <w:kern w:val="0"/>
          <w:sz w:val="21"/>
          <w:szCs w:val="21"/>
          <w:lang w:val="en-US" w:eastAsia="zh-CN" w:bidi="ar"/>
          <w14:textFill>
            <w14:solidFill>
              <w14:schemeClr w14:val="tx1"/>
            </w14:solidFill>
          </w14:textFill>
        </w:rPr>
        <w:t>和</w:t>
      </w:r>
      <m:oMath>
        <m:sSub>
          <m:sSubPr>
            <m:ctrl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cs="Cambria Math"/>
                <w:color w:val="000000" w:themeColor="text1"/>
                <w:kern w:val="0"/>
                <w:sz w:val="21"/>
                <w:szCs w:val="21"/>
                <w:lang w:val="en-US" w:eastAsia="zh-CN" w:bidi="ar"/>
                <w14:textFill>
                  <w14:solidFill>
                    <w14:schemeClr w14:val="tx1"/>
                  </w14:solidFill>
                </w14:textFill>
              </w:rPr>
              <m:t>Z</m:t>
            </m:r>
            <m:ctrl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cs="Cambria Math"/>
                <w:color w:val="000000" w:themeColor="text1"/>
                <w:kern w:val="0"/>
                <w:sz w:val="21"/>
                <w:szCs w:val="21"/>
                <w:lang w:val="en-US" w:eastAsia="zh-CN" w:bidi="ar"/>
                <w14:textFill>
                  <w14:solidFill>
                    <w14:schemeClr w14:val="tx1"/>
                  </w14:solidFill>
                </w14:textFill>
              </w:rPr>
              <m:t>L</m:t>
            </m:r>
            <m:ctrlPr>
              <w:rPr>
                <w:rFonts w:hint="default" w:ascii="Cambria Math" w:hAnsi="Cambria Math" w:cs="Cambria Math"/>
                <w:b w:val="0"/>
                <w:bCs w:val="0"/>
                <w:i/>
                <w:color w:val="000000" w:themeColor="text1"/>
                <w:kern w:val="0"/>
                <w:sz w:val="21"/>
                <w:szCs w:val="21"/>
                <w:lang w:val="en-US" w:eastAsia="zh-CN" w:bidi="ar"/>
                <w14:textFill>
                  <w14:solidFill>
                    <w14:schemeClr w14:val="tx1"/>
                  </w14:solidFill>
                </w14:textFill>
              </w:rPr>
            </m:ctrlPr>
          </m:sub>
        </m:sSub>
      </m:oMath>
      <w:r>
        <w:rPr>
          <w:rFonts w:hint="default" w:hAnsi="Cambria Math" w:cs="Cambria Math"/>
          <w:b w:val="0"/>
          <w:bCs w:val="0"/>
          <w:i w:val="0"/>
          <w:color w:val="000000" w:themeColor="text1"/>
          <w:kern w:val="0"/>
          <w:sz w:val="21"/>
          <w:szCs w:val="21"/>
          <w:lang w:val="en-US" w:eastAsia="zh-CN" w:bidi="ar"/>
          <w14:textFill>
            <w14:solidFill>
              <w14:schemeClr w14:val="tx1"/>
            </w14:solidFill>
          </w14:textFill>
        </w:rPr>
        <w:t>分别为数字政府水平与学习成本的居中化变换。随后以速率</w:t>
      </w:r>
      <m:oMath>
        <m:sSub>
          <m:sSubPr>
            <m:ctrlPr>
              <w:rPr>
                <w:rFonts w:hint="default" w:hAnsi="Cambria Math" w:cs="Cambria Math"/>
                <w:b w:val="0"/>
                <w:bCs w:val="0"/>
                <w:i w:val="0"/>
                <w:color w:val="000000" w:themeColor="text1"/>
                <w:kern w:val="0"/>
                <w:sz w:val="21"/>
                <w:szCs w:val="21"/>
                <w:lang w:val="en-US" w:eastAsia="zh-CN" w:bidi="ar"/>
                <w14:textFill>
                  <w14:solidFill>
                    <w14:schemeClr w14:val="tx1"/>
                  </w14:solidFill>
                </w14:textFill>
              </w:rPr>
            </m:ctrlPr>
          </m:sSubPr>
          <m:e>
            <m:r>
              <m:rPr>
                <m:sty m:val="p"/>
              </m:rPr>
              <w:rPr>
                <w:rFonts w:hint="default" w:hAnsi="Cambria Math" w:cs="Cambria Math"/>
                <w:color w:val="000000" w:themeColor="text1"/>
                <w:kern w:val="0"/>
                <w:sz w:val="21"/>
                <w:szCs w:val="21"/>
                <w:lang w:val="en-US" w:eastAsia="zh-CN" w:bidi="ar"/>
                <w14:textFill>
                  <w14:solidFill>
                    <w14:schemeClr w14:val="tx1"/>
                  </w14:solidFill>
                </w14:textFill>
              </w:rPr>
              <m:t>τ</m:t>
            </m:r>
            <m:ctrlPr>
              <w:rPr>
                <w:rFonts w:hint="default" w:hAnsi="Cambria Math" w:cs="Cambria Math"/>
                <w:b w:val="0"/>
                <w:bCs w:val="0"/>
                <w:i w:val="0"/>
                <w:color w:val="000000" w:themeColor="text1"/>
                <w:kern w:val="0"/>
                <w:sz w:val="21"/>
                <w:szCs w:val="21"/>
                <w:lang w:val="en-US" w:eastAsia="zh-CN" w:bidi="ar"/>
                <w14:textFill>
                  <w14:solidFill>
                    <w14:schemeClr w14:val="tx1"/>
                  </w14:solidFill>
                </w14:textFill>
              </w:rPr>
            </m:ctrlPr>
          </m:e>
          <m:sub>
            <m:r>
              <m:rPr>
                <m:sty m:val="p"/>
              </m:rPr>
              <w:rPr>
                <w:rFonts w:hint="default" w:hAnsi="Cambria Math" w:cs="Cambria Math"/>
                <w:color w:val="000000" w:themeColor="text1"/>
                <w:kern w:val="0"/>
                <w:sz w:val="21"/>
                <w:szCs w:val="21"/>
                <w:lang w:val="en-US" w:eastAsia="zh-CN" w:bidi="ar"/>
                <w14:textFill>
                  <w14:solidFill>
                    <w14:schemeClr w14:val="tx1"/>
                  </w14:solidFill>
                </w14:textFill>
              </w:rPr>
              <m:t>T</m:t>
            </m:r>
            <m:ctrlPr>
              <w:rPr>
                <w:rFonts w:hint="default" w:hAnsi="Cambria Math" w:cs="Cambria Math"/>
                <w:b w:val="0"/>
                <w:bCs w:val="0"/>
                <w:i w:val="0"/>
                <w:color w:val="000000" w:themeColor="text1"/>
                <w:kern w:val="0"/>
                <w:sz w:val="21"/>
                <w:szCs w:val="21"/>
                <w:lang w:val="en-US" w:eastAsia="zh-CN" w:bidi="ar"/>
                <w14:textFill>
                  <w14:solidFill>
                    <w14:schemeClr w14:val="tx1"/>
                  </w14:solidFill>
                </w14:textFill>
              </w:rPr>
            </m:ctrlPr>
          </m:sub>
        </m:sSub>
      </m:oMath>
      <w:r>
        <w:rPr>
          <w:rFonts w:hint="default" w:hAnsi="Cambria Math" w:cs="Cambria Math"/>
          <w:b w:val="0"/>
          <w:bCs w:val="0"/>
          <w:i w:val="0"/>
          <w:color w:val="000000" w:themeColor="text1"/>
          <w:kern w:val="0"/>
          <w:sz w:val="21"/>
          <w:szCs w:val="21"/>
          <w:lang w:val="en-US" w:eastAsia="zh-CN" w:bidi="ar"/>
          <w14:textFill>
            <w14:solidFill>
              <w14:schemeClr w14:val="tx1"/>
            </w14:solidFill>
          </w14:textFill>
        </w:rPr>
        <w:t>=0.06 逼近目标：</w:t>
      </w:r>
      <m:oMath>
        <m:sSub>
          <m:sSubPr>
            <m:ctrlPr>
              <w:rPr>
                <w:rFonts w:ascii="Cambria Math" w:hAnsi="Cambria Math" w:cs="Cambria Math"/>
                <w:bCs w:val="0"/>
                <w:i/>
                <w:color w:val="000000" w:themeColor="text1"/>
                <w:kern w:val="0"/>
                <w:sz w:val="21"/>
                <w:szCs w:val="21"/>
                <w:lang w:val="en-US" w:bidi="ar"/>
                <w14:textFill>
                  <w14:solidFill>
                    <w14:schemeClr w14:val="tx1"/>
                  </w14:solidFill>
                </w14:textFill>
              </w:rPr>
            </m:ctrlPr>
          </m:sSubPr>
          <m:e>
            <m:r>
              <m:rPr/>
              <w:rPr>
                <w:rFonts w:hint="default" w:ascii="Cambria Math" w:hAnsi="Cambria Math" w:cs="Cambria Math"/>
                <w:color w:val="000000" w:themeColor="text1"/>
                <w:kern w:val="0"/>
                <w:sz w:val="21"/>
                <w:szCs w:val="21"/>
                <w:lang w:val="en-US" w:eastAsia="zh-CN" w:bidi="ar"/>
                <w14:textFill>
                  <w14:solidFill>
                    <w14:schemeClr w14:val="tx1"/>
                  </w14:solidFill>
                </w14:textFill>
              </w:rPr>
              <m:t>T</m:t>
            </m:r>
            <m:ctrlPr>
              <w:rPr>
                <w:rFonts w:ascii="Cambria Math" w:hAnsi="Cambria Math" w:cs="Cambria Math"/>
                <w:bCs w:val="0"/>
                <w:i/>
                <w:color w:val="000000" w:themeColor="text1"/>
                <w:kern w:val="0"/>
                <w:sz w:val="21"/>
                <w:szCs w:val="21"/>
                <w:lang w:val="en-US" w:bidi="ar"/>
                <w14:textFill>
                  <w14:solidFill>
                    <w14:schemeClr w14:val="tx1"/>
                  </w14:solidFill>
                </w14:textFill>
              </w:rPr>
            </m:ctrlPr>
          </m:e>
          <m:sub>
            <m:r>
              <m:rPr/>
              <w:rPr>
                <w:rFonts w:hint="default" w:ascii="Cambria Math" w:hAnsi="Cambria Math" w:cs="Cambria Math"/>
                <w:color w:val="000000" w:themeColor="text1"/>
                <w:kern w:val="0"/>
                <w:sz w:val="21"/>
                <w:szCs w:val="21"/>
                <w:lang w:val="en-US" w:eastAsia="zh-CN" w:bidi="ar"/>
                <w14:textFill>
                  <w14:solidFill>
                    <w14:schemeClr w14:val="tx1"/>
                  </w14:solidFill>
                </w14:textFill>
              </w:rPr>
              <m:t>i</m:t>
            </m:r>
            <m:ctrlPr>
              <w:rPr>
                <w:rFonts w:ascii="Cambria Math" w:hAnsi="Cambria Math" w:cs="Cambria Math"/>
                <w:bCs w:val="0"/>
                <w:i/>
                <w:color w:val="000000" w:themeColor="text1"/>
                <w:kern w:val="0"/>
                <w:sz w:val="21"/>
                <w:szCs w:val="21"/>
                <w:lang w:val="en-US" w:bidi="ar"/>
                <w14:textFill>
                  <w14:solidFill>
                    <w14:schemeClr w14:val="tx1"/>
                  </w14:solidFill>
                </w14:textFill>
              </w:rPr>
            </m:ctrlPr>
          </m:sub>
        </m:sSub>
        <m:r>
          <w:rPr>
            <w:rFonts w:hint="default" w:ascii="Cambria Math" w:hAnsi="Cambria Math" w:cs="Cambria Math"/>
            <w:color w:val="000000" w:themeColor="text1"/>
            <w:kern w:val="0"/>
            <w:sz w:val="21"/>
            <w:szCs w:val="21"/>
            <w:lang w:val="en-US" w:bidi="ar"/>
            <w14:textFill>
              <w14:solidFill>
                <w14:schemeClr w14:val="tx1"/>
              </w14:solidFill>
            </w14:textFill>
          </w:rPr>
          <m:t>⟵</m:t>
        </m:r>
        <m:sSub>
          <m:sSubPr>
            <m:ctrlPr>
              <w:rPr>
                <w:rFonts w:hint="default" w:ascii="Cambria Math" w:hAnsi="Cambria Math" w:cs="Cambria Math"/>
                <w:bCs w:val="0"/>
                <w:i/>
                <w:color w:val="000000" w:themeColor="text1"/>
                <w:kern w:val="0"/>
                <w:sz w:val="21"/>
                <w:szCs w:val="21"/>
                <w:lang w:val="en-US" w:bidi="ar"/>
                <w14:textFill>
                  <w14:solidFill>
                    <w14:schemeClr w14:val="tx1"/>
                  </w14:solidFill>
                </w14:textFill>
              </w:rPr>
            </m:ctrlPr>
          </m:sSubPr>
          <m:e>
            <m:r>
              <m:rPr/>
              <w:rPr>
                <w:rFonts w:hint="default" w:ascii="Cambria Math" w:hAnsi="Cambria Math" w:cs="Cambria Math"/>
                <w:color w:val="000000" w:themeColor="text1"/>
                <w:kern w:val="0"/>
                <w:sz w:val="21"/>
                <w:szCs w:val="21"/>
                <w:lang w:val="en-US" w:eastAsia="zh-CN" w:bidi="ar"/>
                <w14:textFill>
                  <w14:solidFill>
                    <w14:schemeClr w14:val="tx1"/>
                  </w14:solidFill>
                </w14:textFill>
              </w:rPr>
              <m:t>T</m:t>
            </m:r>
            <m:ctrlPr>
              <w:rPr>
                <w:rFonts w:hint="default" w:ascii="Cambria Math" w:hAnsi="Cambria Math" w:cs="Cambria Math"/>
                <w:bCs w:val="0"/>
                <w:i/>
                <w:color w:val="000000" w:themeColor="text1"/>
                <w:kern w:val="0"/>
                <w:sz w:val="21"/>
                <w:szCs w:val="21"/>
                <w:lang w:val="en-US" w:bidi="ar"/>
                <w14:textFill>
                  <w14:solidFill>
                    <w14:schemeClr w14:val="tx1"/>
                  </w14:solidFill>
                </w14:textFill>
              </w:rPr>
            </m:ctrlPr>
          </m:e>
          <m:sub>
            <m:r>
              <m:rPr/>
              <w:rPr>
                <w:rFonts w:hint="default" w:ascii="Cambria Math" w:hAnsi="Cambria Math" w:cs="Cambria Math"/>
                <w:color w:val="000000" w:themeColor="text1"/>
                <w:kern w:val="0"/>
                <w:sz w:val="21"/>
                <w:szCs w:val="21"/>
                <w:lang w:val="en-US" w:eastAsia="zh-CN" w:bidi="ar"/>
                <w14:textFill>
                  <w14:solidFill>
                    <w14:schemeClr w14:val="tx1"/>
                  </w14:solidFill>
                </w14:textFill>
              </w:rPr>
              <m:t>i</m:t>
            </m:r>
            <m:ctrlPr>
              <w:rPr>
                <w:rFonts w:hint="default" w:ascii="Cambria Math" w:hAnsi="Cambria Math" w:cs="Cambria Math"/>
                <w:bCs w:val="0"/>
                <w:i/>
                <w:color w:val="000000" w:themeColor="text1"/>
                <w:kern w:val="0"/>
                <w:sz w:val="21"/>
                <w:szCs w:val="21"/>
                <w:lang w:val="en-US" w:bidi="ar"/>
                <w14:textFill>
                  <w14:solidFill>
                    <w14:schemeClr w14:val="tx1"/>
                  </w14:solidFill>
                </w14:textFill>
              </w:rPr>
            </m:ctrlPr>
          </m:sub>
        </m:sSub>
        <m:r>
          <m:rPr/>
          <w:rPr>
            <w:rFonts w:hint="default" w:ascii="Cambria Math" w:hAnsi="Cambria Math" w:cs="Cambria Math"/>
            <w:color w:val="000000" w:themeColor="text1"/>
            <w:kern w:val="0"/>
            <w:sz w:val="21"/>
            <w:szCs w:val="21"/>
            <w:lang w:val="en-US" w:eastAsia="zh-CN" w:bidi="ar"/>
            <w14:textFill>
              <w14:solidFill>
                <w14:schemeClr w14:val="tx1"/>
              </w14:solidFill>
            </w14:textFill>
          </w:rPr>
          <m:t>+</m:t>
        </m:r>
        <m:sSub>
          <m:sSubPr>
            <m:ctrlPr>
              <w:rPr>
                <w:rFonts w:hint="default" w:hAnsi="Cambria Math" w:cs="Cambria Math"/>
                <w:b w:val="0"/>
                <w:bCs w:val="0"/>
                <w:i w:val="0"/>
                <w:color w:val="000000" w:themeColor="text1"/>
                <w:kern w:val="0"/>
                <w:sz w:val="21"/>
                <w:szCs w:val="21"/>
                <w:lang w:val="en-US" w:eastAsia="zh-CN" w:bidi="ar"/>
                <w14:textFill>
                  <w14:solidFill>
                    <w14:schemeClr w14:val="tx1"/>
                  </w14:solidFill>
                </w14:textFill>
              </w:rPr>
            </m:ctrlPr>
          </m:sSubPr>
          <m:e>
            <m:r>
              <m:rPr>
                <m:sty m:val="p"/>
              </m:rPr>
              <w:rPr>
                <w:rFonts w:hint="default" w:hAnsi="Cambria Math" w:cs="Cambria Math"/>
                <w:color w:val="000000" w:themeColor="text1"/>
                <w:kern w:val="0"/>
                <w:sz w:val="21"/>
                <w:szCs w:val="21"/>
                <w:lang w:val="en-US" w:eastAsia="zh-CN" w:bidi="ar"/>
                <w14:textFill>
                  <w14:solidFill>
                    <w14:schemeClr w14:val="tx1"/>
                  </w14:solidFill>
                </w14:textFill>
              </w:rPr>
              <m:t>τ</m:t>
            </m:r>
            <m:ctrlPr>
              <w:rPr>
                <w:rFonts w:hint="default" w:hAnsi="Cambria Math" w:cs="Cambria Math"/>
                <w:b w:val="0"/>
                <w:bCs w:val="0"/>
                <w:i w:val="0"/>
                <w:color w:val="000000" w:themeColor="text1"/>
                <w:kern w:val="0"/>
                <w:sz w:val="21"/>
                <w:szCs w:val="21"/>
                <w:lang w:val="en-US" w:eastAsia="zh-CN" w:bidi="ar"/>
                <w14:textFill>
                  <w14:solidFill>
                    <w14:schemeClr w14:val="tx1"/>
                  </w14:solidFill>
                </w14:textFill>
              </w:rPr>
            </m:ctrlPr>
          </m:e>
          <m:sub>
            <m:r>
              <m:rPr>
                <m:sty m:val="p"/>
              </m:rPr>
              <w:rPr>
                <w:rFonts w:hint="default" w:hAnsi="Cambria Math" w:cs="Cambria Math"/>
                <w:color w:val="000000" w:themeColor="text1"/>
                <w:kern w:val="0"/>
                <w:sz w:val="21"/>
                <w:szCs w:val="21"/>
                <w:lang w:val="en-US" w:eastAsia="zh-CN" w:bidi="ar"/>
                <w14:textFill>
                  <w14:solidFill>
                    <w14:schemeClr w14:val="tx1"/>
                  </w14:solidFill>
                </w14:textFill>
              </w:rPr>
              <m:t>T</m:t>
            </m:r>
            <m:ctrlPr>
              <w:rPr>
                <w:rFonts w:hint="default" w:hAnsi="Cambria Math" w:cs="Cambria Math"/>
                <w:b w:val="0"/>
                <w:bCs w:val="0"/>
                <w:i w:val="0"/>
                <w:color w:val="000000" w:themeColor="text1"/>
                <w:kern w:val="0"/>
                <w:sz w:val="21"/>
                <w:szCs w:val="21"/>
                <w:lang w:val="en-US" w:eastAsia="zh-CN" w:bidi="ar"/>
                <w14:textFill>
                  <w14:solidFill>
                    <w14:schemeClr w14:val="tx1"/>
                  </w14:solidFill>
                </w14:textFill>
              </w:rPr>
            </m:ctrlPr>
          </m:sub>
        </m:sSub>
        <m:d>
          <m:dPr>
            <m:ctrlPr>
              <w:rPr>
                <w:rFonts w:hint="default" w:hAnsi="Cambria Math" w:cs="Cambria Math"/>
                <w:b w:val="0"/>
                <w:bCs w:val="0"/>
                <w:i w:val="0"/>
                <w:color w:val="000000" w:themeColor="text1"/>
                <w:kern w:val="0"/>
                <w:sz w:val="21"/>
                <w:szCs w:val="21"/>
                <w:lang w:val="en-US" w:eastAsia="zh-CN" w:bidi="ar"/>
                <w14:textFill>
                  <w14:solidFill>
                    <w14:schemeClr w14:val="tx1"/>
                  </w14:solidFill>
                </w14:textFill>
              </w:rPr>
            </m:ctrlPr>
          </m:dPr>
          <m:e>
            <m:sSubSup>
              <m:sSubSupPr>
                <m:ctrlPr>
                  <w:rPr>
                    <w:rFonts w:hint="default" w:ascii="Cambria Math" w:hAnsi="Cambria Math" w:cs="Cambria Math"/>
                    <w:bCs w:val="0"/>
                    <w:i/>
                    <w:color w:val="000000" w:themeColor="text1"/>
                    <w:kern w:val="0"/>
                    <w:sz w:val="21"/>
                    <w:szCs w:val="21"/>
                    <w:lang w:val="en-US" w:eastAsia="zh-CN" w:bidi="ar"/>
                    <w14:textFill>
                      <w14:solidFill>
                        <w14:schemeClr w14:val="tx1"/>
                      </w14:solidFill>
                    </w14:textFill>
                  </w:rPr>
                </m:ctrlPr>
              </m:sSubSupPr>
              <m:e>
                <m:r>
                  <m:rPr/>
                  <w:rPr>
                    <w:rFonts w:hint="default" w:ascii="Cambria Math" w:hAnsi="Cambria Math" w:cs="Cambria Math"/>
                    <w:color w:val="000000" w:themeColor="text1"/>
                    <w:kern w:val="0"/>
                    <w:sz w:val="21"/>
                    <w:szCs w:val="21"/>
                    <w:lang w:val="en-US" w:eastAsia="zh-CN" w:bidi="ar"/>
                    <w14:textFill>
                      <w14:solidFill>
                        <w14:schemeClr w14:val="tx1"/>
                      </w14:solidFill>
                    </w14:textFill>
                  </w:rPr>
                  <m:t>T</m:t>
                </m:r>
                <m:ctrlPr>
                  <w:rPr>
                    <w:rFonts w:hint="default" w:ascii="Cambria Math" w:hAnsi="Cambria Math" w:cs="Cambria Math"/>
                    <w:bCs w:val="0"/>
                    <w:i/>
                    <w:color w:val="000000" w:themeColor="text1"/>
                    <w:kern w:val="0"/>
                    <w:sz w:val="21"/>
                    <w:szCs w:val="21"/>
                    <w:lang w:val="en-US" w:eastAsia="zh-CN" w:bidi="ar"/>
                    <w14:textFill>
                      <w14:solidFill>
                        <w14:schemeClr w14:val="tx1"/>
                      </w14:solidFill>
                    </w14:textFill>
                  </w:rPr>
                </m:ctrlPr>
              </m:e>
              <m:sub>
                <m:r>
                  <m:rPr/>
                  <w:rPr>
                    <w:rFonts w:hint="eastAsia" w:ascii="Cambria Math" w:hAnsi="Cambria Math" w:cs="Cambria Math"/>
                    <w:color w:val="000000" w:themeColor="text1"/>
                    <w:kern w:val="0"/>
                    <w:sz w:val="21"/>
                    <w:szCs w:val="21"/>
                    <w:lang w:val="en-US" w:eastAsia="zh-CN" w:bidi="ar"/>
                    <w14:textFill>
                      <w14:solidFill>
                        <w14:schemeClr w14:val="tx1"/>
                      </w14:solidFill>
                    </w14:textFill>
                  </w:rPr>
                  <m:t>i</m:t>
                </m:r>
                <m:ctrlPr>
                  <w:rPr>
                    <w:rFonts w:hint="default" w:ascii="Cambria Math" w:hAnsi="Cambria Math" w:cs="Cambria Math"/>
                    <w:bCs w:val="0"/>
                    <w:i/>
                    <w:color w:val="000000" w:themeColor="text1"/>
                    <w:kern w:val="0"/>
                    <w:sz w:val="21"/>
                    <w:szCs w:val="21"/>
                    <w:lang w:val="en-US" w:eastAsia="zh-CN" w:bidi="ar"/>
                    <w14:textFill>
                      <w14:solidFill>
                        <w14:schemeClr w14:val="tx1"/>
                      </w14:solidFill>
                    </w14:textFill>
                  </w:rPr>
                </m:ctrlPr>
              </m:sub>
              <m:sup>
                <m:r>
                  <m:rPr/>
                  <w:rPr>
                    <w:rFonts w:hint="default" w:ascii="Cambria Math" w:hAnsi="Cambria Math" w:cs="Cambria Math"/>
                    <w:color w:val="000000" w:themeColor="text1"/>
                    <w:kern w:val="0"/>
                    <w:sz w:val="21"/>
                    <w:szCs w:val="21"/>
                    <w:lang w:val="en-US" w:eastAsia="zh-CN" w:bidi="ar"/>
                    <w14:textFill>
                      <w14:solidFill>
                        <w14:schemeClr w14:val="tx1"/>
                      </w14:solidFill>
                    </w14:textFill>
                  </w:rPr>
                  <m:t>*</m:t>
                </m:r>
                <m:ctrlPr>
                  <w:rPr>
                    <w:rFonts w:hint="default" w:ascii="Cambria Math" w:hAnsi="Cambria Math" w:cs="Cambria Math"/>
                    <w:bCs w:val="0"/>
                    <w:i/>
                    <w:color w:val="000000" w:themeColor="text1"/>
                    <w:kern w:val="0"/>
                    <w:sz w:val="21"/>
                    <w:szCs w:val="21"/>
                    <w:lang w:val="en-US" w:eastAsia="zh-CN" w:bidi="ar"/>
                    <w14:textFill>
                      <w14:solidFill>
                        <w14:schemeClr w14:val="tx1"/>
                      </w14:solidFill>
                    </w14:textFill>
                  </w:rPr>
                </m:ctrlPr>
              </m:sup>
            </m:sSubSup>
            <m:r>
              <m:rPr/>
              <w:rPr>
                <w:rFonts w:hint="default" w:ascii="Cambria Math" w:hAnsi="Cambria Math" w:cs="Cambria Math"/>
                <w:color w:val="000000" w:themeColor="text1"/>
                <w:kern w:val="0"/>
                <w:sz w:val="21"/>
                <w:szCs w:val="21"/>
                <w:lang w:val="en-US" w:eastAsia="zh-CN" w:bidi="ar"/>
                <w14:textFill>
                  <w14:solidFill>
                    <w14:schemeClr w14:val="tx1"/>
                  </w14:solidFill>
                </w14:textFill>
              </w:rPr>
              <m:t>−</m:t>
            </m:r>
            <m:sSub>
              <m:sSubPr>
                <m:ctrlPr>
                  <m:rPr/>
                  <w:rPr>
                    <w:rFonts w:hint="default" w:ascii="Cambria Math" w:hAnsi="Cambria Math" w:cs="Cambria Math"/>
                    <w:bCs w:val="0"/>
                    <w:i/>
                    <w:color w:val="000000" w:themeColor="text1"/>
                    <w:kern w:val="0"/>
                    <w:sz w:val="21"/>
                    <w:szCs w:val="21"/>
                    <w:lang w:val="en-US" w:eastAsia="zh-CN" w:bidi="ar"/>
                    <w14:textFill>
                      <w14:solidFill>
                        <w14:schemeClr w14:val="tx1"/>
                      </w14:solidFill>
                    </w14:textFill>
                  </w:rPr>
                </m:ctrlPr>
              </m:sSubPr>
              <m:e>
                <m:r>
                  <m:rPr/>
                  <w:rPr>
                    <w:rFonts w:hint="default" w:ascii="Cambria Math" w:hAnsi="Cambria Math" w:cs="Cambria Math"/>
                    <w:color w:val="000000" w:themeColor="text1"/>
                    <w:kern w:val="0"/>
                    <w:sz w:val="21"/>
                    <w:szCs w:val="21"/>
                    <w:lang w:val="en-US" w:eastAsia="zh-CN" w:bidi="ar"/>
                    <w14:textFill>
                      <w14:solidFill>
                        <w14:schemeClr w14:val="tx1"/>
                      </w14:solidFill>
                    </w14:textFill>
                  </w:rPr>
                  <m:t>T</m:t>
                </m:r>
                <m:ctrlPr>
                  <m:rPr/>
                  <w:rPr>
                    <w:rFonts w:hint="default" w:ascii="Cambria Math" w:hAnsi="Cambria Math" w:cs="Cambria Math"/>
                    <w:bCs w:val="0"/>
                    <w:i/>
                    <w:color w:val="000000" w:themeColor="text1"/>
                    <w:kern w:val="0"/>
                    <w:sz w:val="21"/>
                    <w:szCs w:val="21"/>
                    <w:lang w:val="en-US" w:eastAsia="zh-CN" w:bidi="ar"/>
                    <w14:textFill>
                      <w14:solidFill>
                        <w14:schemeClr w14:val="tx1"/>
                      </w14:solidFill>
                    </w14:textFill>
                  </w:rPr>
                </m:ctrlPr>
              </m:e>
              <m:sub>
                <m:r>
                  <m:rPr/>
                  <w:rPr>
                    <w:rFonts w:hint="default" w:ascii="Cambria Math" w:hAnsi="Cambria Math" w:cs="Cambria Math"/>
                    <w:color w:val="000000" w:themeColor="text1"/>
                    <w:kern w:val="0"/>
                    <w:sz w:val="21"/>
                    <w:szCs w:val="21"/>
                    <w:lang w:val="en-US" w:eastAsia="zh-CN" w:bidi="ar"/>
                    <w14:textFill>
                      <w14:solidFill>
                        <w14:schemeClr w14:val="tx1"/>
                      </w14:solidFill>
                    </w14:textFill>
                  </w:rPr>
                  <m:t>i</m:t>
                </m:r>
                <m:ctrlPr>
                  <m:rPr/>
                  <w:rPr>
                    <w:rFonts w:hint="default" w:ascii="Cambria Math" w:hAnsi="Cambria Math" w:cs="Cambria Math"/>
                    <w:bCs w:val="0"/>
                    <w:i/>
                    <w:color w:val="000000" w:themeColor="text1"/>
                    <w:kern w:val="0"/>
                    <w:sz w:val="21"/>
                    <w:szCs w:val="21"/>
                    <w:lang w:val="en-US" w:eastAsia="zh-CN" w:bidi="ar"/>
                    <w14:textFill>
                      <w14:solidFill>
                        <w14:schemeClr w14:val="tx1"/>
                      </w14:solidFill>
                    </w14:textFill>
                  </w:rPr>
                </m:ctrlPr>
              </m:sub>
            </m:sSub>
            <m:ctrlPr>
              <w:rPr>
                <w:rFonts w:hint="default" w:hAnsi="Cambria Math" w:cs="Cambria Math"/>
                <w:b w:val="0"/>
                <w:bCs w:val="0"/>
                <w:i w:val="0"/>
                <w:color w:val="000000" w:themeColor="text1"/>
                <w:kern w:val="0"/>
                <w:sz w:val="21"/>
                <w:szCs w:val="21"/>
                <w:lang w:val="en-US" w:eastAsia="zh-CN" w:bidi="ar"/>
                <w14:textFill>
                  <w14:solidFill>
                    <w14:schemeClr w14:val="tx1"/>
                  </w14:solidFill>
                </w14:textFill>
              </w:rPr>
            </m:ctrlPr>
          </m:e>
        </m:d>
      </m:oMath>
      <w:r>
        <w:rPr>
          <w:rFonts w:hint="eastAsia" w:hAnsi="Cambria Math" w:cs="Cambria Math"/>
          <w:b w:val="0"/>
          <w:bCs w:val="0"/>
          <w:i w:val="0"/>
          <w:color w:val="000000" w:themeColor="text1"/>
          <w:kern w:val="0"/>
          <w:sz w:val="21"/>
          <w:szCs w:val="21"/>
          <w:lang w:val="en-US" w:eastAsia="zh-CN" w:bidi="ar"/>
          <w14:textFill>
            <w14:solidFill>
              <w14:schemeClr w14:val="tx1"/>
            </w14:solidFill>
          </w14:textFill>
        </w:rPr>
        <w:t>。学习成本的更新采用类似结构，目标值受数字政府水平、数字素养、平台复杂度和情绪暴露共同影响，更新速率为 0.08。逼近机制使信任和成本具有惯性，防止单步随机事件导致剧烈波动。完整的系数与公式见附录A。</w:t>
      </w:r>
    </w:p>
    <w:p w14:paraId="44123B24">
      <w:pPr>
        <w:pStyle w:val="3"/>
        <w:keepNext w:val="0"/>
        <w:keepLines w:val="0"/>
        <w:widowControl/>
        <w:suppressLineNumbers w:val="0"/>
        <w:spacing w:before="0" w:beforeAutospacing="0" w:after="0" w:afterAutospacing="0" w:line="360" w:lineRule="auto"/>
        <w:ind w:left="0" w:right="0"/>
        <w:jc w:val="both"/>
        <w:rPr>
          <w:rFonts w:hint="eastAsia" w:ascii="Times New Roman" w:hAnsi="Times New Roman" w:cs="Times New Roman"/>
          <w:b/>
          <w:bCs/>
          <w:i w:val="0"/>
          <w:iCs w:val="0"/>
          <w:caps w:val="0"/>
          <w:strike w:val="0"/>
          <w:color w:val="auto"/>
          <w:spacing w:val="0"/>
          <w:sz w:val="24"/>
          <w:szCs w:val="27"/>
          <w:u w:val="none"/>
          <w:lang w:val="en-US" w:eastAsia="zh-CN"/>
        </w:rPr>
      </w:pPr>
      <w:r>
        <w:rPr>
          <w:rFonts w:hint="eastAsia" w:ascii="Times New Roman" w:hAnsi="Times New Roman" w:cs="Times New Roman"/>
          <w:b/>
          <w:bCs/>
          <w:i w:val="0"/>
          <w:iCs w:val="0"/>
          <w:caps w:val="0"/>
          <w:strike w:val="0"/>
          <w:color w:val="auto"/>
          <w:spacing w:val="0"/>
          <w:sz w:val="24"/>
          <w:szCs w:val="27"/>
          <w:u w:val="none"/>
          <w:lang w:val="en-US" w:eastAsia="zh-CN"/>
        </w:rPr>
        <w:t>3.5</w:t>
      </w:r>
      <w:r>
        <w:rPr>
          <w:rFonts w:hint="default" w:ascii="Times New Roman" w:hAnsi="Times New Roman" w:cs="Times New Roman"/>
          <w:b/>
          <w:bCs/>
          <w:i w:val="0"/>
          <w:iCs w:val="0"/>
          <w:caps w:val="0"/>
          <w:strike w:val="0"/>
          <w:color w:val="auto"/>
          <w:spacing w:val="0"/>
          <w:sz w:val="24"/>
          <w:szCs w:val="27"/>
          <w:u w:val="none"/>
          <w:lang w:val="en-US" w:eastAsia="zh-CN"/>
        </w:rPr>
        <w:t>信息环境与交互时序</w:t>
      </w:r>
    </w:p>
    <w:p w14:paraId="79B36950">
      <w:pPr>
        <w:keepNext w:val="0"/>
        <w:keepLines w:val="0"/>
        <w:widowControl/>
        <w:suppressLineNumbers w:val="0"/>
        <w:ind w:firstLine="420" w:firstLineChars="200"/>
        <w:jc w:val="left"/>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每条信息包含：唯一ID、议题标签、情绪强度 [0,1]、当前热度（初始为0，每互动一次+1）、信息来源（政府或自发）、创建时间步。</w:t>
      </w:r>
    </w:p>
    <w:p w14:paraId="006FBDC4">
      <w:pPr>
        <w:keepNext w:val="0"/>
        <w:keepLines w:val="0"/>
        <w:widowControl/>
        <w:suppressLineNumbers w:val="0"/>
        <w:ind w:firstLine="420" w:firstLineChars="200"/>
        <w:jc w:val="left"/>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自发信息生成：初始化时生成24条自发信息，之后每步生成4条。议题从四个类别中随机抽取。非议程信息（娱乐热点）的情绪强度从 Beta(4,2) 中抽取，议程内信息从 Beta(2,3) 中抽取，前者在统计上具有更高的初始情绪强度——这是模型中“情绪优势”机制的微观基础。</w:t>
      </w:r>
    </w:p>
    <w:p w14:paraId="127E4DEE">
      <w:pPr>
        <w:keepNext w:val="0"/>
        <w:keepLines w:val="0"/>
        <w:widowControl/>
        <w:suppressLineNumbers w:val="0"/>
        <w:ind w:firstLine="420" w:firstLineChars="200"/>
        <w:jc w:val="left"/>
        <m:rPr/>
        <w:rPr>
          <w:rFonts w:hint="eastAsia" w:hAnsi="Cambria Math" w:cs="Times New Roman"/>
          <w:bCs w:val="0"/>
          <w:i w:val="0"/>
          <w:color w:val="000000" w:themeColor="text1"/>
          <w:kern w:val="0"/>
          <w:sz w:val="21"/>
          <w:szCs w:val="21"/>
          <w:lang w:val="en-US" w:eastAsia="zh-CN" w:bidi="ar"/>
          <w14:textFill>
            <w14:solidFill>
              <w14:schemeClr w14:val="tx1"/>
            </w14:solidFill>
          </w14:textFill>
        </w:rPr>
      </w:pPr>
      <w: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热度衰减与清理：每步结束后，所有信息热度乘以衰减率</w:t>
      </w:r>
      <m:oMath>
        <m:r>
          <m:rPr/>
          <w:rPr>
            <w:rFonts w:ascii="Cambria Math" w:hAnsi="Cambria Math" w:cs="Times New Roman"/>
            <w:color w:val="000000" w:themeColor="text1"/>
            <w:kern w:val="0"/>
            <w:sz w:val="21"/>
            <w:szCs w:val="21"/>
            <w:lang w:val="en-US" w:bidi="ar"/>
            <w14:textFill>
              <w14:solidFill>
                <w14:schemeClr w14:val="tx1"/>
              </w14:solidFill>
            </w14:textFill>
          </w:rPr>
          <m:t>λ</m:t>
        </m:r>
        <m:r>
          <m:rPr/>
          <w:rPr>
            <w:rFonts w:hint="default" w:ascii="Cambria Math" w:hAnsi="Cambria Math" w:cs="Times New Roman"/>
            <w:color w:val="000000" w:themeColor="text1"/>
            <w:kern w:val="0"/>
            <w:sz w:val="21"/>
            <w:szCs w:val="21"/>
            <w:lang w:val="en-US" w:eastAsia="zh-CN" w:bidi="ar"/>
            <w14:textFill>
              <w14:solidFill>
                <w14:schemeClr w14:val="tx1"/>
              </w14:solidFill>
            </w14:textFill>
          </w:rPr>
          <m:t>=0.95</m:t>
        </m:r>
      </m:oMath>
      <w:r>
        <m:rPr/>
        <w:rPr>
          <w:rFonts w:hint="eastAsia" w:hAnsi="Cambria Math" w:cs="Times New Roman"/>
          <w:bCs w:val="0"/>
          <w:i w:val="0"/>
          <w:color w:val="000000" w:themeColor="text1"/>
          <w:kern w:val="0"/>
          <w:sz w:val="21"/>
          <w:szCs w:val="21"/>
          <w:lang w:val="en-US" w:eastAsia="zh-CN" w:bidi="ar"/>
          <w14:textFill>
            <w14:solidFill>
              <w14:schemeClr w14:val="tx1"/>
            </w14:solidFill>
          </w14:textFill>
        </w:rPr>
        <w:t>；热度低于 0.01 的信息被移出信息池。新创建的信息享有一个时间步的保护期，确保至少有一次进入推荐的机会。</w:t>
      </w:r>
    </w:p>
    <w:p w14:paraId="0C9CFE4B">
      <w:pPr>
        <w:keepNext w:val="0"/>
        <w:keepLines w:val="0"/>
        <w:widowControl/>
        <w:suppressLineNumbers w:val="0"/>
        <w:ind w:firstLine="420" w:firstLineChars="200"/>
        <w:jc w:val="left"/>
        <m:rPr/>
        <w:rPr>
          <w:rFonts w:hint="eastAsia" w:hAnsi="Cambria Math" w:cs="Times New Roman"/>
          <w:bCs w:val="0"/>
          <w:i w:val="0"/>
          <w:color w:val="000000" w:themeColor="text1"/>
          <w:kern w:val="0"/>
          <w:sz w:val="21"/>
          <w:szCs w:val="21"/>
          <w:lang w:val="en-US" w:eastAsia="zh-CN" w:bidi="ar"/>
          <w14:textFill>
            <w14:solidFill>
              <w14:schemeClr w14:val="tx1"/>
            </w14:solidFill>
          </w14:textFill>
        </w:rPr>
      </w:pPr>
      <w:r>
        <m:rPr/>
        <w:rPr>
          <w:rFonts w:hint="eastAsia" w:hAnsi="Cambria Math" w:cs="Times New Roman"/>
          <w:bCs w:val="0"/>
          <w:i w:val="0"/>
          <w:color w:val="000000" w:themeColor="text1"/>
          <w:kern w:val="0"/>
          <w:sz w:val="21"/>
          <w:szCs w:val="21"/>
          <w:lang w:val="en-US" w:eastAsia="zh-CN" w:bidi="ar"/>
          <w14:textFill>
            <w14:solidFill>
              <w14:schemeClr w14:val="tx1"/>
            </w14:solidFill>
          </w14:textFill>
        </w:rPr>
        <w:t>具体时间步执行顺序为：</w:t>
      </w:r>
      <w:r>
        <m:rPr/>
        <w:rPr>
          <w:rFonts w:hint="default" w:hAnsi="Cambria Math" w:cs="Times New Roman"/>
          <w:bCs w:val="0"/>
          <w:i w:val="0"/>
          <w:color w:val="000000" w:themeColor="text1"/>
          <w:kern w:val="0"/>
          <w:sz w:val="21"/>
          <w:szCs w:val="21"/>
          <w:lang w:val="en-US" w:eastAsia="zh-CN" w:bidi="ar"/>
          <w14:textFill>
            <w14:solidFill>
              <w14:schemeClr w14:val="tx1"/>
            </w14:solidFill>
          </w14:textFill>
        </w:rPr>
        <w:t>政府行动→检查议程发布与执行到期回应→生成新的自发信息→平台为每位公众生成推荐列表→公众消费、互动、偏好漂移、信任更新→政府监测舆情并安排未来回应→信息热度衰减与清理</w:t>
      </w:r>
      <w:r>
        <m:rPr/>
        <w:rPr>
          <w:rFonts w:hint="eastAsia" w:hAnsi="Cambria Math" w:cs="Times New Roman"/>
          <w:bCs w:val="0"/>
          <w:i w:val="0"/>
          <w:color w:val="000000" w:themeColor="text1"/>
          <w:kern w:val="0"/>
          <w:sz w:val="21"/>
          <w:szCs w:val="21"/>
          <w:lang w:val="en-US" w:eastAsia="zh-CN" w:bidi="ar"/>
          <w14:textFill>
            <w14:solidFill>
              <w14:schemeClr w14:val="tx1"/>
            </w14:solidFill>
          </w14:textFill>
        </w:rPr>
        <w:t>。该顺序遵循先行动、后计算原则，智能体先完成状态更新，再基于更新后的状态计算系统指标。执行顺序的敏感性已在附录中检验。</w:t>
      </w:r>
    </w:p>
    <w:p w14:paraId="53554000">
      <w:pPr>
        <w:pStyle w:val="3"/>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b/>
          <w:bCs/>
          <w:i w:val="0"/>
          <w:iCs w:val="0"/>
          <w:caps w:val="0"/>
          <w:strike w:val="0"/>
          <w:color w:val="auto"/>
          <w:spacing w:val="0"/>
          <w:sz w:val="24"/>
          <w:szCs w:val="27"/>
          <w:u w:val="none"/>
          <w:lang w:val="en-US" w:eastAsia="zh-CN"/>
        </w:rPr>
      </w:pPr>
      <w:r>
        <m:rPr/>
        <w:rPr>
          <w:rFonts w:hint="eastAsia" w:ascii="Times New Roman" w:hAnsi="Times New Roman" w:cs="Times New Roman"/>
          <w:b/>
          <w:bCs/>
          <w:i w:val="0"/>
          <w:iCs w:val="0"/>
          <w:caps w:val="0"/>
          <w:strike w:val="0"/>
          <w:color w:val="auto"/>
          <w:spacing w:val="0"/>
          <w:sz w:val="24"/>
          <w:szCs w:val="27"/>
          <w:u w:val="none"/>
          <w:lang w:val="en-US" w:eastAsia="zh-CN"/>
        </w:rPr>
        <w:t>3.6</w:t>
      </w:r>
      <w:r>
        <w:rPr>
          <w:rFonts w:hint="default" w:ascii="Times New Roman" w:hAnsi="Times New Roman" w:cs="Times New Roman"/>
          <w:b/>
          <w:bCs/>
          <w:i w:val="0"/>
          <w:iCs w:val="0"/>
          <w:caps w:val="0"/>
          <w:strike w:val="0"/>
          <w:color w:val="auto"/>
          <w:spacing w:val="0"/>
          <w:sz w:val="24"/>
          <w:szCs w:val="27"/>
          <w:u w:val="none"/>
          <w:lang w:val="en-US" w:eastAsia="zh-CN"/>
        </w:rPr>
        <w:t>关键参数设定</w:t>
      </w:r>
    </w:p>
    <w:p w14:paraId="0B53E551">
      <w:pPr>
        <w:keepNext w:val="0"/>
        <w:keepLines w:val="0"/>
        <w:widowControl/>
        <w:suppressLineNumbers w:val="0"/>
        <w:ind w:firstLine="420" w:firstLineChars="200"/>
        <w:jc w:val="left"/>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表</w:t>
      </w:r>
      <w:r>
        <m:rP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N</w:t>
      </w: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报告了模型的核心参数及其设定依据。所有参数的精确取值均通过敏感性分析检验（附录S2），临界点位置在参数扰动下的漂移幅度不超过 ±0.05，核心结论对参数设定不敏感。</w:t>
      </w:r>
    </w:p>
    <w:p w14:paraId="1BF7E79F">
      <w:pPr>
        <w:keepNext w:val="0"/>
        <w:keepLines w:val="0"/>
        <w:widowControl/>
        <w:suppressLineNumbers w:val="0"/>
        <w:ind w:firstLine="420" w:firstLineChars="200"/>
        <w:jc w:val="left"/>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p>
    <w:tbl>
      <w:tblPr>
        <w:tblW w:w="66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6"/>
        <w:gridCol w:w="1187"/>
        <w:gridCol w:w="1388"/>
        <w:gridCol w:w="3011"/>
      </w:tblGrid>
      <w:tr w14:paraId="35C85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086" w:type="dxa"/>
            <w:tcBorders>
              <w:top w:val="nil"/>
              <w:left w:val="nil"/>
              <w:bottom w:val="nil"/>
              <w:right w:val="nil"/>
            </w:tcBorders>
            <w:shd w:val="clear" w:color="auto" w:fill="FFFFFF"/>
            <w:vAlign w:val="center"/>
          </w:tcPr>
          <w:p w14:paraId="6D9A67E0">
            <w:pPr>
              <w:keepNext w:val="0"/>
              <w:keepLines w:val="0"/>
              <w:widowControl/>
              <w:suppressLineNumbers w:val="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参数</w:t>
            </w:r>
          </w:p>
        </w:tc>
        <w:tc>
          <w:tcPr>
            <w:tcW w:w="1187" w:type="dxa"/>
            <w:tcBorders>
              <w:top w:val="nil"/>
              <w:left w:val="nil"/>
              <w:bottom w:val="nil"/>
              <w:right w:val="nil"/>
            </w:tcBorders>
            <w:shd w:val="clear" w:color="auto" w:fill="FFFFFF"/>
            <w:vAlign w:val="center"/>
          </w:tcPr>
          <w:p w14:paraId="43EBA087">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符号</w:t>
            </w:r>
          </w:p>
        </w:tc>
        <w:tc>
          <w:tcPr>
            <w:tcW w:w="1388" w:type="dxa"/>
            <w:tcBorders>
              <w:top w:val="nil"/>
              <w:left w:val="nil"/>
              <w:bottom w:val="nil"/>
              <w:right w:val="nil"/>
            </w:tcBorders>
            <w:shd w:val="clear" w:color="auto" w:fill="FFFFFF"/>
            <w:vAlign w:val="center"/>
          </w:tcPr>
          <w:p w14:paraId="478FA748">
            <w:pPr>
              <w:keepNext w:val="0"/>
              <w:keepLines w:val="0"/>
              <w:widowControl/>
              <w:suppressLineNumbers w:val="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默认值</w:t>
            </w:r>
          </w:p>
        </w:tc>
        <w:tc>
          <w:tcPr>
            <w:tcW w:w="3011" w:type="dxa"/>
            <w:tcBorders>
              <w:top w:val="nil"/>
              <w:left w:val="nil"/>
              <w:bottom w:val="nil"/>
              <w:right w:val="nil"/>
            </w:tcBorders>
            <w:shd w:val="clear" w:color="auto" w:fill="FFFFFF"/>
            <w:vAlign w:val="center"/>
          </w:tcPr>
          <w:p w14:paraId="72AFFE61">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设定依据</w:t>
            </w:r>
          </w:p>
        </w:tc>
      </w:tr>
      <w:tr w14:paraId="17CCC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1086" w:type="dxa"/>
            <w:tcBorders>
              <w:top w:val="nil"/>
              <w:left w:val="nil"/>
              <w:bottom w:val="nil"/>
              <w:right w:val="nil"/>
            </w:tcBorders>
            <w:shd w:val="clear" w:color="auto" w:fill="FFFFFF"/>
            <w:vAlign w:val="center"/>
          </w:tcPr>
          <w:p w14:paraId="530BA842">
            <w:pPr>
              <w:keepNext w:val="0"/>
              <w:keepLines w:val="0"/>
              <w:widowControl/>
              <w:suppressLineNumbers w:val="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公众数量</w:t>
            </w:r>
          </w:p>
        </w:tc>
        <w:tc>
          <w:tcPr>
            <w:tcW w:w="1187" w:type="dxa"/>
            <w:tcBorders>
              <w:top w:val="nil"/>
              <w:left w:val="nil"/>
              <w:bottom w:val="nil"/>
              <w:right w:val="nil"/>
            </w:tcBorders>
            <w:shd w:val="clear" w:color="auto" w:fill="FFFFFF"/>
            <w:vAlign w:val="center"/>
          </w:tcPr>
          <w:p w14:paraId="4472C1B8">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N</w:t>
            </w:r>
          </w:p>
        </w:tc>
        <w:tc>
          <w:tcPr>
            <w:tcW w:w="1388" w:type="dxa"/>
            <w:tcBorders>
              <w:top w:val="nil"/>
              <w:left w:val="nil"/>
              <w:bottom w:val="nil"/>
              <w:right w:val="nil"/>
            </w:tcBorders>
            <w:shd w:val="clear" w:color="auto" w:fill="FFFFFF"/>
            <w:vAlign w:val="center"/>
          </w:tcPr>
          <w:p w14:paraId="742AD168">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300</w:t>
            </w:r>
          </w:p>
        </w:tc>
        <w:tc>
          <w:tcPr>
            <w:tcW w:w="3011" w:type="dxa"/>
            <w:tcBorders>
              <w:top w:val="nil"/>
              <w:left w:val="nil"/>
              <w:bottom w:val="nil"/>
              <w:right w:val="nil"/>
            </w:tcBorders>
            <w:shd w:val="clear" w:color="auto" w:fill="FFFFFF"/>
            <w:vAlign w:val="center"/>
          </w:tcPr>
          <w:p w14:paraId="425475B5">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统计稳定性与计算成本的平衡</w:t>
            </w:r>
          </w:p>
        </w:tc>
      </w:tr>
      <w:tr w14:paraId="0195D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35" w:hRule="atLeast"/>
          <w:jc w:val="center"/>
        </w:trPr>
        <w:tc>
          <w:tcPr>
            <w:tcW w:w="1086" w:type="dxa"/>
            <w:tcBorders>
              <w:top w:val="nil"/>
              <w:left w:val="nil"/>
              <w:bottom w:val="nil"/>
              <w:right w:val="nil"/>
            </w:tcBorders>
            <w:shd w:val="clear" w:color="auto" w:fill="FFFFFF"/>
            <w:vAlign w:val="center"/>
          </w:tcPr>
          <w:p w14:paraId="1BEDB12F">
            <w:pPr>
              <w:keepNext w:val="0"/>
              <w:keepLines w:val="0"/>
              <w:widowControl/>
              <w:suppressLineNumbers w:val="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仿真步数</w:t>
            </w:r>
          </w:p>
        </w:tc>
        <w:tc>
          <w:tcPr>
            <w:tcW w:w="1187" w:type="dxa"/>
            <w:tcBorders>
              <w:top w:val="nil"/>
              <w:left w:val="nil"/>
              <w:bottom w:val="nil"/>
              <w:right w:val="nil"/>
            </w:tcBorders>
            <w:shd w:val="clear" w:color="auto" w:fill="FFFFFF"/>
            <w:vAlign w:val="center"/>
          </w:tcPr>
          <w:p w14:paraId="6809014D">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S</w:t>
            </w:r>
          </w:p>
        </w:tc>
        <w:tc>
          <w:tcPr>
            <w:tcW w:w="1388" w:type="dxa"/>
            <w:tcBorders>
              <w:top w:val="nil"/>
              <w:left w:val="nil"/>
              <w:bottom w:val="nil"/>
              <w:right w:val="nil"/>
            </w:tcBorders>
            <w:shd w:val="clear" w:color="auto" w:fill="FFFFFF"/>
            <w:vAlign w:val="center"/>
          </w:tcPr>
          <w:p w14:paraId="395E66B7">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300</w:t>
            </w:r>
          </w:p>
        </w:tc>
        <w:tc>
          <w:tcPr>
            <w:tcW w:w="3011" w:type="dxa"/>
            <w:tcBorders>
              <w:top w:val="nil"/>
              <w:left w:val="nil"/>
              <w:bottom w:val="nil"/>
              <w:right w:val="nil"/>
            </w:tcBorders>
            <w:shd w:val="clear" w:color="auto" w:fill="FFFFFF"/>
            <w:vAlign w:val="center"/>
          </w:tcPr>
          <w:p w14:paraId="2FC5D469">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确保系统达到稳定状态</w:t>
            </w:r>
          </w:p>
        </w:tc>
      </w:tr>
      <w:tr w14:paraId="1816B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3" w:hRule="atLeast"/>
          <w:jc w:val="center"/>
        </w:trPr>
        <w:tc>
          <w:tcPr>
            <w:tcW w:w="1086" w:type="dxa"/>
            <w:tcBorders>
              <w:top w:val="nil"/>
              <w:left w:val="nil"/>
              <w:bottom w:val="nil"/>
              <w:right w:val="nil"/>
            </w:tcBorders>
            <w:shd w:val="clear" w:color="auto" w:fill="FFFFFF"/>
            <w:vAlign w:val="center"/>
          </w:tcPr>
          <w:p w14:paraId="79D18A48">
            <w:pPr>
              <w:keepNext w:val="0"/>
              <w:keepLines w:val="0"/>
              <w:widowControl/>
              <w:suppressLineNumbers w:val="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稳态窗口</w:t>
            </w:r>
          </w:p>
        </w:tc>
        <w:tc>
          <w:tcPr>
            <w:tcW w:w="1187" w:type="dxa"/>
            <w:tcBorders>
              <w:top w:val="nil"/>
              <w:left w:val="nil"/>
              <w:bottom w:val="nil"/>
              <w:right w:val="nil"/>
            </w:tcBorders>
            <w:shd w:val="clear" w:color="auto" w:fill="FFFFFF"/>
            <w:vAlign w:val="center"/>
          </w:tcPr>
          <w:p w14:paraId="69752809">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w:t>
            </w:r>
          </w:p>
        </w:tc>
        <w:tc>
          <w:tcPr>
            <w:tcW w:w="1388" w:type="dxa"/>
            <w:tcBorders>
              <w:top w:val="nil"/>
              <w:left w:val="nil"/>
              <w:bottom w:val="nil"/>
              <w:right w:val="nil"/>
            </w:tcBorders>
            <w:shd w:val="clear" w:color="auto" w:fill="FFFFFF"/>
            <w:vAlign w:val="center"/>
          </w:tcPr>
          <w:p w14:paraId="549E8582">
            <w:pPr>
              <w:keepNext w:val="0"/>
              <w:keepLines w:val="0"/>
              <w:widowControl/>
              <w:suppressLineNumbers w:val="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最后100步</w:t>
            </w:r>
          </w:p>
        </w:tc>
        <w:tc>
          <w:tcPr>
            <w:tcW w:w="3011" w:type="dxa"/>
            <w:tcBorders>
              <w:top w:val="nil"/>
              <w:left w:val="nil"/>
              <w:bottom w:val="nil"/>
              <w:right w:val="nil"/>
            </w:tcBorders>
            <w:shd w:val="clear" w:color="auto" w:fill="FFFFFF"/>
            <w:vAlign w:val="center"/>
          </w:tcPr>
          <w:p w14:paraId="4F4A8AD9">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避开初始化过渡阶段</w:t>
            </w:r>
          </w:p>
        </w:tc>
      </w:tr>
      <w:tr w14:paraId="31B65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3" w:hRule="atLeast"/>
          <w:jc w:val="center"/>
        </w:trPr>
        <w:tc>
          <w:tcPr>
            <w:tcW w:w="1086" w:type="dxa"/>
            <w:tcBorders>
              <w:top w:val="nil"/>
              <w:left w:val="nil"/>
              <w:bottom w:val="nil"/>
              <w:right w:val="nil"/>
            </w:tcBorders>
            <w:shd w:val="clear" w:color="auto" w:fill="FFFFFF"/>
            <w:vAlign w:val="center"/>
          </w:tcPr>
          <w:p w14:paraId="26F42120">
            <w:pPr>
              <w:keepNext w:val="0"/>
              <w:keepLines w:val="0"/>
              <w:widowControl/>
              <w:suppressLineNumbers w:val="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注意力预算</w:t>
            </w:r>
          </w:p>
        </w:tc>
        <w:tc>
          <w:tcPr>
            <w:tcW w:w="1187" w:type="dxa"/>
            <w:tcBorders>
              <w:top w:val="nil"/>
              <w:left w:val="nil"/>
              <w:bottom w:val="nil"/>
              <w:right w:val="nil"/>
            </w:tcBorders>
            <w:shd w:val="clear" w:color="auto" w:fill="FFFFFF"/>
            <w:vAlign w:val="center"/>
          </w:tcPr>
          <w:p w14:paraId="39579392">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K</w:t>
            </w:r>
          </w:p>
        </w:tc>
        <w:tc>
          <w:tcPr>
            <w:tcW w:w="1388" w:type="dxa"/>
            <w:tcBorders>
              <w:top w:val="nil"/>
              <w:left w:val="nil"/>
              <w:bottom w:val="nil"/>
              <w:right w:val="nil"/>
            </w:tcBorders>
            <w:shd w:val="clear" w:color="auto" w:fill="FFFFFF"/>
            <w:vAlign w:val="center"/>
          </w:tcPr>
          <w:p w14:paraId="56FEAB62">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5</w:t>
            </w:r>
          </w:p>
        </w:tc>
        <w:tc>
          <w:tcPr>
            <w:tcW w:w="3011" w:type="dxa"/>
            <w:tcBorders>
              <w:top w:val="nil"/>
              <w:left w:val="nil"/>
              <w:bottom w:val="nil"/>
              <w:right w:val="nil"/>
            </w:tcBorders>
            <w:shd w:val="clear" w:color="auto" w:fill="FFFFFF"/>
            <w:vAlign w:val="center"/>
          </w:tcPr>
          <w:p w14:paraId="53DC6981">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Miller(1956) 7±2的保守估计</w:t>
            </w:r>
          </w:p>
        </w:tc>
      </w:tr>
      <w:tr w14:paraId="398D8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7" w:hRule="atLeast"/>
          <w:jc w:val="center"/>
        </w:trPr>
        <w:tc>
          <w:tcPr>
            <w:tcW w:w="1086" w:type="dxa"/>
            <w:tcBorders>
              <w:top w:val="nil"/>
              <w:left w:val="nil"/>
              <w:bottom w:val="nil"/>
              <w:right w:val="nil"/>
            </w:tcBorders>
            <w:shd w:val="clear" w:color="auto" w:fill="FFFFFF"/>
            <w:vAlign w:val="center"/>
          </w:tcPr>
          <w:p w14:paraId="68F06282">
            <w:pPr>
              <w:keepNext w:val="0"/>
              <w:keepLines w:val="0"/>
              <w:widowControl/>
              <w:suppressLineNumbers w:val="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偏好漂移速率</w:t>
            </w:r>
          </w:p>
        </w:tc>
        <w:tc>
          <w:tcPr>
            <w:tcW w:w="1187" w:type="dxa"/>
            <w:tcBorders>
              <w:top w:val="nil"/>
              <w:left w:val="nil"/>
              <w:bottom w:val="nil"/>
              <w:right w:val="nil"/>
            </w:tcBorders>
            <w:shd w:val="clear" w:color="auto" w:fill="FFFFFF"/>
            <w:vAlign w:val="center"/>
          </w:tcPr>
          <w:p w14:paraId="7D8AC433">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γ</w:t>
            </w:r>
          </w:p>
        </w:tc>
        <w:tc>
          <w:tcPr>
            <w:tcW w:w="1388" w:type="dxa"/>
            <w:tcBorders>
              <w:top w:val="nil"/>
              <w:left w:val="nil"/>
              <w:bottom w:val="nil"/>
              <w:right w:val="nil"/>
            </w:tcBorders>
            <w:shd w:val="clear" w:color="auto" w:fill="FFFFFF"/>
            <w:vAlign w:val="center"/>
          </w:tcPr>
          <w:p w14:paraId="1BE50680">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0.03</w:t>
            </w:r>
          </w:p>
        </w:tc>
        <w:tc>
          <w:tcPr>
            <w:tcW w:w="3011" w:type="dxa"/>
            <w:tcBorders>
              <w:top w:val="nil"/>
              <w:left w:val="nil"/>
              <w:bottom w:val="nil"/>
              <w:right w:val="nil"/>
            </w:tcBorders>
            <w:shd w:val="clear" w:color="auto" w:fill="FFFFFF"/>
            <w:vAlign w:val="center"/>
          </w:tcPr>
          <w:p w14:paraId="7FAF8D34">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确保偏好演化平滑而非突变</w:t>
            </w:r>
          </w:p>
        </w:tc>
      </w:tr>
      <w:tr w14:paraId="123A1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jc w:val="center"/>
        </w:trPr>
        <w:tc>
          <w:tcPr>
            <w:tcW w:w="1086" w:type="dxa"/>
            <w:tcBorders>
              <w:top w:val="nil"/>
              <w:left w:val="nil"/>
              <w:bottom w:val="nil"/>
              <w:right w:val="nil"/>
            </w:tcBorders>
            <w:shd w:val="clear" w:color="auto" w:fill="FFFFFF"/>
            <w:vAlign w:val="center"/>
          </w:tcPr>
          <w:p w14:paraId="0BAD5EEB">
            <w:pPr>
              <w:keepNext w:val="0"/>
              <w:keepLines w:val="0"/>
              <w:widowControl/>
              <w:suppressLineNumbers w:val="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偏好漂移阈值</w:t>
            </w:r>
          </w:p>
        </w:tc>
        <w:tc>
          <w:tcPr>
            <w:tcW w:w="1187" w:type="dxa"/>
            <w:tcBorders>
              <w:top w:val="nil"/>
              <w:left w:val="nil"/>
              <w:bottom w:val="nil"/>
              <w:right w:val="nil"/>
            </w:tcBorders>
            <w:shd w:val="clear" w:color="auto" w:fill="FFFFFF"/>
            <w:vAlign w:val="center"/>
          </w:tcPr>
          <w:p w14:paraId="5C790F10">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TT</w:t>
            </w:r>
          </w:p>
        </w:tc>
        <w:tc>
          <w:tcPr>
            <w:tcW w:w="1388" w:type="dxa"/>
            <w:tcBorders>
              <w:top w:val="nil"/>
              <w:left w:val="nil"/>
              <w:bottom w:val="nil"/>
              <w:right w:val="nil"/>
            </w:tcBorders>
            <w:shd w:val="clear" w:color="auto" w:fill="FFFFFF"/>
            <w:vAlign w:val="center"/>
          </w:tcPr>
          <w:p w14:paraId="5CA33A7F">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4步</w:t>
            </w:r>
          </w:p>
        </w:tc>
        <w:tc>
          <w:tcPr>
            <w:tcW w:w="3011" w:type="dxa"/>
            <w:tcBorders>
              <w:top w:val="nil"/>
              <w:left w:val="nil"/>
              <w:bottom w:val="nil"/>
              <w:right w:val="nil"/>
            </w:tcBorders>
            <w:shd w:val="clear" w:color="auto" w:fill="FFFFFF"/>
            <w:vAlign w:val="center"/>
          </w:tcPr>
          <w:p w14:paraId="4AA8677E">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避免单次随机波动触发漂移</w:t>
            </w:r>
          </w:p>
        </w:tc>
      </w:tr>
      <w:tr w14:paraId="07AEE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5" w:hRule="atLeast"/>
          <w:jc w:val="center"/>
        </w:trPr>
        <w:tc>
          <w:tcPr>
            <w:tcW w:w="1086" w:type="dxa"/>
            <w:tcBorders>
              <w:top w:val="nil"/>
              <w:left w:val="nil"/>
              <w:bottom w:val="nil"/>
              <w:right w:val="nil"/>
            </w:tcBorders>
            <w:shd w:val="clear" w:color="auto" w:fill="FFFFFF"/>
            <w:vAlign w:val="center"/>
          </w:tcPr>
          <w:p w14:paraId="18925570">
            <w:pPr>
              <w:keepNext w:val="0"/>
              <w:keepLines w:val="0"/>
              <w:widowControl/>
              <w:suppressLineNumbers w:val="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信任更新速率</w:t>
            </w:r>
          </w:p>
        </w:tc>
        <w:tc>
          <w:tcPr>
            <w:tcW w:w="1187" w:type="dxa"/>
            <w:tcBorders>
              <w:top w:val="nil"/>
              <w:left w:val="nil"/>
              <w:bottom w:val="nil"/>
              <w:right w:val="nil"/>
            </w:tcBorders>
            <w:shd w:val="clear" w:color="auto" w:fill="FFFFFF"/>
            <w:vAlign w:val="center"/>
          </w:tcPr>
          <w:p w14:paraId="7B2F5ECA">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τ</w:t>
            </w:r>
            <w:r>
              <m:rPr/>
              <w:rPr>
                <w:rFonts w:hint="default" w:ascii="Times New Roman" w:hAnsi="Times New Roman" w:cs="Times New Roman"/>
                <w:bCs w:val="0"/>
                <w:i w:val="0"/>
                <w:color w:val="000000" w:themeColor="text1"/>
                <w:kern w:val="0"/>
                <w:sz w:val="21"/>
                <w:szCs w:val="21"/>
                <w:vertAlign w:val="subscript"/>
                <w:lang w:val="en-US" w:eastAsia="zh-CN" w:bidi="ar"/>
                <w14:textFill>
                  <w14:solidFill>
                    <w14:schemeClr w14:val="tx1"/>
                  </w14:solidFill>
                </w14:textFill>
              </w:rPr>
              <w:t>T</w:t>
            </w: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w:t>
            </w:r>
          </w:p>
        </w:tc>
        <w:tc>
          <w:tcPr>
            <w:tcW w:w="1388" w:type="dxa"/>
            <w:tcBorders>
              <w:top w:val="nil"/>
              <w:left w:val="nil"/>
              <w:bottom w:val="nil"/>
              <w:right w:val="nil"/>
            </w:tcBorders>
            <w:shd w:val="clear" w:color="auto" w:fill="FFFFFF"/>
            <w:vAlign w:val="center"/>
          </w:tcPr>
          <w:p w14:paraId="6D67C71C">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0.06</w:t>
            </w:r>
          </w:p>
        </w:tc>
        <w:tc>
          <w:tcPr>
            <w:tcW w:w="3011" w:type="dxa"/>
            <w:tcBorders>
              <w:top w:val="nil"/>
              <w:left w:val="nil"/>
              <w:bottom w:val="nil"/>
              <w:right w:val="nil"/>
            </w:tcBorders>
            <w:shd w:val="clear" w:color="auto" w:fill="FFFFFF"/>
            <w:vAlign w:val="center"/>
          </w:tcPr>
          <w:p w14:paraId="71FA58CD">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反映信任的惯性特征</w:t>
            </w:r>
          </w:p>
        </w:tc>
      </w:tr>
      <w:tr w14:paraId="58AC3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7" w:hRule="atLeast"/>
          <w:jc w:val="center"/>
        </w:trPr>
        <w:tc>
          <w:tcPr>
            <w:tcW w:w="1086" w:type="dxa"/>
            <w:tcBorders>
              <w:top w:val="nil"/>
              <w:left w:val="nil"/>
              <w:bottom w:val="nil"/>
              <w:right w:val="nil"/>
            </w:tcBorders>
            <w:shd w:val="clear" w:color="auto" w:fill="FFFFFF"/>
            <w:vAlign w:val="center"/>
          </w:tcPr>
          <w:p w14:paraId="358F9476">
            <w:pPr>
              <w:keepNext w:val="0"/>
              <w:keepLines w:val="0"/>
              <w:widowControl/>
              <w:suppressLineNumbers w:val="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学习成本更新速率</w:t>
            </w:r>
          </w:p>
        </w:tc>
        <w:tc>
          <w:tcPr>
            <w:tcW w:w="1187" w:type="dxa"/>
            <w:tcBorders>
              <w:top w:val="nil"/>
              <w:left w:val="nil"/>
              <w:bottom w:val="nil"/>
              <w:right w:val="nil"/>
            </w:tcBorders>
            <w:shd w:val="clear" w:color="auto" w:fill="FFFFFF"/>
            <w:vAlign w:val="center"/>
          </w:tcPr>
          <w:p w14:paraId="376346CB">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τ</w:t>
            </w:r>
            <w:r>
              <m:rPr/>
              <w:rPr>
                <w:rFonts w:hint="default" w:ascii="Times New Roman" w:hAnsi="Times New Roman" w:cs="Times New Roman"/>
                <w:bCs w:val="0"/>
                <w:i w:val="0"/>
                <w:color w:val="000000" w:themeColor="text1"/>
                <w:kern w:val="0"/>
                <w:sz w:val="21"/>
                <w:szCs w:val="21"/>
                <w:vertAlign w:val="subscript"/>
                <w:lang w:val="en-US" w:eastAsia="zh-CN" w:bidi="ar"/>
                <w14:textFill>
                  <w14:solidFill>
                    <w14:schemeClr w14:val="tx1"/>
                  </w14:solidFill>
                </w14:textFill>
              </w:rPr>
              <w:t>L</w:t>
            </w: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w:t>
            </w:r>
          </w:p>
        </w:tc>
        <w:tc>
          <w:tcPr>
            <w:tcW w:w="1388" w:type="dxa"/>
            <w:tcBorders>
              <w:top w:val="nil"/>
              <w:left w:val="nil"/>
              <w:bottom w:val="nil"/>
              <w:right w:val="nil"/>
            </w:tcBorders>
            <w:shd w:val="clear" w:color="auto" w:fill="FFFFFF"/>
            <w:vAlign w:val="center"/>
          </w:tcPr>
          <w:p w14:paraId="5E808FED">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0.08</w:t>
            </w:r>
          </w:p>
        </w:tc>
        <w:tc>
          <w:tcPr>
            <w:tcW w:w="3011" w:type="dxa"/>
            <w:tcBorders>
              <w:top w:val="nil"/>
              <w:left w:val="nil"/>
              <w:bottom w:val="nil"/>
              <w:right w:val="nil"/>
            </w:tcBorders>
            <w:shd w:val="clear" w:color="auto" w:fill="FFFFFF"/>
            <w:vAlign w:val="center"/>
          </w:tcPr>
          <w:p w14:paraId="421674CE">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与信任更新保持一致的惯性设定</w:t>
            </w:r>
          </w:p>
        </w:tc>
      </w:tr>
      <w:tr w14:paraId="4E1F3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7" w:hRule="atLeast"/>
          <w:jc w:val="center"/>
        </w:trPr>
        <w:tc>
          <w:tcPr>
            <w:tcW w:w="1086" w:type="dxa"/>
            <w:tcBorders>
              <w:top w:val="nil"/>
              <w:left w:val="nil"/>
              <w:bottom w:val="nil"/>
              <w:right w:val="nil"/>
            </w:tcBorders>
            <w:shd w:val="clear" w:color="auto" w:fill="FFFFFF"/>
            <w:vAlign w:val="center"/>
          </w:tcPr>
          <w:p w14:paraId="34B0E176">
            <w:pPr>
              <w:keepNext w:val="0"/>
              <w:keepLines w:val="0"/>
              <w:widowControl/>
              <w:suppressLineNumbers w:val="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信任反馈强度</w:t>
            </w:r>
          </w:p>
        </w:tc>
        <w:tc>
          <w:tcPr>
            <w:tcW w:w="1187" w:type="dxa"/>
            <w:tcBorders>
              <w:top w:val="nil"/>
              <w:left w:val="nil"/>
              <w:bottom w:val="nil"/>
              <w:right w:val="nil"/>
            </w:tcBorders>
            <w:shd w:val="clear" w:color="auto" w:fill="FFFFFF"/>
            <w:vAlign w:val="center"/>
          </w:tcPr>
          <w:p w14:paraId="087D33AC">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s</w:t>
            </w:r>
          </w:p>
        </w:tc>
        <w:tc>
          <w:tcPr>
            <w:tcW w:w="1388" w:type="dxa"/>
            <w:tcBorders>
              <w:top w:val="nil"/>
              <w:left w:val="nil"/>
              <w:bottom w:val="nil"/>
              <w:right w:val="nil"/>
            </w:tcBorders>
            <w:shd w:val="clear" w:color="auto" w:fill="FFFFFF"/>
            <w:vAlign w:val="center"/>
          </w:tcPr>
          <w:p w14:paraId="45EBB211">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0.25</w:t>
            </w:r>
          </w:p>
        </w:tc>
        <w:tc>
          <w:tcPr>
            <w:tcW w:w="3011" w:type="dxa"/>
            <w:tcBorders>
              <w:top w:val="nil"/>
              <w:left w:val="nil"/>
              <w:bottom w:val="nil"/>
              <w:right w:val="nil"/>
            </w:tcBorders>
            <w:shd w:val="clear" w:color="auto" w:fill="FFFFFF"/>
            <w:vAlign w:val="center"/>
          </w:tcPr>
          <w:p w14:paraId="768A3D4D">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控制信任对互动的调节幅度</w:t>
            </w:r>
          </w:p>
        </w:tc>
      </w:tr>
      <w:tr w14:paraId="386C2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8" w:hRule="atLeast"/>
          <w:jc w:val="center"/>
        </w:trPr>
        <w:tc>
          <w:tcPr>
            <w:tcW w:w="1086" w:type="dxa"/>
            <w:tcBorders>
              <w:top w:val="nil"/>
              <w:left w:val="nil"/>
              <w:bottom w:val="nil"/>
              <w:right w:val="nil"/>
            </w:tcBorders>
            <w:shd w:val="clear" w:color="auto" w:fill="FFFFFF"/>
            <w:vAlign w:val="center"/>
          </w:tcPr>
          <w:p w14:paraId="450CAD6B">
            <w:pPr>
              <w:keepNext w:val="0"/>
              <w:keepLines w:val="0"/>
              <w:widowControl/>
              <w:suppressLineNumbers w:val="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回应阈值</w:t>
            </w:r>
          </w:p>
        </w:tc>
        <w:tc>
          <w:tcPr>
            <w:tcW w:w="1187" w:type="dxa"/>
            <w:tcBorders>
              <w:top w:val="nil"/>
              <w:left w:val="nil"/>
              <w:bottom w:val="nil"/>
              <w:right w:val="nil"/>
            </w:tcBorders>
            <w:shd w:val="clear" w:color="auto" w:fill="FFFFFF"/>
            <w:vAlign w:val="center"/>
          </w:tcPr>
          <w:p w14:paraId="0B0460DC">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θ</w:t>
            </w:r>
          </w:p>
        </w:tc>
        <w:tc>
          <w:tcPr>
            <w:tcW w:w="1388" w:type="dxa"/>
            <w:tcBorders>
              <w:top w:val="nil"/>
              <w:left w:val="nil"/>
              <w:bottom w:val="nil"/>
              <w:right w:val="nil"/>
            </w:tcBorders>
            <w:shd w:val="clear" w:color="auto" w:fill="FFFFFF"/>
            <w:vAlign w:val="center"/>
          </w:tcPr>
          <w:p w14:paraId="406A4F73">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0.15</w:t>
            </w:r>
          </w:p>
        </w:tc>
        <w:tc>
          <w:tcPr>
            <w:tcW w:w="3011" w:type="dxa"/>
            <w:tcBorders>
              <w:top w:val="nil"/>
              <w:left w:val="nil"/>
              <w:bottom w:val="nil"/>
              <w:right w:val="nil"/>
            </w:tcBorders>
            <w:shd w:val="clear" w:color="auto" w:fill="FFFFFF"/>
            <w:vAlign w:val="center"/>
          </w:tcPr>
          <w:p w14:paraId="5AD27540">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触发政府回应的注意力份额门槛</w:t>
            </w:r>
          </w:p>
        </w:tc>
      </w:tr>
      <w:tr w14:paraId="7AFD8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jc w:val="center"/>
        </w:trPr>
        <w:tc>
          <w:tcPr>
            <w:tcW w:w="1086" w:type="dxa"/>
            <w:tcBorders>
              <w:top w:val="nil"/>
              <w:left w:val="nil"/>
              <w:bottom w:val="nil"/>
              <w:right w:val="nil"/>
            </w:tcBorders>
            <w:shd w:val="clear" w:color="auto" w:fill="FFFFFF"/>
            <w:vAlign w:val="center"/>
          </w:tcPr>
          <w:p w14:paraId="2B167B98">
            <w:pPr>
              <w:keepNext w:val="0"/>
              <w:keepLines w:val="0"/>
              <w:widowControl/>
              <w:suppressLineNumbers w:val="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回应强度</w:t>
            </w:r>
          </w:p>
        </w:tc>
        <w:tc>
          <w:tcPr>
            <w:tcW w:w="1187" w:type="dxa"/>
            <w:tcBorders>
              <w:top w:val="nil"/>
              <w:left w:val="nil"/>
              <w:bottom w:val="nil"/>
              <w:right w:val="nil"/>
            </w:tcBorders>
            <w:shd w:val="clear" w:color="auto" w:fill="FFFFFF"/>
            <w:vAlign w:val="center"/>
          </w:tcPr>
          <w:p w14:paraId="72D15F3D">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ρ</w:t>
            </w:r>
          </w:p>
        </w:tc>
        <w:tc>
          <w:tcPr>
            <w:tcW w:w="1388" w:type="dxa"/>
            <w:tcBorders>
              <w:top w:val="nil"/>
              <w:left w:val="nil"/>
              <w:bottom w:val="nil"/>
              <w:right w:val="nil"/>
            </w:tcBorders>
            <w:shd w:val="clear" w:color="auto" w:fill="FFFFFF"/>
            <w:vAlign w:val="center"/>
          </w:tcPr>
          <w:p w14:paraId="1CACA5F1">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0.7</w:t>
            </w:r>
          </w:p>
        </w:tc>
        <w:tc>
          <w:tcPr>
            <w:tcW w:w="3011" w:type="dxa"/>
            <w:tcBorders>
              <w:top w:val="nil"/>
              <w:left w:val="nil"/>
              <w:bottom w:val="nil"/>
              <w:right w:val="nil"/>
            </w:tcBorders>
            <w:shd w:val="clear" w:color="auto" w:fill="FFFFFF"/>
            <w:vAlign w:val="center"/>
          </w:tcPr>
          <w:p w14:paraId="5FB511F5">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单次回应降低30%热度的保守估计</w:t>
            </w:r>
          </w:p>
        </w:tc>
      </w:tr>
      <w:tr w14:paraId="3332A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5" w:hRule="atLeast"/>
          <w:jc w:val="center"/>
        </w:trPr>
        <w:tc>
          <w:tcPr>
            <w:tcW w:w="1086" w:type="dxa"/>
            <w:tcBorders>
              <w:top w:val="nil"/>
              <w:left w:val="nil"/>
              <w:bottom w:val="nil"/>
              <w:right w:val="nil"/>
            </w:tcBorders>
            <w:shd w:val="clear" w:color="auto" w:fill="FFFFFF"/>
            <w:vAlign w:val="center"/>
          </w:tcPr>
          <w:p w14:paraId="150C97A7">
            <w:pPr>
              <w:keepNext w:val="0"/>
              <w:keepLines w:val="0"/>
              <w:widowControl/>
              <w:suppressLineNumbers w:val="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回应延迟</w:t>
            </w:r>
          </w:p>
        </w:tc>
        <w:tc>
          <w:tcPr>
            <w:tcW w:w="1187" w:type="dxa"/>
            <w:tcBorders>
              <w:top w:val="nil"/>
              <w:left w:val="nil"/>
              <w:bottom w:val="nil"/>
              <w:right w:val="nil"/>
            </w:tcBorders>
            <w:shd w:val="clear" w:color="auto" w:fill="FFFFFF"/>
            <w:vAlign w:val="center"/>
          </w:tcPr>
          <w:p w14:paraId="7AFD7F15">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δ</w:t>
            </w:r>
          </w:p>
        </w:tc>
        <w:tc>
          <w:tcPr>
            <w:tcW w:w="1388" w:type="dxa"/>
            <w:tcBorders>
              <w:top w:val="nil"/>
              <w:left w:val="nil"/>
              <w:bottom w:val="nil"/>
              <w:right w:val="nil"/>
            </w:tcBorders>
            <w:shd w:val="clear" w:color="auto" w:fill="FFFFFF"/>
            <w:vAlign w:val="center"/>
          </w:tcPr>
          <w:p w14:paraId="76A619AA">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3步</w:t>
            </w:r>
          </w:p>
        </w:tc>
        <w:tc>
          <w:tcPr>
            <w:tcW w:w="3011" w:type="dxa"/>
            <w:tcBorders>
              <w:top w:val="nil"/>
              <w:left w:val="nil"/>
              <w:bottom w:val="nil"/>
              <w:right w:val="nil"/>
            </w:tcBorders>
            <w:shd w:val="clear" w:color="auto" w:fill="FFFFFF"/>
            <w:vAlign w:val="center"/>
          </w:tcPr>
          <w:p w14:paraId="02150AE1">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行政决策时滞的粗略模拟</w:t>
            </w:r>
          </w:p>
        </w:tc>
      </w:tr>
      <w:tr w14:paraId="2F807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47" w:hRule="atLeast"/>
          <w:jc w:val="center"/>
        </w:trPr>
        <w:tc>
          <w:tcPr>
            <w:tcW w:w="1086" w:type="dxa"/>
            <w:tcBorders>
              <w:top w:val="nil"/>
              <w:left w:val="nil"/>
              <w:bottom w:val="nil"/>
              <w:right w:val="nil"/>
            </w:tcBorders>
            <w:shd w:val="clear" w:color="auto" w:fill="FFFFFF"/>
            <w:vAlign w:val="center"/>
          </w:tcPr>
          <w:p w14:paraId="2A98797A">
            <w:pPr>
              <w:keepNext w:val="0"/>
              <w:keepLines w:val="0"/>
              <w:widowControl/>
              <w:suppressLineNumbers w:val="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热度衰减率</w:t>
            </w:r>
          </w:p>
        </w:tc>
        <w:tc>
          <w:tcPr>
            <w:tcW w:w="1187" w:type="dxa"/>
            <w:tcBorders>
              <w:top w:val="nil"/>
              <w:left w:val="nil"/>
              <w:bottom w:val="nil"/>
              <w:right w:val="nil"/>
            </w:tcBorders>
            <w:shd w:val="clear" w:color="auto" w:fill="FFFFFF"/>
            <w:vAlign w:val="center"/>
          </w:tcPr>
          <w:p w14:paraId="341D77FF">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λ</w:t>
            </w:r>
          </w:p>
        </w:tc>
        <w:tc>
          <w:tcPr>
            <w:tcW w:w="1388" w:type="dxa"/>
            <w:tcBorders>
              <w:top w:val="nil"/>
              <w:left w:val="nil"/>
              <w:bottom w:val="nil"/>
              <w:right w:val="nil"/>
            </w:tcBorders>
            <w:shd w:val="clear" w:color="auto" w:fill="FFFFFF"/>
            <w:vAlign w:val="center"/>
          </w:tcPr>
          <w:p w14:paraId="6A89F272">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0.95</w:t>
            </w:r>
          </w:p>
        </w:tc>
        <w:tc>
          <w:tcPr>
            <w:tcW w:w="3011" w:type="dxa"/>
            <w:tcBorders>
              <w:top w:val="nil"/>
              <w:left w:val="nil"/>
              <w:bottom w:val="nil"/>
              <w:right w:val="nil"/>
            </w:tcBorders>
            <w:shd w:val="clear" w:color="auto" w:fill="FFFFFF"/>
            <w:vAlign w:val="center"/>
          </w:tcPr>
          <w:p w14:paraId="588ACBDF">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信息注意力的自然消退</w:t>
            </w:r>
          </w:p>
        </w:tc>
      </w:tr>
      <w:tr w14:paraId="27910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97" w:hRule="atLeast"/>
          <w:jc w:val="center"/>
        </w:trPr>
        <w:tc>
          <w:tcPr>
            <w:tcW w:w="1086" w:type="dxa"/>
            <w:tcBorders>
              <w:top w:val="nil"/>
              <w:left w:val="nil"/>
              <w:bottom w:val="nil"/>
              <w:right w:val="nil"/>
            </w:tcBorders>
            <w:shd w:val="clear" w:color="auto" w:fill="FFFFFF"/>
            <w:vAlign w:val="center"/>
          </w:tcPr>
          <w:p w14:paraId="1FA2201A">
            <w:pPr>
              <w:keepNext w:val="0"/>
              <w:keepLines w:val="0"/>
              <w:widowControl/>
              <w:suppressLineNumbers w:val="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清理阈值</w:t>
            </w:r>
          </w:p>
        </w:tc>
        <w:tc>
          <w:tcPr>
            <w:tcW w:w="1187" w:type="dxa"/>
            <w:tcBorders>
              <w:top w:val="nil"/>
              <w:left w:val="nil"/>
              <w:bottom w:val="nil"/>
              <w:right w:val="nil"/>
            </w:tcBorders>
            <w:shd w:val="clear" w:color="auto" w:fill="FFFFFF"/>
            <w:vAlign w:val="center"/>
          </w:tcPr>
          <w:p w14:paraId="2A9A08E7">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w:t>
            </w:r>
          </w:p>
        </w:tc>
        <w:tc>
          <w:tcPr>
            <w:tcW w:w="1388" w:type="dxa"/>
            <w:tcBorders>
              <w:top w:val="nil"/>
              <w:left w:val="nil"/>
              <w:bottom w:val="nil"/>
              <w:right w:val="nil"/>
            </w:tcBorders>
            <w:shd w:val="clear" w:color="auto" w:fill="FFFFFF"/>
            <w:vAlign w:val="center"/>
          </w:tcPr>
          <w:p w14:paraId="43A360D7">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0.01</w:t>
            </w:r>
          </w:p>
        </w:tc>
        <w:tc>
          <w:tcPr>
            <w:tcW w:w="3011" w:type="dxa"/>
            <w:tcBorders>
              <w:top w:val="nil"/>
              <w:left w:val="nil"/>
              <w:bottom w:val="nil"/>
              <w:right w:val="nil"/>
            </w:tcBorders>
            <w:shd w:val="clear" w:color="auto" w:fill="FFFFFF"/>
            <w:vAlign w:val="center"/>
          </w:tcPr>
          <w:p w14:paraId="555F6973">
            <w:pPr>
              <w:keepNext w:val="0"/>
              <w:keepLines w:val="0"/>
              <w:widowControl/>
              <w:suppressLineNumbers w:val="0"/>
              <w:ind w:firstLine="420" w:firstLineChars="200"/>
              <w:jc w:val="cente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避免信息池无限增长</w:t>
            </w:r>
          </w:p>
        </w:tc>
      </w:tr>
    </w:tbl>
    <w:p w14:paraId="186DFE7D">
      <w:pPr>
        <w:pStyle w:val="2"/>
        <w:keepNext w:val="0"/>
        <w:keepLines w:val="0"/>
        <w:widowControl/>
        <w:numPr>
          <w:ilvl w:val="0"/>
          <w:numId w:val="1"/>
        </w:numPr>
        <w:suppressLineNumbers w:val="0"/>
        <w:spacing w:before="0" w:beforeAutospacing="0" w:after="0" w:afterAutospacing="0" w:line="240" w:lineRule="auto"/>
        <w:ind w:left="0" w:right="0"/>
        <w:jc w:val="both"/>
        <m:rPr/>
        <w:rPr>
          <w:rFonts w:hint="eastAsia" w:ascii="Times New Roman" w:hAnsi="Times New Roman" w:eastAsia="宋体" w:cs="Times New Roman"/>
          <w:b/>
          <w:bCs/>
          <w:i w:val="0"/>
          <w:iCs w:val="0"/>
          <w:caps w:val="0"/>
          <w:strike w:val="0"/>
          <w:color w:val="auto"/>
          <w:spacing w:val="0"/>
          <w:sz w:val="28"/>
          <w:szCs w:val="30"/>
          <w:u w:val="none"/>
          <w:lang w:val="en-US" w:eastAsia="zh-CN"/>
        </w:rPr>
      </w:pPr>
      <w:r>
        <m:rPr/>
        <w:rPr>
          <w:rFonts w:hint="eastAsia" w:ascii="Times New Roman" w:hAnsi="Times New Roman" w:eastAsia="宋体" w:cs="Times New Roman"/>
          <w:b/>
          <w:bCs/>
          <w:i w:val="0"/>
          <w:iCs w:val="0"/>
          <w:caps w:val="0"/>
          <w:strike w:val="0"/>
          <w:color w:val="auto"/>
          <w:spacing w:val="0"/>
          <w:sz w:val="28"/>
          <w:szCs w:val="30"/>
          <w:u w:val="none"/>
          <w:lang w:val="en-US" w:eastAsia="zh-CN"/>
        </w:rPr>
        <w:t>实验设计</w:t>
      </w:r>
    </w:p>
    <w:p w14:paraId="3688C2DC">
      <w:pPr>
        <w:keepNext w:val="0"/>
        <w:keepLines w:val="0"/>
        <w:widowControl/>
        <w:suppressLineNumbers w:val="0"/>
        <w:ind w:firstLine="420" w:firstLineChars="200"/>
        <w:jc w:val="left"/>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本研究采用双层实验策略。第一层为α全参数空间扫描（0→1，步长0.05，共21个水平），识别系统状态随算法反馈强度变化的总体模式；第二层为机制消融实验，逐一检验四个核心机制的独立贡献。综合主实验与消融实验，共运行四组、每组21个α水平、每个水平50次重复，总计4,200次独立仿真。每次仿真含300个公众智能体、运行300步，取最后100步为稳态窗口。</w:t>
      </w:r>
    </w:p>
    <w:p w14:paraId="64CC23F3">
      <w:pPr>
        <w:pStyle w:val="3"/>
        <w:keepNext w:val="0"/>
        <w:keepLines w:val="0"/>
        <w:widowControl/>
        <w:suppressLineNumbers w:val="0"/>
        <w:spacing w:before="0" w:beforeAutospacing="0" w:after="0" w:afterAutospacing="0" w:line="360" w:lineRule="auto"/>
        <w:ind w:left="0" w:right="0"/>
        <w:jc w:val="both"/>
        <m:rPr/>
        <w:rPr>
          <w:rFonts w:hint="eastAsia" w:ascii="Times New Roman" w:hAnsi="Times New Roman" w:cs="Times New Roman"/>
          <w:b/>
          <w:bCs/>
          <w:i w:val="0"/>
          <w:iCs w:val="0"/>
          <w:caps w:val="0"/>
          <w:strike w:val="0"/>
          <w:color w:val="auto"/>
          <w:spacing w:val="0"/>
          <w:sz w:val="24"/>
          <w:szCs w:val="27"/>
          <w:u w:val="none"/>
          <w:lang w:val="en-US" w:eastAsia="zh-CN"/>
        </w:rPr>
      </w:pPr>
      <w:r>
        <m:rPr/>
        <w:rPr>
          <w:rFonts w:hint="eastAsia" w:ascii="Times New Roman" w:hAnsi="Times New Roman" w:cs="Times New Roman"/>
          <w:b/>
          <w:bCs/>
          <w:i w:val="0"/>
          <w:iCs w:val="0"/>
          <w:caps w:val="0"/>
          <w:strike w:val="0"/>
          <w:color w:val="auto"/>
          <w:spacing w:val="0"/>
          <w:sz w:val="24"/>
          <w:szCs w:val="27"/>
          <w:u w:val="none"/>
          <w:lang w:val="en-US" w:eastAsia="zh-CN"/>
        </w:rPr>
        <w:t>4.1变量设计</w:t>
      </w:r>
    </w:p>
    <w:p w14:paraId="6CAEF59F">
      <w:pPr>
        <w:keepNext w:val="0"/>
        <w:keepLines w:val="0"/>
        <w:widowControl/>
        <w:suppressLineNumbers w:val="0"/>
        <w:ind w:firstLine="420" w:firstLineChars="200"/>
        <w:jc w:val="left"/>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m:rP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核心自变</w:t>
      </w:r>
      <w:r>
        <m:rPr/>
        <w:rPr>
          <w:rFonts w:hint="eastAsia"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量为</w:t>
      </w:r>
      <w:r>
        <w:rPr>
          <w:rFonts w:hint="eastAsia"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算</w:t>
      </w:r>
      <w: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法</w:t>
      </w:r>
      <w:r>
        <w:rPr>
          <w:rFonts w:hint="default" w:ascii="Times New Roman" w:hAnsi="Times New Roman" w:cs="Times New Roman"/>
          <w:bCs w:val="0"/>
          <w:i w:val="0"/>
          <w:color w:val="000000" w:themeColor="text1"/>
          <w:kern w:val="0"/>
          <w:sz w:val="21"/>
          <w:szCs w:val="21"/>
          <w:lang w:val="en-US" w:eastAsia="zh-CN" w:bidi="ar"/>
          <w14:textFill>
            <w14:solidFill>
              <w14:schemeClr w14:val="tx1"/>
            </w14:solidFill>
          </w14:textFill>
        </w:rPr>
        <w:t>热度权重</w:t>
      </w:r>
      <w: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α，在推荐公式中，α=0时推荐完全基于兴趣匹配，α=1时完全基于热度，中间值为混合推荐。</w:t>
      </w:r>
    </w:p>
    <w:p w14:paraId="190E95E9">
      <w:pPr>
        <w:keepNext w:val="0"/>
        <w:keepLines w:val="0"/>
        <w:widowControl/>
        <w:suppressLineNumbers w:val="0"/>
        <w:ind w:firstLine="420" w:firstLineChars="200"/>
        <w:jc w:val="left"/>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而因变量的具体观测指标如下：</w:t>
      </w:r>
    </w:p>
    <w:p w14:paraId="708D80BB">
      <w:pPr>
        <w:keepNext w:val="0"/>
        <w:keepLines w:val="0"/>
        <w:widowControl/>
        <w:suppressLineNumbers w:val="0"/>
        <w:ind w:firstLine="420" w:firstLineChars="200"/>
        <w:jc w:val="left"/>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p>
    <w:p w14:paraId="515CFDC2">
      <w:pPr>
        <w:keepNext w:val="0"/>
        <w:keepLines w:val="0"/>
        <w:widowControl/>
        <w:suppressLineNumbers w:val="0"/>
        <w:ind w:firstLine="420" w:firstLineChars="200"/>
        <w:jc w:val="left"/>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p>
    <w:p w14:paraId="604D2C8B">
      <w:pPr>
        <w:keepNext w:val="0"/>
        <w:keepLines w:val="0"/>
        <w:widowControl/>
        <w:suppressLineNumbers w:val="0"/>
        <w:ind w:firstLine="420" w:firstLineChars="200"/>
        <w:jc w:val="left"/>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p>
    <w:p w14:paraId="0B259434">
      <w:pPr>
        <w:keepNext w:val="0"/>
        <w:keepLines w:val="0"/>
        <w:widowControl/>
        <w:suppressLineNumbers w:val="0"/>
        <w:ind w:firstLine="420" w:firstLineChars="200"/>
        <w:jc w:val="left"/>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p>
    <w:p w14:paraId="435B0F55">
      <w:pPr>
        <w:keepNext w:val="0"/>
        <w:keepLines w:val="0"/>
        <w:widowControl/>
        <w:suppressLineNumbers w:val="0"/>
        <w:ind w:firstLine="420" w:firstLineChars="200"/>
        <w:jc w:val="left"/>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p>
    <w:p w14:paraId="5973154F">
      <w:pPr>
        <w:keepNext w:val="0"/>
        <w:keepLines w:val="0"/>
        <w:widowControl/>
        <w:suppressLineNumbers w:val="0"/>
        <w:ind w:firstLine="420" w:firstLineChars="200"/>
        <w:jc w:val="left"/>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p>
    <w:tbl>
      <w:tblPr>
        <w:tblW w:w="68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145"/>
        <w:gridCol w:w="2114"/>
        <w:gridCol w:w="2609"/>
      </w:tblGrid>
      <w:tr w14:paraId="6FB4F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70" w:hRule="atLeast"/>
          <w:jc w:val="center"/>
        </w:trPr>
        <w:tc>
          <w:tcPr>
            <w:tcW w:w="2145" w:type="dxa"/>
            <w:shd w:val="clear" w:color="auto" w:fill="FFFFFF"/>
            <w:vAlign w:val="center"/>
          </w:tcPr>
          <w:p w14:paraId="47A5F95E">
            <w:pPr>
              <w:keepNext w:val="0"/>
              <w:keepLines w:val="0"/>
              <w:widowControl/>
              <w:suppressLineNumbers w:val="0"/>
              <w:ind w:firstLine="420" w:firstLineChars="200"/>
              <w:jc w:val="cente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指标</w:t>
            </w:r>
          </w:p>
        </w:tc>
        <w:tc>
          <w:tcPr>
            <w:tcW w:w="2114" w:type="dxa"/>
            <w:shd w:val="clear" w:color="auto" w:fill="FFFFFF"/>
            <w:vAlign w:val="center"/>
          </w:tcPr>
          <w:p w14:paraId="0EEE9D14">
            <w:pPr>
              <w:keepNext w:val="0"/>
              <w:keepLines w:val="0"/>
              <w:widowControl/>
              <w:suppressLineNumbers w:val="0"/>
              <w:ind w:firstLine="420" w:firstLineChars="200"/>
              <w:jc w:val="cente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定义</w:t>
            </w:r>
          </w:p>
        </w:tc>
        <w:tc>
          <w:tcPr>
            <w:tcW w:w="2609" w:type="dxa"/>
            <w:shd w:val="clear" w:color="auto" w:fill="FFFFFF"/>
            <w:vAlign w:val="center"/>
          </w:tcPr>
          <w:p w14:paraId="70132B9A">
            <w:pPr>
              <w:keepNext w:val="0"/>
              <w:keepLines w:val="0"/>
              <w:widowControl/>
              <w:suppressLineNumbers w:val="0"/>
              <w:ind w:firstLine="420" w:firstLineChars="200"/>
              <w:jc w:val="cente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理论含义</w:t>
            </w:r>
          </w:p>
        </w:tc>
      </w:tr>
      <w:tr w14:paraId="6E4D4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8" w:hRule="atLeast"/>
          <w:jc w:val="center"/>
        </w:trPr>
        <w:tc>
          <w:tcPr>
            <w:tcW w:w="2145" w:type="dxa"/>
            <w:shd w:val="clear" w:color="auto" w:fill="FFFFFF"/>
            <w:vAlign w:val="center"/>
          </w:tcPr>
          <w:p w14:paraId="070183B3">
            <w:pPr>
              <w:keepNext w:val="0"/>
              <w:keepLines w:val="0"/>
              <w:widowControl/>
              <w:suppressLineNumbers w:val="0"/>
              <w:ind w:firstLine="420" w:firstLineChars="200"/>
              <w:jc w:val="cente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议程偏离度</w:t>
            </w:r>
          </w:p>
        </w:tc>
        <w:tc>
          <w:tcPr>
            <w:tcW w:w="2114" w:type="dxa"/>
            <w:shd w:val="clear" w:color="auto" w:fill="FFFFFF"/>
            <w:vAlign w:val="center"/>
          </w:tcPr>
          <w:p w14:paraId="19080F8A">
            <w:pPr>
              <w:keepNext w:val="0"/>
              <w:keepLines w:val="0"/>
              <w:widowControl/>
              <w:suppressLineNumbers w:val="0"/>
              <w:jc w:val="cente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1−(议程份额/0.70)，截断至[0,1]</w:t>
            </w:r>
          </w:p>
        </w:tc>
        <w:tc>
          <w:tcPr>
            <w:tcW w:w="2609" w:type="dxa"/>
            <w:shd w:val="clear" w:color="auto" w:fill="FFFFFF"/>
            <w:vAlign w:val="center"/>
          </w:tcPr>
          <w:p w14:paraId="306B1002">
            <w:pPr>
              <w:keepNext w:val="0"/>
              <w:keepLines w:val="0"/>
              <w:widowControl/>
              <w:suppressLineNumbers w:val="0"/>
              <w:ind w:firstLine="420" w:firstLineChars="200"/>
              <w:jc w:val="cente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系统有序度</w:t>
            </w:r>
          </w:p>
        </w:tc>
      </w:tr>
      <w:tr w14:paraId="2C47B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5" w:hRule="atLeast"/>
          <w:jc w:val="center"/>
        </w:trPr>
        <w:tc>
          <w:tcPr>
            <w:tcW w:w="2145" w:type="dxa"/>
            <w:shd w:val="clear" w:color="auto" w:fill="FFFFFF"/>
            <w:vAlign w:val="center"/>
          </w:tcPr>
          <w:p w14:paraId="1659F2A5">
            <w:pPr>
              <w:keepNext w:val="0"/>
              <w:keepLines w:val="0"/>
              <w:widowControl/>
              <w:suppressLineNumbers w:val="0"/>
              <w:ind w:firstLine="420" w:firstLineChars="200"/>
              <w:jc w:val="cente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系统稳定度</w:t>
            </w:r>
          </w:p>
        </w:tc>
        <w:tc>
          <w:tcPr>
            <w:tcW w:w="2114" w:type="dxa"/>
            <w:shd w:val="clear" w:color="auto" w:fill="FFFFFF"/>
            <w:vAlign w:val="center"/>
          </w:tcPr>
          <w:p w14:paraId="4CE83CA1">
            <w:pPr>
              <w:keepNext w:val="0"/>
              <w:keepLines w:val="0"/>
              <w:widowControl/>
              <w:suppressLineNumbers w:val="0"/>
              <w:jc w:val="cente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最后100步议程偏离度的方差</w:t>
            </w:r>
          </w:p>
        </w:tc>
        <w:tc>
          <w:tcPr>
            <w:tcW w:w="2609" w:type="dxa"/>
            <w:shd w:val="clear" w:color="auto" w:fill="FFFFFF"/>
            <w:vAlign w:val="center"/>
          </w:tcPr>
          <w:p w14:paraId="663AF6AD">
            <w:pPr>
              <w:keepNext w:val="0"/>
              <w:keepLines w:val="0"/>
              <w:widowControl/>
              <w:suppressLineNumbers w:val="0"/>
              <w:jc w:val="cente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系统收敛性（→0为锁定态）</w:t>
            </w:r>
          </w:p>
        </w:tc>
      </w:tr>
      <w:tr w14:paraId="4E261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890" w:hRule="atLeast"/>
          <w:jc w:val="center"/>
        </w:trPr>
        <w:tc>
          <w:tcPr>
            <w:tcW w:w="2145" w:type="dxa"/>
            <w:shd w:val="clear" w:color="auto" w:fill="FFFFFF"/>
            <w:vAlign w:val="center"/>
          </w:tcPr>
          <w:p w14:paraId="3EFBE228">
            <w:pPr>
              <w:keepNext w:val="0"/>
              <w:keepLines w:val="0"/>
              <w:widowControl/>
              <w:suppressLineNumbers w:val="0"/>
              <w:ind w:firstLine="420" w:firstLineChars="200"/>
              <w:jc w:val="cente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风暴时间占比</w:t>
            </w:r>
          </w:p>
        </w:tc>
        <w:tc>
          <w:tcPr>
            <w:tcW w:w="2114" w:type="dxa"/>
            <w:shd w:val="clear" w:color="auto" w:fill="FFFFFF"/>
            <w:vAlign w:val="center"/>
          </w:tcPr>
          <w:p w14:paraId="780AD29A">
            <w:pPr>
              <w:keepNext w:val="0"/>
              <w:keepLines w:val="0"/>
              <w:widowControl/>
              <w:suppressLineNumbers w:val="0"/>
              <w:jc w:val="cente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非官方议题峰值&gt;0.30的时间比例</w:t>
            </w:r>
          </w:p>
        </w:tc>
        <w:tc>
          <w:tcPr>
            <w:tcW w:w="2609" w:type="dxa"/>
            <w:shd w:val="clear" w:color="auto" w:fill="FFFFFF"/>
            <w:vAlign w:val="center"/>
          </w:tcPr>
          <w:p w14:paraId="46FA9CA1">
            <w:pPr>
              <w:keepNext w:val="0"/>
              <w:keepLines w:val="0"/>
              <w:widowControl/>
              <w:suppressLineNumbers w:val="0"/>
              <w:ind w:firstLine="420" w:firstLineChars="200"/>
              <w:jc w:val="cente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扰动强度</w:t>
            </w:r>
          </w:p>
        </w:tc>
      </w:tr>
      <w:tr w14:paraId="69CF8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810" w:hRule="atLeast"/>
          <w:jc w:val="center"/>
        </w:trPr>
        <w:tc>
          <w:tcPr>
            <w:tcW w:w="2145" w:type="dxa"/>
            <w:shd w:val="clear" w:color="auto" w:fill="FFFFFF"/>
            <w:vAlign w:val="center"/>
          </w:tcPr>
          <w:p w14:paraId="555D89C5">
            <w:pPr>
              <w:keepNext w:val="0"/>
              <w:keepLines w:val="0"/>
              <w:widowControl/>
              <w:suppressLineNumbers w:val="0"/>
              <w:ind w:firstLine="420" w:firstLineChars="200"/>
              <w:jc w:val="cente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政府信任</w:t>
            </w:r>
          </w:p>
        </w:tc>
        <w:tc>
          <w:tcPr>
            <w:tcW w:w="2114" w:type="dxa"/>
            <w:shd w:val="clear" w:color="auto" w:fill="FFFFFF"/>
            <w:vAlign w:val="center"/>
          </w:tcPr>
          <w:p w14:paraId="1ACFFC63">
            <w:pPr>
              <w:keepNext w:val="0"/>
              <w:keepLines w:val="0"/>
              <w:widowControl/>
              <w:suppressLineNumbers w:val="0"/>
              <w:jc w:val="cente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公众信任的群体均值</w:t>
            </w:r>
          </w:p>
        </w:tc>
        <w:tc>
          <w:tcPr>
            <w:tcW w:w="2609" w:type="dxa"/>
            <w:shd w:val="clear" w:color="auto" w:fill="FFFFFF"/>
            <w:vAlign w:val="center"/>
          </w:tcPr>
          <w:p w14:paraId="4A101DC1">
            <w:pPr>
              <w:keepNext w:val="0"/>
              <w:keepLines w:val="0"/>
              <w:widowControl/>
              <w:suppressLineNumbers w:val="0"/>
              <w:ind w:firstLine="420" w:firstLineChars="200"/>
              <w:jc w:val="cente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pPr>
            <w:r>
              <w:rPr>
                <w:rFonts w:hint="eastAsia" w:ascii="Times New Roman" w:hAnsi="Times New Roman" w:cs="Times New Roman"/>
                <w:bCs w:val="0"/>
                <w:i w:val="0"/>
                <w:color w:val="000000" w:themeColor="text1"/>
                <w:kern w:val="0"/>
                <w:sz w:val="21"/>
                <w:szCs w:val="21"/>
                <w:lang w:val="en-US" w:eastAsia="zh-CN" w:bidi="ar"/>
                <w14:textFill>
                  <w14:solidFill>
                    <w14:schemeClr w14:val="tx1"/>
                  </w14:solidFill>
                </w14:textFill>
              </w:rPr>
              <w:t>系统弹性</w:t>
            </w:r>
          </w:p>
        </w:tc>
      </w:tr>
    </w:tbl>
    <w:p w14:paraId="12AB4E43">
      <w:pPr>
        <w:pStyle w:val="3"/>
        <w:keepNext w:val="0"/>
        <w:keepLines w:val="0"/>
        <w:widowControl/>
        <w:suppressLineNumbers w:val="0"/>
        <w:spacing w:before="0" w:beforeAutospacing="0" w:after="0" w:afterAutospacing="0" w:line="360" w:lineRule="auto"/>
        <w:ind w:left="0" w:right="0"/>
        <w:jc w:val="both"/>
        <m:rPr/>
        <w:rPr>
          <w:rFonts w:hint="eastAsia" w:ascii="Times New Roman" w:hAnsi="Times New Roman" w:cs="Times New Roman"/>
          <w:b/>
          <w:bCs/>
          <w:i w:val="0"/>
          <w:iCs w:val="0"/>
          <w:caps w:val="0"/>
          <w:strike w:val="0"/>
          <w:color w:val="auto"/>
          <w:spacing w:val="0"/>
          <w:sz w:val="24"/>
          <w:szCs w:val="27"/>
          <w:u w:val="none"/>
          <w:lang w:val="en-US" w:eastAsia="zh-CN"/>
        </w:rPr>
      </w:pPr>
      <w:r>
        <m:rPr/>
        <w:rPr>
          <w:rFonts w:hint="eastAsia" w:ascii="Times New Roman" w:hAnsi="Times New Roman" w:cs="Times New Roman"/>
          <w:b/>
          <w:bCs/>
          <w:i w:val="0"/>
          <w:iCs w:val="0"/>
          <w:caps w:val="0"/>
          <w:strike w:val="0"/>
          <w:color w:val="auto"/>
          <w:spacing w:val="0"/>
          <w:sz w:val="24"/>
          <w:szCs w:val="27"/>
          <w:u w:val="none"/>
          <w:lang w:val="en-US" w:eastAsia="zh-CN"/>
        </w:rPr>
        <w:t>4.2统计方法</w:t>
      </w:r>
    </w:p>
    <w:p w14:paraId="1362EE4B">
      <w:pPr>
        <w:keepNext w:val="0"/>
        <w:keepLines w:val="0"/>
        <w:widowControl/>
        <w:suppressLineNumbers w:val="0"/>
        <w:ind w:firstLine="420" w:firstLineChars="200"/>
        <w:jc w:val="left"/>
        <m:rPr/>
        <w:rPr>
          <w:rFonts w:hint="eastAsia"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eastAsia"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为降低ABM仿真的随机性，保证实验的可复现，主实验中统计方法具体如下：首先是重复策略，每个α水平独立重复50次，采用配对随机种子，同一重复序号在不同α下使用相同种子，以减少参数间比较的随机噪声。然后是稳态窗口，每次仿真运行300步，取最后100步计算稳态指标（前200步为系统初始化与过渡阶段）。最后采用临界点识别，选用最大斜率法，对α偏离度曲线做三点平滑后计算数值斜率，取内部网格点中斜率最大的α为候选临界点。95%置信区间通过Bootstrap重抽样（1,000次）估计，区间端点取实际扫描过的α值，避免伪精度。</w:t>
      </w:r>
    </w:p>
    <w:p w14:paraId="759CBA3E">
      <w:pPr>
        <w:pStyle w:val="3"/>
        <w:keepNext w:val="0"/>
        <w:keepLines w:val="0"/>
        <w:widowControl/>
        <w:suppressLineNumbers w:val="0"/>
        <w:spacing w:before="0" w:beforeAutospacing="0" w:after="0" w:afterAutospacing="0" w:line="360" w:lineRule="auto"/>
        <w:ind w:left="0" w:right="0"/>
        <w:jc w:val="both"/>
        <w:rPr>
          <w:rFonts w:hint="eastAsia" w:ascii="Times New Roman" w:hAnsi="Times New Roman" w:cs="Times New Roman"/>
          <w:b/>
          <w:bCs/>
          <w:i w:val="0"/>
          <w:iCs w:val="0"/>
          <w:caps w:val="0"/>
          <w:strike w:val="0"/>
          <w:color w:val="auto"/>
          <w:spacing w:val="0"/>
          <w:sz w:val="24"/>
          <w:szCs w:val="27"/>
          <w:u w:val="none"/>
          <w:lang w:val="en-US" w:eastAsia="zh-CN"/>
        </w:rPr>
      </w:pPr>
      <w:r>
        <m:rPr/>
        <w:rPr>
          <w:rFonts w:hint="eastAsia" w:ascii="Times New Roman" w:hAnsi="Times New Roman" w:cs="Times New Roman"/>
          <w:b/>
          <w:bCs/>
          <w:i w:val="0"/>
          <w:iCs w:val="0"/>
          <w:caps w:val="0"/>
          <w:strike w:val="0"/>
          <w:color w:val="auto"/>
          <w:spacing w:val="0"/>
          <w:sz w:val="24"/>
          <w:szCs w:val="27"/>
          <w:u w:val="none"/>
          <w:lang w:val="en-US" w:eastAsia="zh-CN"/>
        </w:rPr>
        <w:t>4.3</w:t>
      </w:r>
      <w:r>
        <w:rPr>
          <w:rFonts w:hint="default" w:ascii="Times New Roman" w:hAnsi="Times New Roman" w:cs="Times New Roman"/>
          <w:b/>
          <w:bCs/>
          <w:i w:val="0"/>
          <w:iCs w:val="0"/>
          <w:caps w:val="0"/>
          <w:strike w:val="0"/>
          <w:color w:val="auto"/>
          <w:spacing w:val="0"/>
          <w:sz w:val="24"/>
          <w:szCs w:val="27"/>
          <w:u w:val="none"/>
          <w:lang w:val="en-US" w:eastAsia="zh-CN"/>
        </w:rPr>
        <w:t>消融实验设计</w:t>
      </w:r>
    </w:p>
    <w:p w14:paraId="309461C2">
      <w:pPr>
        <w:keepNext w:val="0"/>
        <w:keepLines w:val="0"/>
        <w:widowControl/>
        <w:suppressLineNumbers w:val="0"/>
        <w:ind w:firstLine="420" w:firstLineChars="200"/>
        <w:jc w:val="left"/>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w:rPr>
          <w:rFonts w:hint="eastAsia"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每组消融实验均在同一α网格和重复策略下运行。消融实验提供反事实证据：关闭某机制后系统行为的变化，即该机制的独立贡献，具体设计如下表N。</w:t>
      </w:r>
    </w:p>
    <w:tbl>
      <w:tblPr>
        <w:tblW w:w="68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731"/>
        <w:gridCol w:w="1612"/>
        <w:gridCol w:w="3550"/>
      </w:tblGrid>
      <w:tr w14:paraId="3306A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731" w:type="dxa"/>
            <w:tcBorders>
              <w:top w:val="nil"/>
              <w:left w:val="nil"/>
              <w:bottom w:val="nil"/>
              <w:right w:val="nil"/>
            </w:tcBorders>
            <w:shd w:val="clear" w:color="auto" w:fill="FFFFFF"/>
            <w:vAlign w:val="center"/>
          </w:tcPr>
          <w:p w14:paraId="5F650D88">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实验</w:t>
            </w:r>
          </w:p>
        </w:tc>
        <w:tc>
          <w:tcPr>
            <w:tcW w:w="1612" w:type="dxa"/>
            <w:tcBorders>
              <w:top w:val="nil"/>
              <w:left w:val="nil"/>
              <w:bottom w:val="nil"/>
              <w:right w:val="nil"/>
            </w:tcBorders>
            <w:shd w:val="clear" w:color="auto" w:fill="FFFFFF"/>
            <w:vAlign w:val="center"/>
          </w:tcPr>
          <w:p w14:paraId="61752633">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操作</w:t>
            </w:r>
          </w:p>
        </w:tc>
        <w:tc>
          <w:tcPr>
            <w:tcW w:w="3550" w:type="dxa"/>
            <w:tcBorders>
              <w:top w:val="nil"/>
              <w:left w:val="nil"/>
              <w:bottom w:val="nil"/>
              <w:right w:val="nil"/>
            </w:tcBorders>
            <w:shd w:val="clear" w:color="auto" w:fill="FFFFFF"/>
            <w:vAlign w:val="center"/>
          </w:tcPr>
          <w:p w14:paraId="086306F1">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目的</w:t>
            </w:r>
          </w:p>
        </w:tc>
      </w:tr>
      <w:tr w14:paraId="6BF27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35" w:hRule="atLeast"/>
          <w:jc w:val="center"/>
        </w:trPr>
        <w:tc>
          <w:tcPr>
            <w:tcW w:w="1731" w:type="dxa"/>
            <w:tcBorders>
              <w:top w:val="nil"/>
              <w:left w:val="nil"/>
              <w:bottom w:val="nil"/>
              <w:right w:val="nil"/>
            </w:tcBorders>
            <w:shd w:val="clear" w:color="auto" w:fill="FFFFFF"/>
            <w:vAlign w:val="center"/>
          </w:tcPr>
          <w:p w14:paraId="6C34F258">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No Emotion</w:t>
            </w:r>
          </w:p>
        </w:tc>
        <w:tc>
          <w:tcPr>
            <w:tcW w:w="1612" w:type="dxa"/>
            <w:tcBorders>
              <w:top w:val="nil"/>
              <w:left w:val="nil"/>
              <w:bottom w:val="nil"/>
              <w:right w:val="nil"/>
            </w:tcBorders>
            <w:shd w:val="clear" w:color="auto" w:fill="FFFFFF"/>
            <w:vAlign w:val="center"/>
          </w:tcPr>
          <w:p w14:paraId="241FB26D">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非议程与议程信息情绪分布统一为Beta(2,3)</w:t>
            </w:r>
          </w:p>
        </w:tc>
        <w:tc>
          <w:tcPr>
            <w:tcW w:w="3550" w:type="dxa"/>
            <w:tcBorders>
              <w:top w:val="nil"/>
              <w:left w:val="nil"/>
              <w:bottom w:val="nil"/>
              <w:right w:val="nil"/>
            </w:tcBorders>
            <w:shd w:val="clear" w:color="auto" w:fill="FFFFFF"/>
            <w:vAlign w:val="center"/>
          </w:tcPr>
          <w:p w14:paraId="4AFC434F">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检验情绪优势是否为“第一推动力”</w:t>
            </w:r>
          </w:p>
        </w:tc>
      </w:tr>
      <w:tr w14:paraId="5BBF6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75" w:hRule="atLeast"/>
          <w:jc w:val="center"/>
        </w:trPr>
        <w:tc>
          <w:tcPr>
            <w:tcW w:w="1731" w:type="dxa"/>
            <w:tcBorders>
              <w:top w:val="nil"/>
              <w:left w:val="nil"/>
              <w:bottom w:val="nil"/>
              <w:right w:val="nil"/>
            </w:tcBorders>
            <w:shd w:val="clear" w:color="auto" w:fill="FFFFFF"/>
            <w:vAlign w:val="center"/>
          </w:tcPr>
          <w:p w14:paraId="709D50E6">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No Drift</w:t>
            </w:r>
          </w:p>
        </w:tc>
        <w:tc>
          <w:tcPr>
            <w:tcW w:w="1612" w:type="dxa"/>
            <w:tcBorders>
              <w:top w:val="nil"/>
              <w:left w:val="nil"/>
              <w:bottom w:val="nil"/>
              <w:right w:val="nil"/>
            </w:tcBorders>
            <w:shd w:val="clear" w:color="auto" w:fill="FFFFFF"/>
            <w:vAlign w:val="center"/>
          </w:tcPr>
          <w:p w14:paraId="5FC8DF8F">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偏好漂移速率设为0</w:t>
            </w:r>
          </w:p>
        </w:tc>
        <w:tc>
          <w:tcPr>
            <w:tcW w:w="3550" w:type="dxa"/>
            <w:tcBorders>
              <w:top w:val="nil"/>
              <w:left w:val="nil"/>
              <w:bottom w:val="nil"/>
              <w:right w:val="nil"/>
            </w:tcBorders>
            <w:shd w:val="clear" w:color="auto" w:fill="FFFFFF"/>
            <w:vAlign w:val="center"/>
          </w:tcPr>
          <w:p w14:paraId="703A7418">
            <w:pPr>
              <w:keepNext w:val="0"/>
              <w:keepLines w:val="0"/>
              <w:widowControl/>
              <w:suppressLineNumbers w:val="0"/>
              <w:ind w:firstLine="420" w:firstLineChars="20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检验偏好漂移是否为“加速器”</w:t>
            </w:r>
          </w:p>
        </w:tc>
      </w:tr>
      <w:tr w14:paraId="03815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25" w:hRule="atLeast"/>
          <w:jc w:val="center"/>
        </w:trPr>
        <w:tc>
          <w:tcPr>
            <w:tcW w:w="1731" w:type="dxa"/>
            <w:tcBorders>
              <w:top w:val="nil"/>
              <w:left w:val="nil"/>
              <w:bottom w:val="nil"/>
              <w:right w:val="nil"/>
            </w:tcBorders>
            <w:shd w:val="clear" w:color="auto" w:fill="FFFFFF"/>
            <w:vAlign w:val="center"/>
          </w:tcPr>
          <w:p w14:paraId="00533AF6">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No Response</w:t>
            </w:r>
          </w:p>
        </w:tc>
        <w:tc>
          <w:tcPr>
            <w:tcW w:w="1612" w:type="dxa"/>
            <w:tcBorders>
              <w:top w:val="nil"/>
              <w:left w:val="nil"/>
              <w:bottom w:val="nil"/>
              <w:right w:val="nil"/>
            </w:tcBorders>
            <w:shd w:val="clear" w:color="auto" w:fill="FFFFFF"/>
            <w:vAlign w:val="center"/>
          </w:tcPr>
          <w:p w14:paraId="7F64D6FC">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政府回应强度设为1.0（不压制）</w:t>
            </w:r>
          </w:p>
        </w:tc>
        <w:tc>
          <w:tcPr>
            <w:tcW w:w="3550" w:type="dxa"/>
            <w:tcBorders>
              <w:top w:val="nil"/>
              <w:left w:val="nil"/>
              <w:bottom w:val="nil"/>
              <w:right w:val="nil"/>
            </w:tcBorders>
            <w:shd w:val="clear" w:color="auto" w:fill="FFFFFF"/>
            <w:vAlign w:val="center"/>
          </w:tcPr>
          <w:p w14:paraId="2C488616">
            <w:pPr>
              <w:keepNext w:val="0"/>
              <w:keepLines w:val="0"/>
              <w:widowControl/>
              <w:suppressLineNumbers w:val="0"/>
              <w:ind w:firstLine="420" w:firstLineChars="20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检验政府回应是否为“限幅器”</w:t>
            </w:r>
          </w:p>
        </w:tc>
      </w:tr>
    </w:tbl>
    <w:p w14:paraId="014624E4">
      <w:pPr>
        <w:pStyle w:val="3"/>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b/>
          <w:bCs/>
          <w:i w:val="0"/>
          <w:iCs w:val="0"/>
          <w:caps w:val="0"/>
          <w:strike w:val="0"/>
          <w:color w:val="auto"/>
          <w:spacing w:val="0"/>
          <w:sz w:val="24"/>
          <w:szCs w:val="27"/>
          <w:u w:val="none"/>
          <w:lang w:val="en-US" w:eastAsia="zh-CN"/>
        </w:rPr>
      </w:pPr>
      <w:r>
        <m:rPr/>
        <w:rPr>
          <w:rFonts w:hint="eastAsia" w:ascii="Times New Roman" w:hAnsi="Times New Roman" w:cs="Times New Roman"/>
          <w:b/>
          <w:bCs/>
          <w:i w:val="0"/>
          <w:iCs w:val="0"/>
          <w:caps w:val="0"/>
          <w:strike w:val="0"/>
          <w:color w:val="auto"/>
          <w:spacing w:val="0"/>
          <w:sz w:val="24"/>
          <w:szCs w:val="27"/>
          <w:u w:val="none"/>
          <w:lang w:val="en-US" w:eastAsia="zh-CN"/>
        </w:rPr>
        <w:t>4.4</w:t>
      </w:r>
      <w:r>
        <w:rPr>
          <w:rFonts w:hint="default" w:ascii="Times New Roman" w:hAnsi="Times New Roman" w:cs="Times New Roman"/>
          <w:b/>
          <w:bCs/>
          <w:i w:val="0"/>
          <w:iCs w:val="0"/>
          <w:caps w:val="0"/>
          <w:strike w:val="0"/>
          <w:color w:val="auto"/>
          <w:spacing w:val="0"/>
          <w:sz w:val="24"/>
          <w:szCs w:val="27"/>
          <w:u w:val="none"/>
          <w:lang w:val="en-US" w:eastAsia="zh-CN"/>
        </w:rPr>
        <w:t>稳健性策略</w:t>
      </w:r>
    </w:p>
    <w:p w14:paraId="79248EA5">
      <w:pPr>
        <w:keepNext w:val="0"/>
        <w:keepLines w:val="0"/>
        <w:widowControl/>
        <w:suppressLineNumbers w:val="0"/>
        <w:ind w:firstLine="420" w:firstLineChars="200"/>
        <w:jc w:val="left"/>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敏感性分析：根据外部验证数据（热衰减率偏快、回应延迟偏长），在合理范围内扰动关键参数后重新识别临界点。结果表明临界点位置在0.52-0.63间变动，相变的存在性对所有参数设定保持稳健（详见附录S2）。</w:t>
      </w:r>
    </w:p>
    <w:p w14:paraId="5D25C89E">
      <w:pPr>
        <w:keepNext w:val="0"/>
        <w:keepLines w:val="0"/>
        <w:widowControl/>
        <w:suppressLineNumbers w:val="0"/>
        <w:ind w:firstLine="420" w:firstLineChars="200"/>
        <w:jc w:val="left"/>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外部数据验证：利用五组公开数据（KuaiRand、Wikimedia、UK Petitions、NYC 311、WVS中国2018）对模型关键机制进行外部验证。详细结果见附录S1。</w:t>
      </w:r>
    </w:p>
    <w:p w14:paraId="533CC570">
      <w:pPr>
        <w:keepNext w:val="0"/>
        <w:keepLines w:val="0"/>
        <w:widowControl/>
        <w:suppressLineNumbers w:val="0"/>
        <w:jc w:val="left"/>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p>
    <w:p w14:paraId="5AD4FABE">
      <w:pPr>
        <w:keepNext w:val="0"/>
        <w:keepLines w:val="0"/>
        <w:widowControl/>
        <w:suppressLineNumbers w:val="0"/>
        <w:ind w:firstLine="420" w:firstLineChars="200"/>
        <w:jc w:val="left"/>
        <m:rPr/>
        <w:rPr>
          <w:rFonts w:hint="eastAsia"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eastAsia"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综上，本研究的具体实验总览如下表N</w:t>
      </w:r>
    </w:p>
    <w:tbl>
      <w:tblPr>
        <w:tblW w:w="58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364"/>
        <w:gridCol w:w="3451"/>
      </w:tblGrid>
      <w:tr w14:paraId="4A1F7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jc w:val="center"/>
        </w:trPr>
        <w:tc>
          <w:tcPr>
            <w:tcW w:w="2364" w:type="dxa"/>
            <w:tcBorders>
              <w:top w:val="single" w:color="auto" w:sz="4" w:space="0"/>
              <w:left w:val="single" w:color="auto" w:sz="4" w:space="0"/>
              <w:bottom w:val="single" w:color="auto" w:sz="4" w:space="0"/>
              <w:right w:val="single" w:color="auto" w:sz="4" w:space="0"/>
            </w:tcBorders>
            <w:shd w:val="clear"/>
            <w:vAlign w:val="center"/>
          </w:tcPr>
          <w:p w14:paraId="44CD8D10">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维度</w:t>
            </w:r>
          </w:p>
        </w:tc>
        <w:tc>
          <w:tcPr>
            <w:tcW w:w="3451" w:type="dxa"/>
            <w:tcBorders>
              <w:top w:val="single" w:color="auto" w:sz="4" w:space="0"/>
              <w:left w:val="single" w:color="auto" w:sz="4" w:space="0"/>
              <w:bottom w:val="single" w:color="auto" w:sz="4" w:space="0"/>
              <w:right w:val="single" w:color="auto" w:sz="4" w:space="0"/>
            </w:tcBorders>
            <w:shd w:val="clear"/>
            <w:vAlign w:val="center"/>
          </w:tcPr>
          <w:p w14:paraId="2BBCE72B">
            <w:pPr>
              <w:keepNext w:val="0"/>
              <w:keepLines w:val="0"/>
              <w:widowControl/>
              <w:suppressLineNumbers w:val="0"/>
              <w:ind w:firstLine="420" w:firstLineChars="20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设定</w:t>
            </w:r>
          </w:p>
        </w:tc>
      </w:tr>
      <w:tr w14:paraId="4CC00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95" w:hRule="atLeast"/>
          <w:jc w:val="center"/>
        </w:trPr>
        <w:tc>
          <w:tcPr>
            <w:tcW w:w="2364" w:type="dxa"/>
            <w:tcBorders>
              <w:top w:val="single" w:color="auto" w:sz="4" w:space="0"/>
              <w:left w:val="single" w:color="auto" w:sz="4" w:space="0"/>
              <w:bottom w:val="single" w:color="auto" w:sz="4" w:space="0"/>
              <w:right w:val="single" w:color="auto" w:sz="4" w:space="0"/>
            </w:tcBorders>
            <w:shd w:val="clear"/>
            <w:vAlign w:val="center"/>
          </w:tcPr>
          <w:p w14:paraId="63A3CAAE">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自变量</w:t>
            </w:r>
          </w:p>
        </w:tc>
        <w:tc>
          <w:tcPr>
            <w:tcW w:w="3451" w:type="dxa"/>
            <w:tcBorders>
              <w:top w:val="single" w:color="auto" w:sz="4" w:space="0"/>
              <w:left w:val="single" w:color="auto" w:sz="4" w:space="0"/>
              <w:bottom w:val="single" w:color="auto" w:sz="4" w:space="0"/>
              <w:right w:val="single" w:color="auto" w:sz="4" w:space="0"/>
            </w:tcBorders>
            <w:shd w:val="clear"/>
            <w:vAlign w:val="center"/>
          </w:tcPr>
          <w:p w14:paraId="6BA1E51C">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α ∈ [0,1]，步长0.05，21个水平</w:t>
            </w:r>
          </w:p>
        </w:tc>
      </w:tr>
      <w:tr w14:paraId="5DC64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0" w:hRule="atLeast"/>
          <w:jc w:val="center"/>
        </w:trPr>
        <w:tc>
          <w:tcPr>
            <w:tcW w:w="2364" w:type="dxa"/>
            <w:tcBorders>
              <w:top w:val="single" w:color="auto" w:sz="4" w:space="0"/>
              <w:left w:val="single" w:color="auto" w:sz="4" w:space="0"/>
              <w:bottom w:val="single" w:color="auto" w:sz="4" w:space="0"/>
              <w:right w:val="single" w:color="auto" w:sz="4" w:space="0"/>
            </w:tcBorders>
            <w:shd w:val="clear"/>
            <w:vAlign w:val="center"/>
          </w:tcPr>
          <w:p w14:paraId="6B9386B2">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重复次数</w:t>
            </w:r>
          </w:p>
        </w:tc>
        <w:tc>
          <w:tcPr>
            <w:tcW w:w="3451" w:type="dxa"/>
            <w:tcBorders>
              <w:top w:val="single" w:color="auto" w:sz="4" w:space="0"/>
              <w:left w:val="single" w:color="auto" w:sz="4" w:space="0"/>
              <w:bottom w:val="single" w:color="auto" w:sz="4" w:space="0"/>
              <w:right w:val="single" w:color="auto" w:sz="4" w:space="0"/>
            </w:tcBorders>
            <w:shd w:val="clear"/>
            <w:vAlign w:val="center"/>
          </w:tcPr>
          <w:p w14:paraId="3CFCCA48">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每个α 50次，配对随机种子</w:t>
            </w:r>
          </w:p>
        </w:tc>
      </w:tr>
      <w:tr w14:paraId="6CAAD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jc w:val="center"/>
        </w:trPr>
        <w:tc>
          <w:tcPr>
            <w:tcW w:w="2364" w:type="dxa"/>
            <w:tcBorders>
              <w:top w:val="single" w:color="auto" w:sz="4" w:space="0"/>
              <w:left w:val="single" w:color="auto" w:sz="4" w:space="0"/>
              <w:bottom w:val="single" w:color="auto" w:sz="4" w:space="0"/>
              <w:right w:val="single" w:color="auto" w:sz="4" w:space="0"/>
            </w:tcBorders>
            <w:shd w:val="clear"/>
            <w:vAlign w:val="center"/>
          </w:tcPr>
          <w:p w14:paraId="7851C4E0">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仿真时长</w:t>
            </w:r>
          </w:p>
        </w:tc>
        <w:tc>
          <w:tcPr>
            <w:tcW w:w="3451" w:type="dxa"/>
            <w:tcBorders>
              <w:top w:val="single" w:color="auto" w:sz="4" w:space="0"/>
              <w:left w:val="single" w:color="auto" w:sz="4" w:space="0"/>
              <w:bottom w:val="single" w:color="auto" w:sz="4" w:space="0"/>
              <w:right w:val="single" w:color="auto" w:sz="4" w:space="0"/>
            </w:tcBorders>
            <w:shd w:val="clear"/>
            <w:vAlign w:val="center"/>
          </w:tcPr>
          <w:p w14:paraId="14A1E82D">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300步，稳态窗口为最后100步</w:t>
            </w:r>
          </w:p>
        </w:tc>
      </w:tr>
      <w:tr w14:paraId="4CF86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jc w:val="center"/>
        </w:trPr>
        <w:tc>
          <w:tcPr>
            <w:tcW w:w="2364" w:type="dxa"/>
            <w:tcBorders>
              <w:top w:val="single" w:color="auto" w:sz="4" w:space="0"/>
              <w:left w:val="single" w:color="auto" w:sz="4" w:space="0"/>
              <w:bottom w:val="single" w:color="auto" w:sz="4" w:space="0"/>
              <w:right w:val="single" w:color="auto" w:sz="4" w:space="0"/>
            </w:tcBorders>
            <w:shd w:val="clear"/>
            <w:vAlign w:val="center"/>
          </w:tcPr>
          <w:p w14:paraId="27953593">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公众数量</w:t>
            </w:r>
          </w:p>
        </w:tc>
        <w:tc>
          <w:tcPr>
            <w:tcW w:w="3451" w:type="dxa"/>
            <w:tcBorders>
              <w:top w:val="single" w:color="auto" w:sz="4" w:space="0"/>
              <w:left w:val="single" w:color="auto" w:sz="4" w:space="0"/>
              <w:bottom w:val="single" w:color="auto" w:sz="4" w:space="0"/>
              <w:right w:val="single" w:color="auto" w:sz="4" w:space="0"/>
            </w:tcBorders>
            <w:shd w:val="clear"/>
            <w:vAlign w:val="center"/>
          </w:tcPr>
          <w:p w14:paraId="292F8FB3">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300人</w:t>
            </w:r>
          </w:p>
        </w:tc>
      </w:tr>
      <w:tr w14:paraId="327A4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 w:hRule="atLeast"/>
          <w:jc w:val="center"/>
        </w:trPr>
        <w:tc>
          <w:tcPr>
            <w:tcW w:w="2364" w:type="dxa"/>
            <w:tcBorders>
              <w:top w:val="single" w:color="auto" w:sz="4" w:space="0"/>
              <w:left w:val="single" w:color="auto" w:sz="4" w:space="0"/>
              <w:bottom w:val="single" w:color="auto" w:sz="4" w:space="0"/>
              <w:right w:val="single" w:color="auto" w:sz="4" w:space="0"/>
            </w:tcBorders>
            <w:shd w:val="clear"/>
            <w:vAlign w:val="center"/>
          </w:tcPr>
          <w:p w14:paraId="3628323F">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实验组</w:t>
            </w:r>
          </w:p>
        </w:tc>
        <w:tc>
          <w:tcPr>
            <w:tcW w:w="3451" w:type="dxa"/>
            <w:tcBorders>
              <w:top w:val="single" w:color="auto" w:sz="4" w:space="0"/>
              <w:left w:val="single" w:color="auto" w:sz="4" w:space="0"/>
              <w:bottom w:val="single" w:color="auto" w:sz="4" w:space="0"/>
              <w:right w:val="single" w:color="auto" w:sz="4" w:space="0"/>
            </w:tcBorders>
            <w:shd w:val="clear"/>
            <w:vAlign w:val="center"/>
          </w:tcPr>
          <w:p w14:paraId="571F430C">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Full Model + No Emotion + No Drift + No Response</w:t>
            </w:r>
          </w:p>
        </w:tc>
      </w:tr>
      <w:tr w14:paraId="7D9C9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2364" w:type="dxa"/>
            <w:tcBorders>
              <w:top w:val="single" w:color="auto" w:sz="4" w:space="0"/>
              <w:left w:val="single" w:color="auto" w:sz="4" w:space="0"/>
              <w:bottom w:val="single" w:color="auto" w:sz="4" w:space="0"/>
              <w:right w:val="single" w:color="auto" w:sz="4" w:space="0"/>
            </w:tcBorders>
            <w:shd w:val="clear"/>
            <w:vAlign w:val="center"/>
          </w:tcPr>
          <w:p w14:paraId="09944F10">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总仿真次数</w:t>
            </w:r>
          </w:p>
        </w:tc>
        <w:tc>
          <w:tcPr>
            <w:tcW w:w="3451" w:type="dxa"/>
            <w:tcBorders>
              <w:top w:val="single" w:color="auto" w:sz="4" w:space="0"/>
              <w:left w:val="single" w:color="auto" w:sz="4" w:space="0"/>
              <w:bottom w:val="single" w:color="auto" w:sz="4" w:space="0"/>
              <w:right w:val="single" w:color="auto" w:sz="4" w:space="0"/>
            </w:tcBorders>
            <w:shd w:val="clear"/>
            <w:vAlign w:val="center"/>
          </w:tcPr>
          <w:p w14:paraId="72D8DAE9">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4组 × 21 × 50 = 4,200次</w:t>
            </w:r>
          </w:p>
        </w:tc>
      </w:tr>
      <w:tr w14:paraId="3472A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jc w:val="center"/>
        </w:trPr>
        <w:tc>
          <w:tcPr>
            <w:tcW w:w="2364" w:type="dxa"/>
            <w:tcBorders>
              <w:top w:val="single" w:color="auto" w:sz="4" w:space="0"/>
              <w:left w:val="single" w:color="auto" w:sz="4" w:space="0"/>
              <w:bottom w:val="single" w:color="auto" w:sz="4" w:space="0"/>
              <w:right w:val="single" w:color="auto" w:sz="4" w:space="0"/>
            </w:tcBorders>
            <w:shd w:val="clear"/>
            <w:vAlign w:val="center"/>
          </w:tcPr>
          <w:p w14:paraId="01D3EB57">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临界点识别</w:t>
            </w:r>
          </w:p>
        </w:tc>
        <w:tc>
          <w:tcPr>
            <w:tcW w:w="3451" w:type="dxa"/>
            <w:tcBorders>
              <w:top w:val="single" w:color="auto" w:sz="4" w:space="0"/>
              <w:left w:val="single" w:color="auto" w:sz="4" w:space="0"/>
              <w:bottom w:val="single" w:color="auto" w:sz="4" w:space="0"/>
              <w:right w:val="single" w:color="auto" w:sz="4" w:space="0"/>
            </w:tcBorders>
            <w:shd w:val="clear"/>
            <w:vAlign w:val="center"/>
          </w:tcPr>
          <w:p w14:paraId="5C71A439">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最大斜率法 + Bootstrap 95%区间</w:t>
            </w:r>
          </w:p>
        </w:tc>
      </w:tr>
      <w:tr w14:paraId="54FE9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 w:hRule="atLeast"/>
          <w:jc w:val="center"/>
        </w:trPr>
        <w:tc>
          <w:tcPr>
            <w:tcW w:w="2364" w:type="dxa"/>
            <w:tcBorders>
              <w:top w:val="single" w:color="auto" w:sz="4" w:space="0"/>
              <w:left w:val="single" w:color="auto" w:sz="4" w:space="0"/>
              <w:bottom w:val="single" w:color="auto" w:sz="4" w:space="0"/>
              <w:right w:val="single" w:color="auto" w:sz="4" w:space="0"/>
            </w:tcBorders>
            <w:shd w:val="clear"/>
            <w:vAlign w:val="center"/>
          </w:tcPr>
          <w:p w14:paraId="79C0A6D0">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稳健性检验</w:t>
            </w:r>
            <w:bookmarkStart w:id="0" w:name="_GoBack"/>
            <w:bookmarkEnd w:id="0"/>
          </w:p>
        </w:tc>
        <w:tc>
          <w:tcPr>
            <w:tcW w:w="3451" w:type="dxa"/>
            <w:tcBorders>
              <w:top w:val="single" w:color="auto" w:sz="4" w:space="0"/>
              <w:left w:val="single" w:color="auto" w:sz="4" w:space="0"/>
              <w:bottom w:val="single" w:color="auto" w:sz="4" w:space="0"/>
              <w:right w:val="single" w:color="auto" w:sz="4" w:space="0"/>
            </w:tcBorders>
            <w:shd w:val="clear"/>
            <w:vAlign w:val="center"/>
          </w:tcPr>
          <w:p w14:paraId="7E37784C">
            <w:pPr>
              <w:keepNext w:val="0"/>
              <w:keepLines w:val="0"/>
              <w:widowControl/>
              <w:suppressLineNumbers w:val="0"/>
              <w:jc w:val="cente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r>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t>敏感性分析（附录S2）+ 外部验证（附录S1）</w:t>
            </w:r>
          </w:p>
        </w:tc>
      </w:tr>
    </w:tbl>
    <w:p w14:paraId="1BF07F9E">
      <w:pPr>
        <w:keepNext w:val="0"/>
        <w:keepLines w:val="0"/>
        <w:widowControl/>
        <w:suppressLineNumbers w:val="0"/>
        <w:ind w:firstLine="420" w:firstLineChars="200"/>
        <w:jc w:val="left"/>
        <m:rPr/>
        <w:rPr>
          <w:rFonts w:hint="default" w:ascii="Times New Roman" w:hAnsi="Times New Roman" w:eastAsia="宋体" w:cs="Times New Roman"/>
          <w:bCs w:val="0"/>
          <w:i w:val="0"/>
          <w:color w:val="000000" w:themeColor="text1"/>
          <w:kern w:val="0"/>
          <w:sz w:val="21"/>
          <w:szCs w:val="21"/>
          <w:lang w:val="en-US" w:eastAsia="zh-CN" w:bidi="ar"/>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KaTeX_Math">
    <w:altName w:val="FFont-Family"/>
    <w:panose1 w:val="00000000000000000000"/>
    <w:charset w:val="00"/>
    <w:family w:val="auto"/>
    <w:pitch w:val="default"/>
    <w:sig w:usb0="00000000" w:usb1="00000000" w:usb2="00000000" w:usb3="00000000" w:csb0="00000000" w:csb1="00000000"/>
  </w:font>
  <w:font w:name="Microsoft New Tai Lue">
    <w:panose1 w:val="020B0502040204020203"/>
    <w:charset w:val="00"/>
    <w:family w:val="auto"/>
    <w:pitch w:val="default"/>
    <w:sig w:usb0="00000003" w:usb1="00000000" w:usb2="8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7DB4F1"/>
    <w:multiLevelType w:val="singleLevel"/>
    <w:tmpl w:val="127DB4F1"/>
    <w:lvl w:ilvl="0" w:tentative="0">
      <w:start w:val="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4B149C"/>
    <w:rsid w:val="1B4B149C"/>
    <w:rsid w:val="689D0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 w:type="character" w:customStyle="1" w:styleId="9">
    <w:name w:val="font21"/>
    <w:basedOn w:val="7"/>
    <w:uiPriority w:val="0"/>
    <w:rPr>
      <w:rFonts w:hint="default" w:ascii="Times New Roman" w:hAnsi="Times New Roman" w:cs="Times New Roman"/>
      <w:color w:val="0F1115"/>
      <w:sz w:val="29"/>
      <w:szCs w:val="29"/>
      <w:u w:val="none"/>
    </w:rPr>
  </w:style>
  <w:style w:type="character" w:customStyle="1" w:styleId="10">
    <w:name w:val="font11"/>
    <w:basedOn w:val="7"/>
    <w:uiPriority w:val="0"/>
    <w:rPr>
      <w:rFonts w:hint="default" w:ascii="Segoe UI" w:hAnsi="Segoe UI" w:eastAsia="Segoe UI" w:cs="Segoe UI"/>
      <w:color w:val="0F1115"/>
      <w:sz w:val="22"/>
      <w:szCs w:val="22"/>
      <w:u w:val="none"/>
    </w:rPr>
  </w:style>
  <w:style w:type="character" w:customStyle="1" w:styleId="11">
    <w:name w:val="font31"/>
    <w:basedOn w:val="7"/>
    <w:uiPriority w:val="0"/>
    <w:rPr>
      <w:rFonts w:ascii="KaTeX_Math" w:hAnsi="KaTeX_Math" w:eastAsia="KaTeX_Math" w:cs="KaTeX_Math"/>
      <w:i/>
      <w:iCs/>
      <w:color w:val="0F1115"/>
      <w:sz w:val="29"/>
      <w:szCs w:val="29"/>
      <w:u w:val="none"/>
    </w:rPr>
  </w:style>
  <w:style w:type="character" w:customStyle="1" w:styleId="12">
    <w:name w:val="font41"/>
    <w:basedOn w:val="7"/>
    <w:uiPriority w:val="0"/>
    <w:rPr>
      <w:rFonts w:hint="default" w:ascii="KaTeX_Math" w:hAnsi="KaTeX_Math" w:eastAsia="KaTeX_Math" w:cs="KaTeX_Math"/>
      <w:i/>
      <w:iCs/>
      <w:color w:val="0F1115"/>
      <w:sz w:val="16"/>
      <w:szCs w:val="16"/>
      <w:u w:val="none"/>
    </w:rPr>
  </w:style>
  <w:style w:type="character" w:customStyle="1" w:styleId="13">
    <w:name w:val="font51"/>
    <w:basedOn w:val="7"/>
    <w:uiPriority w:val="0"/>
    <w:rPr>
      <w:rFonts w:hint="default" w:ascii="Times New Roman" w:hAnsi="Times New Roman" w:cs="Times New Roman"/>
      <w:color w:val="0F1115"/>
      <w:sz w:val="1"/>
      <w:szCs w:val="1"/>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273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2026-08-08T01:21:00Z</dcterms:created>
  <dc:creator>忧郁的琴</dc:creator>
  <cp:lastModifiedBy>忧郁的琴</cp:lastModifiedBy>
  <dcterms:modified xsi:type="dcterms:W3CDTF">2026-08-08T06:17:40Z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74A4DD4A318945AC9C09DD1B00E5735B_11</vt:lpwstr>
  </property>
  <property fmtid="{D5CDD505-2E9C-101B-9397-08002B2CF9AE}" pid="4" name="KSOTemplateDocerSaveRecord">
    <vt:lpwstr>eyJoZGlkIjoiMjNhN2RmZmVjZDAzZGE5OTdkY2YzNDJhZGRjZTkwMDEiLCJ1c2VySWQiOiIxMDUzMzMxMDQ1In0=</vt:lpwstr>
  </property>
</Properties>
</file>