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DF908" w14:textId="77777777" w:rsidR="00E13061" w:rsidRPr="00951730" w:rsidRDefault="001D332E" w:rsidP="00951730">
      <w:pPr>
        <w:jc w:val="center"/>
        <w:rPr>
          <w:b/>
          <w:sz w:val="28"/>
          <w:szCs w:val="28"/>
        </w:rPr>
      </w:pPr>
      <w:r w:rsidRPr="00951730">
        <w:rPr>
          <w:b/>
          <w:sz w:val="28"/>
          <w:szCs w:val="28"/>
        </w:rPr>
        <w:t>CODEBOOK</w:t>
      </w:r>
    </w:p>
    <w:p w14:paraId="7F9708CB" w14:textId="77777777" w:rsidR="003051F6" w:rsidRDefault="003051F6"/>
    <w:p w14:paraId="60394290" w14:textId="77777777" w:rsidR="003051F6" w:rsidRDefault="003051F6"/>
    <w:tbl>
      <w:tblPr>
        <w:tblStyle w:val="TableGrid"/>
        <w:tblW w:w="14160" w:type="dxa"/>
        <w:tblBorders>
          <w:insideV w:val="none" w:sz="0" w:space="0" w:color="auto"/>
        </w:tblBorders>
        <w:tblLook w:val="04A0" w:firstRow="1" w:lastRow="0" w:firstColumn="1" w:lastColumn="0" w:noHBand="0" w:noVBand="1"/>
      </w:tblPr>
      <w:tblGrid>
        <w:gridCol w:w="3081"/>
        <w:gridCol w:w="5365"/>
        <w:gridCol w:w="5714"/>
      </w:tblGrid>
      <w:tr w:rsidR="004F0A93" w:rsidRPr="00951730" w14:paraId="6033B5F5" w14:textId="77777777" w:rsidTr="008E3721">
        <w:trPr>
          <w:cantSplit/>
        </w:trPr>
        <w:tc>
          <w:tcPr>
            <w:tcW w:w="3081" w:type="dxa"/>
            <w:shd w:val="clear" w:color="auto" w:fill="auto"/>
          </w:tcPr>
          <w:p w14:paraId="126A6F44" w14:textId="3AD85361" w:rsidR="003051F6" w:rsidRPr="00951730" w:rsidRDefault="003051F6">
            <w:pPr>
              <w:rPr>
                <w:b/>
                <w:sz w:val="28"/>
                <w:szCs w:val="28"/>
              </w:rPr>
            </w:pPr>
            <w:r w:rsidRPr="00951730">
              <w:rPr>
                <w:b/>
                <w:sz w:val="28"/>
                <w:szCs w:val="28"/>
              </w:rPr>
              <w:t>Variable</w:t>
            </w:r>
          </w:p>
        </w:tc>
        <w:tc>
          <w:tcPr>
            <w:tcW w:w="5365" w:type="dxa"/>
            <w:shd w:val="clear" w:color="auto" w:fill="auto"/>
          </w:tcPr>
          <w:p w14:paraId="183B417C" w14:textId="18038A74" w:rsidR="003051F6" w:rsidRPr="00951730" w:rsidRDefault="003051F6" w:rsidP="003051F6">
            <w:pPr>
              <w:rPr>
                <w:rFonts w:ascii="Calibri" w:eastAsia="Times New Roman" w:hAnsi="Calibri"/>
                <w:b/>
                <w:iCs/>
                <w:color w:val="000000"/>
                <w:sz w:val="28"/>
                <w:szCs w:val="28"/>
              </w:rPr>
            </w:pPr>
            <w:r w:rsidRPr="00951730">
              <w:rPr>
                <w:rFonts w:ascii="Calibri" w:eastAsia="Times New Roman" w:hAnsi="Calibri"/>
                <w:b/>
                <w:iCs/>
                <w:color w:val="000000"/>
                <w:sz w:val="28"/>
                <w:szCs w:val="28"/>
              </w:rPr>
              <w:t>Definition</w:t>
            </w:r>
          </w:p>
        </w:tc>
        <w:tc>
          <w:tcPr>
            <w:tcW w:w="5714" w:type="dxa"/>
            <w:shd w:val="clear" w:color="auto" w:fill="auto"/>
          </w:tcPr>
          <w:p w14:paraId="344BEF9A" w14:textId="5AE3524A" w:rsidR="003051F6" w:rsidRPr="00951730" w:rsidRDefault="003051F6" w:rsidP="003051F6">
            <w:pPr>
              <w:rPr>
                <w:rFonts w:ascii="Calibri" w:eastAsia="Times New Roman" w:hAnsi="Calibri"/>
                <w:b/>
                <w:iCs/>
                <w:color w:val="000000"/>
                <w:sz w:val="28"/>
                <w:szCs w:val="28"/>
              </w:rPr>
            </w:pPr>
            <w:r w:rsidRPr="00951730">
              <w:rPr>
                <w:rFonts w:ascii="Calibri" w:eastAsia="Times New Roman" w:hAnsi="Calibri"/>
                <w:b/>
                <w:iCs/>
                <w:color w:val="000000"/>
                <w:sz w:val="28"/>
                <w:szCs w:val="28"/>
              </w:rPr>
              <w:t>Source</w:t>
            </w:r>
          </w:p>
        </w:tc>
      </w:tr>
      <w:tr w:rsidR="004F0A93" w:rsidRPr="003051F6" w14:paraId="012A4FA8" w14:textId="77777777" w:rsidTr="008E3721">
        <w:trPr>
          <w:cantSplit/>
          <w:trHeight w:val="377"/>
        </w:trPr>
        <w:tc>
          <w:tcPr>
            <w:tcW w:w="3081" w:type="dxa"/>
            <w:shd w:val="clear" w:color="auto" w:fill="auto"/>
          </w:tcPr>
          <w:p w14:paraId="757B89A0" w14:textId="0593F976" w:rsidR="008F1B4C" w:rsidRPr="003051F6" w:rsidRDefault="00820E09">
            <w:r>
              <w:t>BCA</w:t>
            </w:r>
          </w:p>
        </w:tc>
        <w:tc>
          <w:tcPr>
            <w:tcW w:w="5365" w:type="dxa"/>
            <w:shd w:val="clear" w:color="auto" w:fill="auto"/>
          </w:tcPr>
          <w:p w14:paraId="1F5BBCB5" w14:textId="55FDA177" w:rsidR="008F1B4C" w:rsidRPr="00820E09" w:rsidRDefault="00820E09" w:rsidP="003051F6">
            <w:pPr>
              <w:rPr>
                <w:rFonts w:ascii="Calibri" w:eastAsia="Times New Roman" w:hAnsi="Calibri"/>
                <w:iCs/>
                <w:color w:val="000000"/>
                <w:sz w:val="22"/>
                <w:szCs w:val="22"/>
              </w:rPr>
            </w:pPr>
            <w:r w:rsidRPr="00820E09">
              <w:rPr>
                <w:rFonts w:ascii="Calibri" w:eastAsia="Times New Roman" w:hAnsi="Calibri"/>
                <w:iCs/>
                <w:color w:val="000000"/>
                <w:sz w:val="22"/>
                <w:szCs w:val="22"/>
              </w:rPr>
              <w:t>Current account balance (U.S. dollars</w:t>
            </w:r>
            <w:r>
              <w:rPr>
                <w:rFonts w:ascii="Calibri" w:eastAsia="Times New Roman" w:hAnsi="Calibri"/>
                <w:iCs/>
                <w:color w:val="000000"/>
                <w:sz w:val="22"/>
                <w:szCs w:val="22"/>
              </w:rPr>
              <w:t>, billions</w:t>
            </w:r>
            <w:r w:rsidRPr="00820E09">
              <w:rPr>
                <w:rFonts w:ascii="Calibri" w:eastAsia="Times New Roman" w:hAnsi="Calibri"/>
                <w:iCs/>
                <w:color w:val="000000"/>
                <w:sz w:val="22"/>
                <w:szCs w:val="22"/>
              </w:rPr>
              <w:t>)</w:t>
            </w:r>
          </w:p>
        </w:tc>
        <w:tc>
          <w:tcPr>
            <w:tcW w:w="5714" w:type="dxa"/>
            <w:shd w:val="clear" w:color="auto" w:fill="auto"/>
          </w:tcPr>
          <w:p w14:paraId="1D632FB7" w14:textId="78578C98" w:rsidR="008F1B4C" w:rsidRDefault="007B299B" w:rsidP="007B299B">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5"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4F0A93" w:rsidRPr="003051F6" w14:paraId="4BC27E41" w14:textId="77777777" w:rsidTr="008E3721">
        <w:trPr>
          <w:cantSplit/>
          <w:trHeight w:val="602"/>
        </w:trPr>
        <w:tc>
          <w:tcPr>
            <w:tcW w:w="3081" w:type="dxa"/>
            <w:shd w:val="clear" w:color="auto" w:fill="auto"/>
          </w:tcPr>
          <w:p w14:paraId="4F3EA125" w14:textId="25CA28DB" w:rsidR="008F1B4C" w:rsidRPr="003051F6" w:rsidRDefault="00820E09">
            <w:r w:rsidRPr="00820E09">
              <w:t>GGXCNL_NGDP</w:t>
            </w:r>
          </w:p>
        </w:tc>
        <w:tc>
          <w:tcPr>
            <w:tcW w:w="5365" w:type="dxa"/>
            <w:shd w:val="clear" w:color="auto" w:fill="auto"/>
          </w:tcPr>
          <w:p w14:paraId="30B8DC5D" w14:textId="6E53E81C" w:rsidR="008F1B4C" w:rsidRPr="003051F6" w:rsidRDefault="00820E09" w:rsidP="003051F6">
            <w:pPr>
              <w:rPr>
                <w:rFonts w:ascii="Calibri" w:eastAsia="Times New Roman" w:hAnsi="Calibri"/>
                <w:iCs/>
                <w:color w:val="000000"/>
                <w:sz w:val="22"/>
                <w:szCs w:val="22"/>
              </w:rPr>
            </w:pPr>
            <w:r w:rsidRPr="00820E09">
              <w:rPr>
                <w:rFonts w:ascii="Calibri" w:eastAsia="Times New Roman" w:hAnsi="Calibri"/>
                <w:iCs/>
                <w:color w:val="000000"/>
                <w:sz w:val="22"/>
                <w:szCs w:val="22"/>
              </w:rPr>
              <w:t>General government net lending/borrowing (Percent of GDP)</w:t>
            </w:r>
          </w:p>
        </w:tc>
        <w:tc>
          <w:tcPr>
            <w:tcW w:w="5714" w:type="dxa"/>
            <w:shd w:val="clear" w:color="auto" w:fill="auto"/>
          </w:tcPr>
          <w:p w14:paraId="3EEAAB82" w14:textId="76856A99" w:rsidR="008F1B4C" w:rsidRDefault="007B299B"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6"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4F0A93" w:rsidRPr="003051F6" w14:paraId="5EDD31A1" w14:textId="77777777" w:rsidTr="008E3721">
        <w:trPr>
          <w:cantSplit/>
          <w:trHeight w:val="1151"/>
        </w:trPr>
        <w:tc>
          <w:tcPr>
            <w:tcW w:w="3081" w:type="dxa"/>
            <w:shd w:val="clear" w:color="auto" w:fill="auto"/>
          </w:tcPr>
          <w:p w14:paraId="7F727041" w14:textId="488CA7EF" w:rsidR="008F1B4C" w:rsidRPr="003051F6" w:rsidRDefault="00820E09">
            <w:r w:rsidRPr="00820E09">
              <w:t>GGXONLB_NGDP</w:t>
            </w:r>
          </w:p>
        </w:tc>
        <w:tc>
          <w:tcPr>
            <w:tcW w:w="5365" w:type="dxa"/>
            <w:shd w:val="clear" w:color="auto" w:fill="auto"/>
          </w:tcPr>
          <w:p w14:paraId="64497C5A" w14:textId="53D5D160" w:rsidR="008F1B4C" w:rsidRPr="003051F6" w:rsidRDefault="00820E09" w:rsidP="003051F6">
            <w:pPr>
              <w:rPr>
                <w:rFonts w:ascii="Calibri" w:eastAsia="Times New Roman" w:hAnsi="Calibri"/>
                <w:iCs/>
                <w:color w:val="000000"/>
                <w:sz w:val="22"/>
                <w:szCs w:val="22"/>
              </w:rPr>
            </w:pPr>
            <w:r w:rsidRPr="00820E09">
              <w:rPr>
                <w:rFonts w:ascii="Calibri" w:eastAsia="Times New Roman" w:hAnsi="Calibri"/>
                <w:iCs/>
                <w:color w:val="000000"/>
                <w:sz w:val="22"/>
                <w:szCs w:val="22"/>
              </w:rPr>
              <w:t>General government primary net lending/borrowing (Percent of GDP)</w:t>
            </w:r>
          </w:p>
        </w:tc>
        <w:tc>
          <w:tcPr>
            <w:tcW w:w="5714" w:type="dxa"/>
            <w:shd w:val="clear" w:color="auto" w:fill="auto"/>
          </w:tcPr>
          <w:p w14:paraId="72346395" w14:textId="775763F1" w:rsidR="008F1B4C" w:rsidRDefault="007B299B"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7"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4F0A93" w:rsidRPr="003051F6" w14:paraId="47ED7287" w14:textId="77777777" w:rsidTr="008E3721">
        <w:trPr>
          <w:cantSplit/>
          <w:trHeight w:val="1205"/>
        </w:trPr>
        <w:tc>
          <w:tcPr>
            <w:tcW w:w="3081" w:type="dxa"/>
            <w:shd w:val="clear" w:color="auto" w:fill="auto"/>
          </w:tcPr>
          <w:p w14:paraId="66C5D9E8" w14:textId="2109215F" w:rsidR="008F1B4C" w:rsidRPr="003051F6" w:rsidRDefault="00820E09">
            <w:r w:rsidRPr="00820E09">
              <w:t>GGXWDG_NGDP</w:t>
            </w:r>
            <w:r w:rsidR="00BA1974">
              <w:t xml:space="preserve"> (log)</w:t>
            </w:r>
            <w:bookmarkStart w:id="0" w:name="_GoBack"/>
            <w:bookmarkEnd w:id="0"/>
          </w:p>
        </w:tc>
        <w:tc>
          <w:tcPr>
            <w:tcW w:w="5365" w:type="dxa"/>
            <w:shd w:val="clear" w:color="auto" w:fill="auto"/>
          </w:tcPr>
          <w:p w14:paraId="4F45931D" w14:textId="67AD3685" w:rsidR="008F1B4C" w:rsidRPr="003051F6" w:rsidRDefault="00820E09" w:rsidP="003051F6">
            <w:pPr>
              <w:rPr>
                <w:rFonts w:ascii="Calibri" w:eastAsia="Times New Roman" w:hAnsi="Calibri"/>
                <w:iCs/>
                <w:color w:val="000000"/>
                <w:sz w:val="22"/>
                <w:szCs w:val="22"/>
              </w:rPr>
            </w:pPr>
            <w:r w:rsidRPr="00820E09">
              <w:rPr>
                <w:rFonts w:ascii="Calibri" w:eastAsia="Times New Roman" w:hAnsi="Calibri"/>
                <w:iCs/>
                <w:color w:val="000000"/>
                <w:sz w:val="22"/>
                <w:szCs w:val="22"/>
              </w:rPr>
              <w:t>General government gross debt (Percent of GDP)</w:t>
            </w:r>
          </w:p>
        </w:tc>
        <w:tc>
          <w:tcPr>
            <w:tcW w:w="5714" w:type="dxa"/>
            <w:shd w:val="clear" w:color="auto" w:fill="auto"/>
          </w:tcPr>
          <w:p w14:paraId="3B29A6B6" w14:textId="6EA21833" w:rsidR="008F1B4C" w:rsidRDefault="007B299B"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8"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E13061" w:rsidRPr="003051F6" w14:paraId="33C5A093" w14:textId="77777777" w:rsidTr="008E3721">
        <w:trPr>
          <w:cantSplit/>
        </w:trPr>
        <w:tc>
          <w:tcPr>
            <w:tcW w:w="3081" w:type="dxa"/>
            <w:shd w:val="clear" w:color="auto" w:fill="auto"/>
          </w:tcPr>
          <w:p w14:paraId="19390BB5" w14:textId="0CF11C06" w:rsidR="00E13061" w:rsidRPr="003051F6" w:rsidRDefault="00820E09">
            <w:r w:rsidRPr="00820E09">
              <w:t>GGX_NGDP</w:t>
            </w:r>
          </w:p>
        </w:tc>
        <w:tc>
          <w:tcPr>
            <w:tcW w:w="5365" w:type="dxa"/>
            <w:shd w:val="clear" w:color="auto" w:fill="auto"/>
          </w:tcPr>
          <w:p w14:paraId="3C82CF3C" w14:textId="708AD149" w:rsidR="00E13061" w:rsidRPr="003051F6" w:rsidRDefault="00820E09" w:rsidP="003051F6">
            <w:pPr>
              <w:rPr>
                <w:rFonts w:ascii="Calibri" w:eastAsia="Times New Roman" w:hAnsi="Calibri"/>
                <w:iCs/>
                <w:color w:val="000000"/>
                <w:sz w:val="22"/>
                <w:szCs w:val="22"/>
              </w:rPr>
            </w:pPr>
            <w:r w:rsidRPr="00820E09">
              <w:rPr>
                <w:rFonts w:ascii="Calibri" w:eastAsia="Times New Roman" w:hAnsi="Calibri"/>
                <w:iCs/>
                <w:color w:val="000000"/>
                <w:sz w:val="22"/>
                <w:szCs w:val="22"/>
              </w:rPr>
              <w:t>General government total expenditure (Percent of GDP)</w:t>
            </w:r>
          </w:p>
        </w:tc>
        <w:tc>
          <w:tcPr>
            <w:tcW w:w="5714" w:type="dxa"/>
            <w:shd w:val="clear" w:color="auto" w:fill="auto"/>
          </w:tcPr>
          <w:p w14:paraId="0154F848" w14:textId="5B873BE9" w:rsidR="00E13061" w:rsidRDefault="007B299B"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9"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E13061" w:rsidRPr="003051F6" w14:paraId="000C67FC" w14:textId="77777777" w:rsidTr="00BA1974">
        <w:trPr>
          <w:cantSplit/>
          <w:trHeight w:val="1178"/>
        </w:trPr>
        <w:tc>
          <w:tcPr>
            <w:tcW w:w="3081" w:type="dxa"/>
            <w:shd w:val="clear" w:color="auto" w:fill="auto"/>
          </w:tcPr>
          <w:p w14:paraId="3FADE6A5" w14:textId="293A0758" w:rsidR="00E13061" w:rsidRPr="003051F6" w:rsidRDefault="00820E09">
            <w:r w:rsidRPr="00820E09">
              <w:t>NGDPD</w:t>
            </w:r>
            <w:r w:rsidR="00BA1974">
              <w:t>(log)</w:t>
            </w:r>
          </w:p>
        </w:tc>
        <w:tc>
          <w:tcPr>
            <w:tcW w:w="5365" w:type="dxa"/>
            <w:shd w:val="clear" w:color="auto" w:fill="auto"/>
          </w:tcPr>
          <w:p w14:paraId="0D76129C" w14:textId="7CB267A4" w:rsidR="00E13061" w:rsidRPr="003051F6" w:rsidRDefault="00820E09" w:rsidP="003051F6">
            <w:pPr>
              <w:rPr>
                <w:rFonts w:ascii="Calibri" w:eastAsia="Times New Roman" w:hAnsi="Calibri"/>
                <w:iCs/>
                <w:color w:val="000000"/>
                <w:sz w:val="22"/>
                <w:szCs w:val="22"/>
              </w:rPr>
            </w:pPr>
            <w:r w:rsidRPr="00820E09">
              <w:rPr>
                <w:rFonts w:ascii="Calibri" w:eastAsia="Times New Roman" w:hAnsi="Calibri"/>
                <w:iCs/>
                <w:color w:val="000000"/>
                <w:sz w:val="22"/>
                <w:szCs w:val="22"/>
              </w:rPr>
              <w:t>Gross domestic product, current prices (U.S. dollars</w:t>
            </w:r>
            <w:r>
              <w:rPr>
                <w:rFonts w:ascii="Calibri" w:eastAsia="Times New Roman" w:hAnsi="Calibri"/>
                <w:iCs/>
                <w:color w:val="000000"/>
                <w:sz w:val="22"/>
                <w:szCs w:val="22"/>
              </w:rPr>
              <w:t>, billions</w:t>
            </w:r>
            <w:r w:rsidRPr="00820E09">
              <w:rPr>
                <w:rFonts w:ascii="Calibri" w:eastAsia="Times New Roman" w:hAnsi="Calibri"/>
                <w:iCs/>
                <w:color w:val="000000"/>
                <w:sz w:val="22"/>
                <w:szCs w:val="22"/>
              </w:rPr>
              <w:t>)</w:t>
            </w:r>
            <w:r>
              <w:rPr>
                <w:rFonts w:ascii="Calibri" w:eastAsia="Times New Roman" w:hAnsi="Calibri"/>
                <w:iCs/>
                <w:color w:val="000000"/>
                <w:sz w:val="22"/>
                <w:szCs w:val="22"/>
              </w:rPr>
              <w:t xml:space="preserve"> </w:t>
            </w:r>
            <w:r w:rsidRPr="00820E09">
              <w:rPr>
                <w:rFonts w:ascii="Calibri" w:eastAsia="Times New Roman" w:hAnsi="Calibri"/>
                <w:iCs/>
                <w:color w:val="000000"/>
                <w:sz w:val="22"/>
                <w:szCs w:val="22"/>
              </w:rPr>
              <w:t>Values are based upon GDP in national currency converted to U.S. dollars</w:t>
            </w:r>
          </w:p>
        </w:tc>
        <w:tc>
          <w:tcPr>
            <w:tcW w:w="5714" w:type="dxa"/>
            <w:shd w:val="clear" w:color="auto" w:fill="auto"/>
          </w:tcPr>
          <w:p w14:paraId="05B4B18F" w14:textId="6E123C53" w:rsidR="00E13061" w:rsidRDefault="007B299B"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10"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E13061" w:rsidRPr="003051F6" w14:paraId="2F0DFF4A" w14:textId="77777777" w:rsidTr="008E3721">
        <w:trPr>
          <w:cantSplit/>
        </w:trPr>
        <w:tc>
          <w:tcPr>
            <w:tcW w:w="3081" w:type="dxa"/>
            <w:shd w:val="clear" w:color="auto" w:fill="auto"/>
          </w:tcPr>
          <w:p w14:paraId="76FDE863" w14:textId="3238835A" w:rsidR="00E13061" w:rsidRPr="003051F6" w:rsidRDefault="00820E09">
            <w:r w:rsidRPr="00820E09">
              <w:lastRenderedPageBreak/>
              <w:t>NGDPDPC</w:t>
            </w:r>
            <w:r w:rsidR="00BA1974">
              <w:t>(log)</w:t>
            </w:r>
          </w:p>
        </w:tc>
        <w:tc>
          <w:tcPr>
            <w:tcW w:w="5365" w:type="dxa"/>
            <w:shd w:val="clear" w:color="auto" w:fill="auto"/>
          </w:tcPr>
          <w:p w14:paraId="05C926DD" w14:textId="31979B89" w:rsidR="00E13061" w:rsidRPr="003051F6" w:rsidRDefault="00820E09" w:rsidP="003051F6">
            <w:pPr>
              <w:rPr>
                <w:rFonts w:ascii="Calibri" w:eastAsia="Times New Roman" w:hAnsi="Calibri"/>
                <w:iCs/>
                <w:color w:val="000000"/>
                <w:sz w:val="22"/>
                <w:szCs w:val="22"/>
              </w:rPr>
            </w:pPr>
            <w:r w:rsidRPr="00820E09">
              <w:rPr>
                <w:rFonts w:ascii="Calibri" w:eastAsia="Times New Roman" w:hAnsi="Calibri"/>
                <w:iCs/>
                <w:color w:val="000000"/>
                <w:sz w:val="22"/>
                <w:szCs w:val="22"/>
              </w:rPr>
              <w:t>Gross domestic product per capita, current prices (U.S. dollars)</w:t>
            </w:r>
            <w:r>
              <w:rPr>
                <w:rFonts w:ascii="Calibri" w:eastAsia="Times New Roman" w:hAnsi="Calibri"/>
                <w:iCs/>
                <w:color w:val="000000"/>
                <w:sz w:val="22"/>
                <w:szCs w:val="22"/>
              </w:rPr>
              <w:t xml:space="preserve"> </w:t>
            </w:r>
            <w:r w:rsidRPr="00820E09">
              <w:rPr>
                <w:rFonts w:ascii="Calibri" w:eastAsia="Times New Roman" w:hAnsi="Calibri"/>
                <w:iCs/>
                <w:color w:val="000000"/>
                <w:sz w:val="22"/>
                <w:szCs w:val="22"/>
              </w:rPr>
              <w:t>GDP is expressed in current U.S. dollars per person. Data are derived by first converting GDP in national currency to U.S. dollars and then dividing it by total population.</w:t>
            </w:r>
          </w:p>
        </w:tc>
        <w:tc>
          <w:tcPr>
            <w:tcW w:w="5714" w:type="dxa"/>
            <w:shd w:val="clear" w:color="auto" w:fill="auto"/>
          </w:tcPr>
          <w:p w14:paraId="10E4A802" w14:textId="4CA11E75" w:rsidR="00E13061" w:rsidRDefault="007B299B"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11"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E13061" w:rsidRPr="003051F6" w14:paraId="1BD1D03E" w14:textId="77777777" w:rsidTr="00BA1974">
        <w:trPr>
          <w:cantSplit/>
          <w:trHeight w:val="1934"/>
        </w:trPr>
        <w:tc>
          <w:tcPr>
            <w:tcW w:w="3081" w:type="dxa"/>
            <w:shd w:val="clear" w:color="auto" w:fill="auto"/>
          </w:tcPr>
          <w:p w14:paraId="470773F4" w14:textId="63558805" w:rsidR="00E13061" w:rsidRPr="003051F6" w:rsidRDefault="00820E09">
            <w:r w:rsidRPr="00820E09">
              <w:t>NGDP_RPCH</w:t>
            </w:r>
          </w:p>
        </w:tc>
        <w:tc>
          <w:tcPr>
            <w:tcW w:w="5365" w:type="dxa"/>
            <w:shd w:val="clear" w:color="auto" w:fill="auto"/>
          </w:tcPr>
          <w:p w14:paraId="03F828B8" w14:textId="0FEBE978" w:rsidR="00E13061" w:rsidRPr="003051F6" w:rsidRDefault="00820E09" w:rsidP="003051F6">
            <w:pPr>
              <w:rPr>
                <w:rFonts w:ascii="Calibri" w:eastAsia="Times New Roman" w:hAnsi="Calibri"/>
                <w:iCs/>
                <w:color w:val="000000"/>
                <w:sz w:val="22"/>
                <w:szCs w:val="22"/>
              </w:rPr>
            </w:pPr>
            <w:r w:rsidRPr="00820E09">
              <w:rPr>
                <w:rFonts w:ascii="Calibri" w:eastAsia="Times New Roman" w:hAnsi="Calibri"/>
                <w:iCs/>
                <w:color w:val="000000"/>
                <w:sz w:val="22"/>
                <w:szCs w:val="22"/>
              </w:rPr>
              <w:t>Gross domestic product, constant prices (Percent change)</w:t>
            </w:r>
            <w:r>
              <w:rPr>
                <w:rFonts w:ascii="Calibri" w:eastAsia="Times New Roman" w:hAnsi="Calibri"/>
                <w:iCs/>
                <w:color w:val="000000"/>
                <w:sz w:val="22"/>
                <w:szCs w:val="22"/>
              </w:rPr>
              <w:t xml:space="preserve"> </w:t>
            </w:r>
            <w:r w:rsidRPr="00820E09">
              <w:rPr>
                <w:rFonts w:ascii="Calibri" w:eastAsia="Times New Roman" w:hAnsi="Calibri"/>
                <w:iCs/>
                <w:color w:val="000000"/>
                <w:sz w:val="22"/>
                <w:szCs w:val="22"/>
              </w:rPr>
              <w:t>Annual percentages of constant price GDP are year-on-year changes; the base year is country-</w:t>
            </w:r>
            <w:proofErr w:type="gramStart"/>
            <w:r w:rsidRPr="00820E09">
              <w:rPr>
                <w:rFonts w:ascii="Calibri" w:eastAsia="Times New Roman" w:hAnsi="Calibri"/>
                <w:iCs/>
                <w:color w:val="000000"/>
                <w:sz w:val="22"/>
                <w:szCs w:val="22"/>
              </w:rPr>
              <w:t>specific .</w:t>
            </w:r>
            <w:proofErr w:type="gramEnd"/>
            <w:r w:rsidRPr="00820E09">
              <w:rPr>
                <w:rFonts w:ascii="Calibri" w:eastAsia="Times New Roman" w:hAnsi="Calibri"/>
                <w:iCs/>
                <w:color w:val="000000"/>
                <w:sz w:val="22"/>
                <w:szCs w:val="22"/>
              </w:rPr>
              <w:t xml:space="preserve"> Expenditure-based GDP is total final expenditures at purchasers? prices (including the f.o.b. value of exports of goods and services), less the f.o.b. value of imports of goods and services. [SNA 1993]</w:t>
            </w:r>
          </w:p>
        </w:tc>
        <w:tc>
          <w:tcPr>
            <w:tcW w:w="5714" w:type="dxa"/>
            <w:shd w:val="clear" w:color="auto" w:fill="auto"/>
          </w:tcPr>
          <w:p w14:paraId="623EBC7C" w14:textId="5C1A5454" w:rsidR="00E13061" w:rsidRDefault="007B299B"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12"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4F0A93" w:rsidRPr="003051F6" w14:paraId="20686CF3" w14:textId="77777777" w:rsidTr="008E3721">
        <w:trPr>
          <w:cantSplit/>
          <w:trHeight w:val="323"/>
        </w:trPr>
        <w:tc>
          <w:tcPr>
            <w:tcW w:w="3081" w:type="dxa"/>
            <w:shd w:val="clear" w:color="auto" w:fill="auto"/>
          </w:tcPr>
          <w:p w14:paraId="011734E8" w14:textId="33EAC8CB" w:rsidR="008F1B4C" w:rsidRPr="003051F6" w:rsidRDefault="008E4BB2">
            <w:r w:rsidRPr="008E4BB2">
              <w:t>NGSD_NGDP</w:t>
            </w:r>
            <w:r w:rsidR="00BA1974">
              <w:t xml:space="preserve"> (log)</w:t>
            </w:r>
          </w:p>
        </w:tc>
        <w:tc>
          <w:tcPr>
            <w:tcW w:w="5365" w:type="dxa"/>
            <w:shd w:val="clear" w:color="auto" w:fill="auto"/>
          </w:tcPr>
          <w:p w14:paraId="7255583C" w14:textId="13B84945" w:rsidR="008F1B4C" w:rsidRPr="003051F6" w:rsidRDefault="008E4BB2" w:rsidP="003051F6">
            <w:pPr>
              <w:rPr>
                <w:rFonts w:ascii="Calibri" w:eastAsia="Times New Roman" w:hAnsi="Calibri"/>
                <w:iCs/>
                <w:color w:val="000000"/>
                <w:sz w:val="22"/>
                <w:szCs w:val="22"/>
              </w:rPr>
            </w:pPr>
            <w:r w:rsidRPr="008E4BB2">
              <w:rPr>
                <w:rFonts w:ascii="Calibri" w:eastAsia="Times New Roman" w:hAnsi="Calibri"/>
                <w:iCs/>
                <w:color w:val="000000"/>
                <w:sz w:val="22"/>
                <w:szCs w:val="22"/>
              </w:rPr>
              <w:t>Gross national savings (Percent of GDP)</w:t>
            </w:r>
            <w:r>
              <w:rPr>
                <w:rFonts w:ascii="Calibri" w:eastAsia="Times New Roman" w:hAnsi="Calibri"/>
                <w:iCs/>
                <w:color w:val="000000"/>
                <w:sz w:val="22"/>
                <w:szCs w:val="22"/>
              </w:rPr>
              <w:t xml:space="preserve">. </w:t>
            </w:r>
            <w:r w:rsidRPr="008E4BB2">
              <w:rPr>
                <w:rFonts w:ascii="Calibri" w:eastAsia="Times New Roman" w:hAnsi="Calibri"/>
                <w:iCs/>
                <w:color w:val="000000"/>
                <w:sz w:val="22"/>
                <w:szCs w:val="22"/>
              </w:rPr>
              <w:t>Expressed as a ratio of gross national savings in current local currency and GDP in current local currency. Gross national saving is gross disposable income less final consumption expenditure after taking account of an adjustment for pension funds. [SNA 1993] For many countries, the estimates of national saving are built up from national accounts data on gross domestic investment and from balance of payments-based data on net foreign investment.</w:t>
            </w:r>
          </w:p>
        </w:tc>
        <w:tc>
          <w:tcPr>
            <w:tcW w:w="5714" w:type="dxa"/>
            <w:shd w:val="clear" w:color="auto" w:fill="auto"/>
          </w:tcPr>
          <w:p w14:paraId="4F26D93A" w14:textId="792214F2" w:rsidR="008F1B4C" w:rsidRDefault="007B299B"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13"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8E4BB2" w:rsidRPr="003051F6" w14:paraId="7AB73F22" w14:textId="77777777" w:rsidTr="00BA1974">
        <w:trPr>
          <w:cantSplit/>
          <w:trHeight w:val="5435"/>
        </w:trPr>
        <w:tc>
          <w:tcPr>
            <w:tcW w:w="3081" w:type="dxa"/>
            <w:shd w:val="clear" w:color="auto" w:fill="auto"/>
          </w:tcPr>
          <w:p w14:paraId="22B9545C" w14:textId="5125D3BC" w:rsidR="008E4BB2" w:rsidRPr="008E4BB2" w:rsidRDefault="008E4BB2">
            <w:r w:rsidRPr="008E4BB2">
              <w:t>PCPI</w:t>
            </w:r>
            <w:r w:rsidR="00BA1974">
              <w:t xml:space="preserve"> (log)</w:t>
            </w:r>
          </w:p>
        </w:tc>
        <w:tc>
          <w:tcPr>
            <w:tcW w:w="5365" w:type="dxa"/>
            <w:shd w:val="clear" w:color="auto" w:fill="auto"/>
          </w:tcPr>
          <w:p w14:paraId="3AE60AB7" w14:textId="1261F4FF" w:rsidR="008E4BB2" w:rsidRPr="008E4BB2" w:rsidRDefault="008E4BB2" w:rsidP="003051F6">
            <w:pPr>
              <w:rPr>
                <w:rFonts w:ascii="Calibri" w:eastAsia="Times New Roman" w:hAnsi="Calibri"/>
                <w:iCs/>
                <w:color w:val="000000"/>
                <w:sz w:val="22"/>
                <w:szCs w:val="22"/>
              </w:rPr>
            </w:pPr>
            <w:r w:rsidRPr="008E4BB2">
              <w:rPr>
                <w:rFonts w:ascii="Calibri" w:eastAsia="Times New Roman" w:hAnsi="Calibri"/>
                <w:iCs/>
                <w:color w:val="000000"/>
                <w:sz w:val="22"/>
                <w:szCs w:val="22"/>
              </w:rPr>
              <w:t>Inflation, average consumer prices (Index)</w:t>
            </w:r>
            <w:r>
              <w:rPr>
                <w:rFonts w:ascii="Calibri" w:eastAsia="Times New Roman" w:hAnsi="Calibri"/>
                <w:iCs/>
                <w:color w:val="000000"/>
                <w:sz w:val="22"/>
                <w:szCs w:val="22"/>
              </w:rPr>
              <w:t xml:space="preserve">. </w:t>
            </w:r>
            <w:r w:rsidRPr="008E4BB2">
              <w:rPr>
                <w:rFonts w:ascii="Calibri" w:eastAsia="Times New Roman" w:hAnsi="Calibri"/>
                <w:iCs/>
                <w:color w:val="000000"/>
                <w:sz w:val="22"/>
                <w:szCs w:val="22"/>
              </w:rPr>
              <w:t>Expressed in averages for the year, not end-of-period data. A consumer price index (CPI) measures changes in the prices of goods and services that households consume. Such changes affect the real purchasing power of consumers? incomes and their welfare. As the prices of different goods and services do not all change at the same rate, a price index can only reflect their average movement. A price index is typically assigned a value of unity, or 100, in some reference period and the values of the index for other periods of time are intended to indicate the average proportionate, or percentage, change in prices from this price reference period. Price indices can also be used to measure differences in price levels between different cities, regions or countries at the same point in time. [CPI Manual 2004, Introduction] For euro countries, consumer prices are calculated based on harmonized prices. For more information see http://epp.eurostat.ec.europa.eu/cache/ITY_OFFPUB/KS-BE-04-001/EN/KS-BE-04-001-EN.PDF.]</w:t>
            </w:r>
          </w:p>
        </w:tc>
        <w:tc>
          <w:tcPr>
            <w:tcW w:w="5714" w:type="dxa"/>
            <w:shd w:val="clear" w:color="auto" w:fill="auto"/>
          </w:tcPr>
          <w:p w14:paraId="2635D849" w14:textId="2B8A807A" w:rsidR="008E4BB2" w:rsidRDefault="007B299B"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14"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BA1974" w:rsidRPr="003051F6" w14:paraId="776116D8" w14:textId="77777777" w:rsidTr="00785FB1">
        <w:trPr>
          <w:cantSplit/>
          <w:trHeight w:val="323"/>
        </w:trPr>
        <w:tc>
          <w:tcPr>
            <w:tcW w:w="3081" w:type="dxa"/>
            <w:shd w:val="clear" w:color="auto" w:fill="auto"/>
          </w:tcPr>
          <w:p w14:paraId="32A5F41C" w14:textId="3338B1C8" w:rsidR="00BA1974" w:rsidRPr="008E4BB2" w:rsidRDefault="00BA1974" w:rsidP="00785FB1">
            <w:r w:rsidRPr="008E4BB2">
              <w:t>PCPIPCH</w:t>
            </w:r>
            <w:r>
              <w:t xml:space="preserve"> (log)</w:t>
            </w:r>
          </w:p>
        </w:tc>
        <w:tc>
          <w:tcPr>
            <w:tcW w:w="5365" w:type="dxa"/>
            <w:shd w:val="clear" w:color="auto" w:fill="auto"/>
          </w:tcPr>
          <w:p w14:paraId="2392A4A0" w14:textId="77777777" w:rsidR="00BA1974" w:rsidRPr="008E4BB2" w:rsidRDefault="00BA1974" w:rsidP="00785FB1">
            <w:pPr>
              <w:rPr>
                <w:rFonts w:ascii="Calibri" w:eastAsia="Times New Roman" w:hAnsi="Calibri"/>
                <w:iCs/>
                <w:color w:val="000000"/>
                <w:sz w:val="22"/>
                <w:szCs w:val="22"/>
              </w:rPr>
            </w:pPr>
            <w:r w:rsidRPr="008E4BB2">
              <w:rPr>
                <w:rFonts w:ascii="Calibri" w:eastAsia="Times New Roman" w:hAnsi="Calibri"/>
                <w:iCs/>
                <w:color w:val="000000"/>
                <w:sz w:val="22"/>
                <w:szCs w:val="22"/>
              </w:rPr>
              <w:t>Inflation, average consumer prices (Percent change)</w:t>
            </w:r>
            <w:r>
              <w:rPr>
                <w:rFonts w:ascii="Calibri" w:eastAsia="Times New Roman" w:hAnsi="Calibri"/>
                <w:iCs/>
                <w:color w:val="000000"/>
                <w:sz w:val="22"/>
                <w:szCs w:val="22"/>
              </w:rPr>
              <w:t xml:space="preserve">. </w:t>
            </w:r>
            <w:r w:rsidRPr="008E4BB2">
              <w:rPr>
                <w:rFonts w:ascii="Calibri" w:eastAsia="Times New Roman" w:hAnsi="Calibri"/>
                <w:iCs/>
                <w:color w:val="000000"/>
                <w:sz w:val="22"/>
                <w:szCs w:val="22"/>
              </w:rPr>
              <w:t>Annual percentages of average consumer prices are year-on-year changes.</w:t>
            </w:r>
          </w:p>
        </w:tc>
        <w:tc>
          <w:tcPr>
            <w:tcW w:w="5714" w:type="dxa"/>
            <w:shd w:val="clear" w:color="auto" w:fill="auto"/>
          </w:tcPr>
          <w:p w14:paraId="4BC2486B" w14:textId="77777777" w:rsidR="00BA1974" w:rsidRDefault="00BA1974" w:rsidP="00785FB1">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15"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BA1974" w:rsidRPr="003051F6" w14:paraId="15659110" w14:textId="77777777" w:rsidTr="00785FB1">
        <w:trPr>
          <w:cantSplit/>
          <w:trHeight w:val="6227"/>
        </w:trPr>
        <w:tc>
          <w:tcPr>
            <w:tcW w:w="3081" w:type="dxa"/>
            <w:shd w:val="clear" w:color="auto" w:fill="auto"/>
          </w:tcPr>
          <w:p w14:paraId="62B664D6" w14:textId="77777777" w:rsidR="00BA1974" w:rsidRPr="008E4BB2" w:rsidRDefault="00BA1974" w:rsidP="00785FB1">
            <w:r w:rsidRPr="008E4BB2">
              <w:t>PPPSH</w:t>
            </w:r>
          </w:p>
        </w:tc>
        <w:tc>
          <w:tcPr>
            <w:tcW w:w="5365" w:type="dxa"/>
            <w:shd w:val="clear" w:color="auto" w:fill="auto"/>
          </w:tcPr>
          <w:p w14:paraId="0A475610" w14:textId="77777777" w:rsidR="00BA1974" w:rsidRPr="008E4BB2" w:rsidRDefault="00BA1974" w:rsidP="00785FB1">
            <w:pPr>
              <w:rPr>
                <w:rFonts w:ascii="Calibri" w:eastAsia="Times New Roman" w:hAnsi="Calibri"/>
                <w:iCs/>
                <w:color w:val="000000"/>
                <w:sz w:val="22"/>
                <w:szCs w:val="22"/>
              </w:rPr>
            </w:pPr>
            <w:r w:rsidRPr="008E4BB2">
              <w:rPr>
                <w:rFonts w:ascii="Calibri" w:eastAsia="Times New Roman" w:hAnsi="Calibri"/>
                <w:iCs/>
                <w:color w:val="000000"/>
                <w:sz w:val="22"/>
                <w:szCs w:val="22"/>
              </w:rPr>
              <w:t>Gross domestic product based on purchasing-power-parity (PPP) share of world total (Percent)</w:t>
            </w:r>
            <w:r>
              <w:rPr>
                <w:rFonts w:ascii="Calibri" w:eastAsia="Times New Roman" w:hAnsi="Calibri"/>
                <w:iCs/>
                <w:color w:val="000000"/>
                <w:sz w:val="22"/>
                <w:szCs w:val="22"/>
              </w:rPr>
              <w:t xml:space="preserve">. </w:t>
            </w:r>
            <w:r w:rsidRPr="008E4BB2">
              <w:rPr>
                <w:rFonts w:ascii="Calibri" w:eastAsia="Times New Roman" w:hAnsi="Calibri"/>
                <w:iCs/>
                <w:color w:val="000000"/>
                <w:sz w:val="22"/>
                <w:szCs w:val="22"/>
              </w:rPr>
              <w:t xml:space="preserve">Expressed in percent of world GDP in PPP dollars. These data form the basis for the country weights used to generate the World Economic Outlook country group composites for the domestic economy.   The IMF is not a primary source for purchasing power parity (PPP) data. WEO weights have been created from primary sources and are used solely for purposes of generating country group composites. For primary source information, please refer to one of the following sources: </w:t>
            </w:r>
            <w:proofErr w:type="gramStart"/>
            <w:r w:rsidRPr="008E4BB2">
              <w:rPr>
                <w:rFonts w:ascii="Calibri" w:eastAsia="Times New Roman" w:hAnsi="Calibri"/>
                <w:iCs/>
                <w:color w:val="000000"/>
                <w:sz w:val="22"/>
                <w:szCs w:val="22"/>
              </w:rPr>
              <w:t>the</w:t>
            </w:r>
            <w:proofErr w:type="gramEnd"/>
            <w:r w:rsidRPr="008E4BB2">
              <w:rPr>
                <w:rFonts w:ascii="Calibri" w:eastAsia="Times New Roman" w:hAnsi="Calibri"/>
                <w:iCs/>
                <w:color w:val="000000"/>
                <w:sz w:val="22"/>
                <w:szCs w:val="22"/>
              </w:rPr>
              <w:t xml:space="preserve"> Organization for Economic Cooperation and Development, the World Bank, or the Penn World Tables.  For further </w:t>
            </w:r>
            <w:proofErr w:type="gramStart"/>
            <w:r w:rsidRPr="008E4BB2">
              <w:rPr>
                <w:rFonts w:ascii="Calibri" w:eastAsia="Times New Roman" w:hAnsi="Calibri"/>
                <w:iCs/>
                <w:color w:val="000000"/>
                <w:sz w:val="22"/>
                <w:szCs w:val="22"/>
              </w:rPr>
              <w:t>information</w:t>
            </w:r>
            <w:proofErr w:type="gramEnd"/>
            <w:r w:rsidRPr="008E4BB2">
              <w:rPr>
                <w:rFonts w:ascii="Calibri" w:eastAsia="Times New Roman" w:hAnsi="Calibri"/>
                <w:iCs/>
                <w:color w:val="000000"/>
                <w:sz w:val="22"/>
                <w:szCs w:val="22"/>
              </w:rPr>
              <w:t xml:space="preserve"> see Box A2 in the April 2004 World Economic Outlook, Box 1.2 in the September 2003 World Economic Outlook for a discussion on the measurement of global growth and Box A.1 in the May 2000 World Economic Outlook for a summary of the revised PPP-based weights, and Annex IV of the May 1993 World Economic Outlook. See also Anne Marie </w:t>
            </w:r>
            <w:proofErr w:type="spellStart"/>
            <w:r w:rsidRPr="008E4BB2">
              <w:rPr>
                <w:rFonts w:ascii="Calibri" w:eastAsia="Times New Roman" w:hAnsi="Calibri"/>
                <w:iCs/>
                <w:color w:val="000000"/>
                <w:sz w:val="22"/>
                <w:szCs w:val="22"/>
              </w:rPr>
              <w:t>Gulde</w:t>
            </w:r>
            <w:proofErr w:type="spellEnd"/>
            <w:r w:rsidRPr="008E4BB2">
              <w:rPr>
                <w:rFonts w:ascii="Calibri" w:eastAsia="Times New Roman" w:hAnsi="Calibri"/>
                <w:iCs/>
                <w:color w:val="000000"/>
                <w:sz w:val="22"/>
                <w:szCs w:val="22"/>
              </w:rPr>
              <w:t xml:space="preserve"> and Marianne Schulze-</w:t>
            </w:r>
            <w:proofErr w:type="spellStart"/>
            <w:r w:rsidRPr="008E4BB2">
              <w:rPr>
                <w:rFonts w:ascii="Calibri" w:eastAsia="Times New Roman" w:hAnsi="Calibri"/>
                <w:iCs/>
                <w:color w:val="000000"/>
                <w:sz w:val="22"/>
                <w:szCs w:val="22"/>
              </w:rPr>
              <w:t>Ghattas</w:t>
            </w:r>
            <w:proofErr w:type="spellEnd"/>
            <w:r w:rsidRPr="008E4BB2">
              <w:rPr>
                <w:rFonts w:ascii="Calibri" w:eastAsia="Times New Roman" w:hAnsi="Calibri"/>
                <w:iCs/>
                <w:color w:val="000000"/>
                <w:sz w:val="22"/>
                <w:szCs w:val="22"/>
              </w:rPr>
              <w:t>, Purchasing Power Parity Based Weights for the World Economic Outlook, in Staff Studies for the World Economic Outlook (Washington: IMF, December 1993), pp. 106-23.</w:t>
            </w:r>
          </w:p>
        </w:tc>
        <w:tc>
          <w:tcPr>
            <w:tcW w:w="5714" w:type="dxa"/>
            <w:shd w:val="clear" w:color="auto" w:fill="auto"/>
          </w:tcPr>
          <w:p w14:paraId="6DBD6200" w14:textId="77777777" w:rsidR="00BA1974" w:rsidRDefault="00BA1974" w:rsidP="00785FB1">
            <w:pPr>
              <w:rPr>
                <w:rFonts w:ascii="Calibri" w:eastAsia="Times New Roman" w:hAnsi="Calibri"/>
                <w:iCs/>
                <w:color w:val="000000"/>
                <w:sz w:val="22"/>
                <w:szCs w:val="22"/>
              </w:rPr>
            </w:pPr>
            <w:r>
              <w:rPr>
                <w:rFonts w:ascii="Calibri" w:eastAsia="Times New Roman" w:hAnsi="Calibri"/>
                <w:iCs/>
                <w:color w:val="000000"/>
                <w:sz w:val="22"/>
                <w:szCs w:val="22"/>
              </w:rPr>
              <w:t xml:space="preserve">International Monetary Fund (IMF) World Economic Outlook Database. Retrieved from the Open Knowledge International’s Frictionless Data site </w:t>
            </w:r>
            <w:hyperlink r:id="rId16" w:history="1">
              <w:r w:rsidRPr="00AC5AD5">
                <w:rPr>
                  <w:rStyle w:val="Hyperlink"/>
                  <w:rFonts w:ascii="Calibri" w:eastAsia="Times New Roman" w:hAnsi="Calibri"/>
                  <w:iCs/>
                  <w:sz w:val="22"/>
                  <w:szCs w:val="22"/>
                </w:rPr>
                <w:t>http://data.okfn.org/data</w:t>
              </w:r>
            </w:hyperlink>
            <w:r>
              <w:rPr>
                <w:rFonts w:ascii="Calibri" w:eastAsia="Times New Roman" w:hAnsi="Calibri"/>
                <w:iCs/>
                <w:color w:val="000000"/>
                <w:sz w:val="22"/>
                <w:szCs w:val="22"/>
              </w:rPr>
              <w:t xml:space="preserve"> (Retrieved 30 June 2016)</w:t>
            </w:r>
          </w:p>
        </w:tc>
      </w:tr>
      <w:tr w:rsidR="0065680D" w:rsidRPr="003051F6" w14:paraId="4CA09265" w14:textId="77777777" w:rsidTr="008E3721">
        <w:trPr>
          <w:cantSplit/>
          <w:trHeight w:val="323"/>
        </w:trPr>
        <w:tc>
          <w:tcPr>
            <w:tcW w:w="3081" w:type="dxa"/>
            <w:shd w:val="clear" w:color="auto" w:fill="auto"/>
          </w:tcPr>
          <w:p w14:paraId="4C5E5714" w14:textId="14D79814" w:rsidR="0065680D" w:rsidRPr="008E4BB2" w:rsidRDefault="002F3029">
            <w:proofErr w:type="spellStart"/>
            <w:r>
              <w:t>Resource.Depletion</w:t>
            </w:r>
            <w:proofErr w:type="spellEnd"/>
          </w:p>
        </w:tc>
        <w:tc>
          <w:tcPr>
            <w:tcW w:w="5365" w:type="dxa"/>
            <w:shd w:val="clear" w:color="auto" w:fill="auto"/>
          </w:tcPr>
          <w:p w14:paraId="781D38E9" w14:textId="77777777" w:rsidR="00227A49" w:rsidRDefault="002F3029" w:rsidP="00227A49">
            <w:pPr>
              <w:rPr>
                <w:rFonts w:eastAsia="Times New Roman"/>
              </w:rPr>
            </w:pPr>
            <w:r>
              <w:rPr>
                <w:rFonts w:ascii="Calibri" w:eastAsia="Times New Roman" w:hAnsi="Calibri"/>
                <w:iCs/>
                <w:color w:val="000000"/>
                <w:sz w:val="22"/>
                <w:szCs w:val="22"/>
              </w:rPr>
              <w:t>Natural resource depletion (% of GNI)</w:t>
            </w:r>
            <w:r w:rsidR="00227A49">
              <w:rPr>
                <w:rFonts w:ascii="Calibri" w:eastAsia="Times New Roman" w:hAnsi="Calibri"/>
                <w:iCs/>
                <w:color w:val="000000"/>
                <w:sz w:val="22"/>
                <w:szCs w:val="22"/>
              </w:rPr>
              <w:t xml:space="preserve">. </w:t>
            </w:r>
            <w:r w:rsidR="00227A49">
              <w:rPr>
                <w:rFonts w:ascii="Arial" w:eastAsia="Times New Roman" w:hAnsi="Arial" w:cs="Arial"/>
                <w:color w:val="231F20"/>
                <w:shd w:val="clear" w:color="auto" w:fill="FFFFFF"/>
              </w:rPr>
              <w:t>Monetary expression of energy, mineral and forest depletion, expressed as a percentage of gross national income (GNI).</w:t>
            </w:r>
          </w:p>
          <w:p w14:paraId="5A3F8663" w14:textId="50F864DE" w:rsidR="0065680D" w:rsidRPr="008E4BB2" w:rsidRDefault="0065680D" w:rsidP="003051F6">
            <w:pPr>
              <w:rPr>
                <w:rFonts w:ascii="Calibri" w:eastAsia="Times New Roman" w:hAnsi="Calibri"/>
                <w:iCs/>
                <w:color w:val="000000"/>
                <w:sz w:val="22"/>
                <w:szCs w:val="22"/>
              </w:rPr>
            </w:pPr>
          </w:p>
        </w:tc>
        <w:tc>
          <w:tcPr>
            <w:tcW w:w="5714" w:type="dxa"/>
            <w:shd w:val="clear" w:color="auto" w:fill="auto"/>
          </w:tcPr>
          <w:p w14:paraId="37CCA304" w14:textId="77777777" w:rsidR="0065680D" w:rsidRDefault="002F3029"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United Nations Development </w:t>
            </w:r>
            <w:proofErr w:type="spellStart"/>
            <w:r>
              <w:rPr>
                <w:rFonts w:ascii="Calibri" w:eastAsia="Times New Roman" w:hAnsi="Calibri"/>
                <w:iCs/>
                <w:color w:val="000000"/>
                <w:sz w:val="22"/>
                <w:szCs w:val="22"/>
              </w:rPr>
              <w:t>Programme</w:t>
            </w:r>
            <w:proofErr w:type="spellEnd"/>
            <w:r>
              <w:rPr>
                <w:rFonts w:ascii="Calibri" w:eastAsia="Times New Roman" w:hAnsi="Calibri"/>
                <w:iCs/>
                <w:color w:val="000000"/>
                <w:sz w:val="22"/>
                <w:szCs w:val="22"/>
              </w:rPr>
              <w:t xml:space="preserve"> (UNDP)</w:t>
            </w:r>
          </w:p>
          <w:p w14:paraId="1C30AB98" w14:textId="2A8102FC" w:rsidR="002F3029" w:rsidRDefault="0016018D" w:rsidP="003051F6">
            <w:pPr>
              <w:rPr>
                <w:rFonts w:ascii="Calibri" w:eastAsia="Times New Roman" w:hAnsi="Calibri"/>
                <w:iCs/>
                <w:color w:val="000000"/>
                <w:sz w:val="22"/>
                <w:szCs w:val="22"/>
              </w:rPr>
            </w:pPr>
            <w:hyperlink r:id="rId17" w:history="1">
              <w:r w:rsidR="002F3029" w:rsidRPr="00AC5AD5">
                <w:rPr>
                  <w:rStyle w:val="Hyperlink"/>
                  <w:rFonts w:ascii="Calibri" w:eastAsia="Times New Roman" w:hAnsi="Calibri"/>
                  <w:iCs/>
                  <w:sz w:val="22"/>
                  <w:szCs w:val="22"/>
                </w:rPr>
                <w:t>http://hdr.undp.org/en</w:t>
              </w:r>
            </w:hyperlink>
          </w:p>
          <w:p w14:paraId="521361ED" w14:textId="1A9FCD81" w:rsidR="002F3029" w:rsidRDefault="002F3029" w:rsidP="003051F6">
            <w:pPr>
              <w:rPr>
                <w:rFonts w:ascii="Calibri" w:eastAsia="Times New Roman" w:hAnsi="Calibri"/>
                <w:iCs/>
                <w:color w:val="000000"/>
                <w:sz w:val="22"/>
                <w:szCs w:val="22"/>
              </w:rPr>
            </w:pPr>
            <w:r>
              <w:rPr>
                <w:rFonts w:ascii="Calibri" w:eastAsia="Times New Roman" w:hAnsi="Calibri"/>
                <w:iCs/>
                <w:color w:val="000000"/>
                <w:sz w:val="22"/>
                <w:szCs w:val="22"/>
              </w:rPr>
              <w:t>(Retrieved on 7 July 2016)</w:t>
            </w:r>
          </w:p>
        </w:tc>
      </w:tr>
      <w:tr w:rsidR="00227A49" w:rsidRPr="003051F6" w14:paraId="7FB32923" w14:textId="77777777" w:rsidTr="008E3721">
        <w:trPr>
          <w:cantSplit/>
          <w:trHeight w:val="323"/>
        </w:trPr>
        <w:tc>
          <w:tcPr>
            <w:tcW w:w="3081" w:type="dxa"/>
            <w:shd w:val="clear" w:color="auto" w:fill="auto"/>
          </w:tcPr>
          <w:p w14:paraId="5B3844A6" w14:textId="173E1921" w:rsidR="00227A49" w:rsidRDefault="00227A49">
            <w:r>
              <w:t>GNI</w:t>
            </w:r>
          </w:p>
        </w:tc>
        <w:tc>
          <w:tcPr>
            <w:tcW w:w="5365" w:type="dxa"/>
            <w:shd w:val="clear" w:color="auto" w:fill="auto"/>
          </w:tcPr>
          <w:p w14:paraId="02EF0D42" w14:textId="77777777" w:rsidR="00227A49" w:rsidRDefault="00227A49" w:rsidP="00227A49">
            <w:pPr>
              <w:rPr>
                <w:rFonts w:eastAsia="Times New Roman"/>
              </w:rPr>
            </w:pPr>
            <w:r>
              <w:rPr>
                <w:rFonts w:ascii="Calibri" w:eastAsia="Times New Roman" w:hAnsi="Calibri"/>
                <w:iCs/>
                <w:color w:val="000000"/>
                <w:sz w:val="22"/>
                <w:szCs w:val="22"/>
              </w:rPr>
              <w:t xml:space="preserve">Gross national income (2011 PPP$). </w:t>
            </w:r>
            <w:r>
              <w:rPr>
                <w:rFonts w:ascii="Arial" w:eastAsia="Times New Roman" w:hAnsi="Arial" w:cs="Arial"/>
                <w:color w:val="231F20"/>
                <w:shd w:val="clear" w:color="auto" w:fill="FFFFFF"/>
              </w:rPr>
              <w:t>Aggregate income of an economy generated by its production and its ownership of factors of production, less the incomes paid for the use of factors of production owned by the rest of the world, converted to international dollars using PPP rates, divided by midyear population.</w:t>
            </w:r>
          </w:p>
          <w:p w14:paraId="18AE854D" w14:textId="51DF8F00" w:rsidR="00227A49" w:rsidRDefault="00227A49" w:rsidP="00227A49">
            <w:pPr>
              <w:rPr>
                <w:rFonts w:ascii="Calibri" w:eastAsia="Times New Roman" w:hAnsi="Calibri"/>
                <w:iCs/>
                <w:color w:val="000000"/>
                <w:sz w:val="22"/>
                <w:szCs w:val="22"/>
              </w:rPr>
            </w:pPr>
            <w:r>
              <w:rPr>
                <w:rFonts w:ascii="Calibri" w:eastAsia="Times New Roman" w:hAnsi="Calibri"/>
                <w:iCs/>
                <w:color w:val="000000"/>
                <w:sz w:val="22"/>
                <w:szCs w:val="22"/>
              </w:rPr>
              <w:t>.</w:t>
            </w:r>
          </w:p>
        </w:tc>
        <w:tc>
          <w:tcPr>
            <w:tcW w:w="5714" w:type="dxa"/>
            <w:shd w:val="clear" w:color="auto" w:fill="auto"/>
          </w:tcPr>
          <w:p w14:paraId="3B164055" w14:textId="77777777" w:rsidR="00D900CF" w:rsidRDefault="00D900CF" w:rsidP="00D900CF">
            <w:pPr>
              <w:rPr>
                <w:rFonts w:ascii="Calibri" w:eastAsia="Times New Roman" w:hAnsi="Calibri"/>
                <w:iCs/>
                <w:color w:val="000000"/>
                <w:sz w:val="22"/>
                <w:szCs w:val="22"/>
              </w:rPr>
            </w:pPr>
            <w:r>
              <w:rPr>
                <w:rFonts w:ascii="Calibri" w:eastAsia="Times New Roman" w:hAnsi="Calibri"/>
                <w:iCs/>
                <w:color w:val="000000"/>
                <w:sz w:val="22"/>
                <w:szCs w:val="22"/>
              </w:rPr>
              <w:t xml:space="preserve">United Nations Development </w:t>
            </w:r>
            <w:proofErr w:type="spellStart"/>
            <w:r>
              <w:rPr>
                <w:rFonts w:ascii="Calibri" w:eastAsia="Times New Roman" w:hAnsi="Calibri"/>
                <w:iCs/>
                <w:color w:val="000000"/>
                <w:sz w:val="22"/>
                <w:szCs w:val="22"/>
              </w:rPr>
              <w:t>Programme</w:t>
            </w:r>
            <w:proofErr w:type="spellEnd"/>
            <w:r>
              <w:rPr>
                <w:rFonts w:ascii="Calibri" w:eastAsia="Times New Roman" w:hAnsi="Calibri"/>
                <w:iCs/>
                <w:color w:val="000000"/>
                <w:sz w:val="22"/>
                <w:szCs w:val="22"/>
              </w:rPr>
              <w:t xml:space="preserve"> (UNDP)</w:t>
            </w:r>
          </w:p>
          <w:p w14:paraId="5FAED584" w14:textId="77777777" w:rsidR="00D900CF" w:rsidRDefault="0016018D" w:rsidP="00D900CF">
            <w:pPr>
              <w:rPr>
                <w:rFonts w:ascii="Calibri" w:eastAsia="Times New Roman" w:hAnsi="Calibri"/>
                <w:iCs/>
                <w:color w:val="000000"/>
                <w:sz w:val="22"/>
                <w:szCs w:val="22"/>
              </w:rPr>
            </w:pPr>
            <w:hyperlink r:id="rId18" w:history="1">
              <w:r w:rsidR="00D900CF" w:rsidRPr="00AC5AD5">
                <w:rPr>
                  <w:rStyle w:val="Hyperlink"/>
                  <w:rFonts w:ascii="Calibri" w:eastAsia="Times New Roman" w:hAnsi="Calibri"/>
                  <w:iCs/>
                  <w:sz w:val="22"/>
                  <w:szCs w:val="22"/>
                </w:rPr>
                <w:t>http://hdr.undp.org/en</w:t>
              </w:r>
            </w:hyperlink>
          </w:p>
          <w:p w14:paraId="7A3C8B26" w14:textId="51422496" w:rsidR="00227A49" w:rsidRDefault="00D900CF" w:rsidP="00D900CF">
            <w:pPr>
              <w:rPr>
                <w:rFonts w:ascii="Calibri" w:eastAsia="Times New Roman" w:hAnsi="Calibri"/>
                <w:iCs/>
                <w:color w:val="000000"/>
                <w:sz w:val="22"/>
                <w:szCs w:val="22"/>
              </w:rPr>
            </w:pPr>
            <w:r>
              <w:rPr>
                <w:rFonts w:ascii="Calibri" w:eastAsia="Times New Roman" w:hAnsi="Calibri"/>
                <w:iCs/>
                <w:color w:val="000000"/>
                <w:sz w:val="22"/>
                <w:szCs w:val="22"/>
              </w:rPr>
              <w:t>(Retrieved on 7 July 2016)</w:t>
            </w:r>
          </w:p>
        </w:tc>
      </w:tr>
      <w:tr w:rsidR="00623B5C" w:rsidRPr="003051F6" w14:paraId="07E1E1C3" w14:textId="77777777" w:rsidTr="008E3721">
        <w:trPr>
          <w:cantSplit/>
        </w:trPr>
        <w:tc>
          <w:tcPr>
            <w:tcW w:w="3081" w:type="dxa"/>
            <w:shd w:val="clear" w:color="auto" w:fill="auto"/>
          </w:tcPr>
          <w:p w14:paraId="7386D818" w14:textId="2E3F6AD0" w:rsidR="00623B5C" w:rsidRDefault="00346D34">
            <w:proofErr w:type="spellStart"/>
            <w:r>
              <w:t>Reg.Market</w:t>
            </w:r>
            <w:proofErr w:type="spellEnd"/>
          </w:p>
        </w:tc>
        <w:tc>
          <w:tcPr>
            <w:tcW w:w="5365" w:type="dxa"/>
            <w:shd w:val="clear" w:color="auto" w:fill="auto"/>
          </w:tcPr>
          <w:p w14:paraId="171D0E60" w14:textId="3958BE85" w:rsidR="00623B5C"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Logical. Presence of a regulated ivory market in country.</w:t>
            </w:r>
          </w:p>
        </w:tc>
        <w:tc>
          <w:tcPr>
            <w:tcW w:w="5714" w:type="dxa"/>
            <w:shd w:val="clear" w:color="auto" w:fill="auto"/>
          </w:tcPr>
          <w:p w14:paraId="50BD43E1" w14:textId="39FD6C01"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Lemieux &amp; Clarke, 2009</w:t>
            </w:r>
          </w:p>
        </w:tc>
      </w:tr>
      <w:tr w:rsidR="00346D34" w:rsidRPr="003051F6" w14:paraId="55AFECB0" w14:textId="77777777" w:rsidTr="008E3721">
        <w:trPr>
          <w:cantSplit/>
        </w:trPr>
        <w:tc>
          <w:tcPr>
            <w:tcW w:w="3081" w:type="dxa"/>
            <w:shd w:val="clear" w:color="auto" w:fill="auto"/>
          </w:tcPr>
          <w:p w14:paraId="7F9EB334" w14:textId="4A25359C" w:rsidR="00346D34" w:rsidRDefault="00346D34">
            <w:proofErr w:type="spellStart"/>
            <w:r>
              <w:t>Unreg.Market</w:t>
            </w:r>
            <w:proofErr w:type="spellEnd"/>
          </w:p>
        </w:tc>
        <w:tc>
          <w:tcPr>
            <w:tcW w:w="5365" w:type="dxa"/>
            <w:shd w:val="clear" w:color="auto" w:fill="auto"/>
          </w:tcPr>
          <w:p w14:paraId="064DC908" w14:textId="1C91BE46"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Logical. Presence of an unregulated ivory market in country</w:t>
            </w:r>
          </w:p>
        </w:tc>
        <w:tc>
          <w:tcPr>
            <w:tcW w:w="5714" w:type="dxa"/>
            <w:shd w:val="clear" w:color="auto" w:fill="auto"/>
          </w:tcPr>
          <w:p w14:paraId="7125E430" w14:textId="5AAE39F5"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Lemieux &amp; Clarke, 2009</w:t>
            </w:r>
          </w:p>
        </w:tc>
      </w:tr>
      <w:tr w:rsidR="00346D34" w:rsidRPr="003051F6" w14:paraId="352E601F" w14:textId="77777777" w:rsidTr="008E3721">
        <w:trPr>
          <w:cantSplit/>
        </w:trPr>
        <w:tc>
          <w:tcPr>
            <w:tcW w:w="3081" w:type="dxa"/>
            <w:shd w:val="clear" w:color="auto" w:fill="auto"/>
          </w:tcPr>
          <w:p w14:paraId="3A384228" w14:textId="77777777" w:rsidR="00346D34" w:rsidRDefault="00346D34" w:rsidP="00346D34">
            <w:pPr>
              <w:rPr>
                <w:rFonts w:ascii="Calibri" w:eastAsia="Times New Roman" w:hAnsi="Calibri"/>
                <w:color w:val="000000"/>
              </w:rPr>
            </w:pPr>
            <w:proofErr w:type="spellStart"/>
            <w:proofErr w:type="gramStart"/>
            <w:r>
              <w:rPr>
                <w:rFonts w:ascii="Calibri" w:eastAsia="Times New Roman" w:hAnsi="Calibri"/>
                <w:color w:val="000000"/>
              </w:rPr>
              <w:t>Reg.Market.Bordering</w:t>
            </w:r>
            <w:proofErr w:type="spellEnd"/>
            <w:proofErr w:type="gramEnd"/>
          </w:p>
          <w:p w14:paraId="59180177" w14:textId="77777777" w:rsidR="00346D34" w:rsidRDefault="00346D34"/>
        </w:tc>
        <w:tc>
          <w:tcPr>
            <w:tcW w:w="5365" w:type="dxa"/>
            <w:shd w:val="clear" w:color="auto" w:fill="auto"/>
          </w:tcPr>
          <w:p w14:paraId="08FD10CB" w14:textId="1B4ED31F"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Number of bordering countries with regulated ivory markets</w:t>
            </w:r>
          </w:p>
        </w:tc>
        <w:tc>
          <w:tcPr>
            <w:tcW w:w="5714" w:type="dxa"/>
            <w:shd w:val="clear" w:color="auto" w:fill="auto"/>
          </w:tcPr>
          <w:p w14:paraId="6F79F810" w14:textId="29EAC6F4"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Lemieux &amp; Clarke, 2009</w:t>
            </w:r>
          </w:p>
        </w:tc>
      </w:tr>
      <w:tr w:rsidR="00346D34" w:rsidRPr="003051F6" w14:paraId="0DCD1FBD" w14:textId="77777777" w:rsidTr="008E3721">
        <w:trPr>
          <w:cantSplit/>
        </w:trPr>
        <w:tc>
          <w:tcPr>
            <w:tcW w:w="3081" w:type="dxa"/>
            <w:shd w:val="clear" w:color="auto" w:fill="auto"/>
          </w:tcPr>
          <w:p w14:paraId="5A52BC98" w14:textId="77777777" w:rsidR="00346D34" w:rsidRDefault="00346D34" w:rsidP="00346D34">
            <w:pPr>
              <w:rPr>
                <w:rFonts w:ascii="Calibri" w:eastAsia="Times New Roman" w:hAnsi="Calibri"/>
                <w:color w:val="000000"/>
              </w:rPr>
            </w:pPr>
            <w:proofErr w:type="spellStart"/>
            <w:proofErr w:type="gramStart"/>
            <w:r>
              <w:rPr>
                <w:rFonts w:ascii="Calibri" w:eastAsia="Times New Roman" w:hAnsi="Calibri"/>
                <w:color w:val="000000"/>
              </w:rPr>
              <w:t>Unreg.Market.Bordering</w:t>
            </w:r>
            <w:proofErr w:type="spellEnd"/>
            <w:proofErr w:type="gramEnd"/>
          </w:p>
          <w:p w14:paraId="4F2A44BA" w14:textId="77777777" w:rsidR="00346D34" w:rsidRDefault="00346D34"/>
        </w:tc>
        <w:tc>
          <w:tcPr>
            <w:tcW w:w="5365" w:type="dxa"/>
            <w:shd w:val="clear" w:color="auto" w:fill="auto"/>
          </w:tcPr>
          <w:p w14:paraId="239B67A4" w14:textId="3319FA2C"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Number of bordering countries with unregulated ivory markets.</w:t>
            </w:r>
          </w:p>
        </w:tc>
        <w:tc>
          <w:tcPr>
            <w:tcW w:w="5714" w:type="dxa"/>
            <w:shd w:val="clear" w:color="auto" w:fill="auto"/>
          </w:tcPr>
          <w:p w14:paraId="1BE3D0C7" w14:textId="441A205F"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Lemieux &amp; Clarke, 2009</w:t>
            </w:r>
          </w:p>
        </w:tc>
      </w:tr>
      <w:tr w:rsidR="00346D34" w:rsidRPr="003051F6" w14:paraId="5F13BD20" w14:textId="77777777" w:rsidTr="008E3721">
        <w:trPr>
          <w:cantSplit/>
        </w:trPr>
        <w:tc>
          <w:tcPr>
            <w:tcW w:w="3081" w:type="dxa"/>
            <w:shd w:val="clear" w:color="auto" w:fill="auto"/>
          </w:tcPr>
          <w:p w14:paraId="612868D0" w14:textId="05EAA476" w:rsidR="00346D34" w:rsidRPr="003051F6" w:rsidRDefault="00346D34">
            <w:proofErr w:type="spellStart"/>
            <w:r>
              <w:t>Adult.literacy</w:t>
            </w:r>
            <w:proofErr w:type="spellEnd"/>
          </w:p>
        </w:tc>
        <w:tc>
          <w:tcPr>
            <w:tcW w:w="5365" w:type="dxa"/>
            <w:shd w:val="clear" w:color="auto" w:fill="auto"/>
          </w:tcPr>
          <w:p w14:paraId="4A97EE49" w14:textId="77777777" w:rsidR="00346D34" w:rsidRPr="003051F6"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Percentage of adults (15+) who are considered literate. </w:t>
            </w:r>
          </w:p>
          <w:p w14:paraId="5E17BD38" w14:textId="77777777" w:rsidR="00346D34" w:rsidRPr="003810F4" w:rsidRDefault="00346D34" w:rsidP="003810F4">
            <w:pPr>
              <w:rPr>
                <w:rFonts w:ascii="Verdana" w:eastAsia="Times New Roman" w:hAnsi="Verdana" w:cs="Arial"/>
                <w:color w:val="000000"/>
                <w:sz w:val="16"/>
                <w:szCs w:val="16"/>
              </w:rPr>
            </w:pPr>
            <w:r w:rsidRPr="003810F4">
              <w:rPr>
                <w:rFonts w:ascii="Verdana" w:eastAsia="Times New Roman" w:hAnsi="Verdana" w:cs="Arial"/>
                <w:color w:val="000000"/>
                <w:sz w:val="16"/>
                <w:szCs w:val="16"/>
              </w:rPr>
              <w:t>The United Nations Educational, Scientific and Cultural Organization (UNESCO) defines a literate person as someone who can both read and write with understanding, a short, simple statement on his or her everyday life. A person who can only read but not write, or can write but not read is considered to be illiterate. A person who can only write figures, his or her name or a memorized ritual phrase is also not considered literate.</w:t>
            </w:r>
          </w:p>
          <w:p w14:paraId="6649D8CA" w14:textId="54D35605" w:rsidR="00346D34" w:rsidRPr="003051F6" w:rsidRDefault="00346D34" w:rsidP="003051F6">
            <w:pPr>
              <w:rPr>
                <w:rFonts w:ascii="Calibri" w:eastAsia="Times New Roman" w:hAnsi="Calibri"/>
                <w:iCs/>
                <w:color w:val="000000"/>
                <w:sz w:val="22"/>
                <w:szCs w:val="22"/>
              </w:rPr>
            </w:pPr>
          </w:p>
        </w:tc>
        <w:tc>
          <w:tcPr>
            <w:tcW w:w="5714" w:type="dxa"/>
            <w:shd w:val="clear" w:color="auto" w:fill="auto"/>
          </w:tcPr>
          <w:p w14:paraId="17BF8F99" w14:textId="77777777"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UNESCO Institute for Statistics </w:t>
            </w:r>
          </w:p>
          <w:p w14:paraId="7638FED2" w14:textId="0E701C32" w:rsidR="00346D34" w:rsidRDefault="0016018D" w:rsidP="003051F6">
            <w:pPr>
              <w:rPr>
                <w:rFonts w:ascii="Calibri" w:eastAsia="Times New Roman" w:hAnsi="Calibri"/>
                <w:iCs/>
                <w:color w:val="000000"/>
                <w:sz w:val="22"/>
                <w:szCs w:val="22"/>
              </w:rPr>
            </w:pPr>
            <w:hyperlink r:id="rId19" w:history="1">
              <w:r w:rsidR="00346D34" w:rsidRPr="001D6001">
                <w:rPr>
                  <w:rStyle w:val="Hyperlink"/>
                  <w:rFonts w:ascii="Calibri" w:eastAsia="Times New Roman" w:hAnsi="Calibri"/>
                  <w:iCs/>
                  <w:sz w:val="22"/>
                  <w:szCs w:val="22"/>
                </w:rPr>
                <w:t>http://data.uis.unesco.org/Index.aspx</w:t>
              </w:r>
            </w:hyperlink>
          </w:p>
          <w:p w14:paraId="3A0EA66F" w14:textId="56F85BA3"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(Retrieved 5 July 2016)</w:t>
            </w:r>
          </w:p>
        </w:tc>
      </w:tr>
      <w:tr w:rsidR="003C003C" w:rsidRPr="003051F6" w14:paraId="71F3695D" w14:textId="77777777" w:rsidTr="008E3721">
        <w:trPr>
          <w:cantSplit/>
        </w:trPr>
        <w:tc>
          <w:tcPr>
            <w:tcW w:w="3081" w:type="dxa"/>
            <w:shd w:val="clear" w:color="auto" w:fill="auto"/>
          </w:tcPr>
          <w:p w14:paraId="64F8F752" w14:textId="221DFEE3" w:rsidR="003C003C" w:rsidRDefault="003C003C">
            <w:r>
              <w:t>HDI</w:t>
            </w:r>
          </w:p>
        </w:tc>
        <w:tc>
          <w:tcPr>
            <w:tcW w:w="5365" w:type="dxa"/>
            <w:shd w:val="clear" w:color="auto" w:fill="auto"/>
          </w:tcPr>
          <w:p w14:paraId="78CD4C52" w14:textId="76F5DBA6" w:rsidR="00227A49" w:rsidRDefault="003C003C" w:rsidP="00227A49">
            <w:pPr>
              <w:rPr>
                <w:rFonts w:eastAsia="Times New Roman"/>
              </w:rPr>
            </w:pPr>
            <w:r>
              <w:rPr>
                <w:rFonts w:ascii="Calibri" w:eastAsia="Times New Roman" w:hAnsi="Calibri"/>
                <w:iCs/>
                <w:color w:val="000000"/>
                <w:sz w:val="22"/>
                <w:szCs w:val="22"/>
              </w:rPr>
              <w:t>Human Development Index</w:t>
            </w:r>
            <w:r w:rsidR="00227A49">
              <w:rPr>
                <w:rFonts w:ascii="Calibri" w:eastAsia="Times New Roman" w:hAnsi="Calibri"/>
                <w:iCs/>
                <w:color w:val="000000"/>
                <w:sz w:val="22"/>
                <w:szCs w:val="22"/>
              </w:rPr>
              <w:t xml:space="preserve">. </w:t>
            </w:r>
            <w:r w:rsidR="00227A49">
              <w:rPr>
                <w:rFonts w:ascii="Arial" w:eastAsia="Times New Roman" w:hAnsi="Arial" w:cs="Arial"/>
                <w:color w:val="231F20"/>
                <w:shd w:val="clear" w:color="auto" w:fill="FFFFFF"/>
              </w:rPr>
              <w:t>A composite index measuring average achievement in three basic dimensions of human development: a long and healthy life, knowledge and a decent standard of living. Measurements range from 0 to 1.</w:t>
            </w:r>
          </w:p>
          <w:p w14:paraId="3E3502E5" w14:textId="241363AD" w:rsidR="003C003C" w:rsidRDefault="003C003C" w:rsidP="003051F6">
            <w:pPr>
              <w:rPr>
                <w:rFonts w:ascii="Calibri" w:eastAsia="Times New Roman" w:hAnsi="Calibri"/>
                <w:iCs/>
                <w:color w:val="000000"/>
                <w:sz w:val="22"/>
                <w:szCs w:val="22"/>
              </w:rPr>
            </w:pPr>
          </w:p>
        </w:tc>
        <w:tc>
          <w:tcPr>
            <w:tcW w:w="5714" w:type="dxa"/>
            <w:shd w:val="clear" w:color="auto" w:fill="auto"/>
          </w:tcPr>
          <w:p w14:paraId="5D1D6607" w14:textId="77777777" w:rsidR="00227A49" w:rsidRDefault="00227A49" w:rsidP="00227A49">
            <w:pPr>
              <w:rPr>
                <w:rFonts w:ascii="Calibri" w:eastAsia="Times New Roman" w:hAnsi="Calibri"/>
                <w:iCs/>
                <w:color w:val="000000"/>
                <w:sz w:val="22"/>
                <w:szCs w:val="22"/>
              </w:rPr>
            </w:pPr>
            <w:r>
              <w:rPr>
                <w:rFonts w:ascii="Calibri" w:eastAsia="Times New Roman" w:hAnsi="Calibri"/>
                <w:iCs/>
                <w:color w:val="000000"/>
                <w:sz w:val="22"/>
                <w:szCs w:val="22"/>
              </w:rPr>
              <w:t xml:space="preserve">UNESCO Institute for Statistics </w:t>
            </w:r>
          </w:p>
          <w:p w14:paraId="4BE00A69" w14:textId="77777777" w:rsidR="00227A49" w:rsidRDefault="0016018D" w:rsidP="00227A49">
            <w:pPr>
              <w:rPr>
                <w:rFonts w:ascii="Calibri" w:eastAsia="Times New Roman" w:hAnsi="Calibri"/>
                <w:iCs/>
                <w:color w:val="000000"/>
                <w:sz w:val="22"/>
                <w:szCs w:val="22"/>
              </w:rPr>
            </w:pPr>
            <w:hyperlink r:id="rId20" w:history="1">
              <w:r w:rsidR="00227A49" w:rsidRPr="001D6001">
                <w:rPr>
                  <w:rStyle w:val="Hyperlink"/>
                  <w:rFonts w:ascii="Calibri" w:eastAsia="Times New Roman" w:hAnsi="Calibri"/>
                  <w:iCs/>
                  <w:sz w:val="22"/>
                  <w:szCs w:val="22"/>
                </w:rPr>
                <w:t>http://data.uis.unesco.org/Index.aspx</w:t>
              </w:r>
            </w:hyperlink>
          </w:p>
          <w:p w14:paraId="12BCD992" w14:textId="6CFC3F40" w:rsidR="003C003C" w:rsidRDefault="00227A49" w:rsidP="00227A49">
            <w:pPr>
              <w:rPr>
                <w:rFonts w:ascii="Calibri" w:eastAsia="Times New Roman" w:hAnsi="Calibri"/>
                <w:iCs/>
                <w:color w:val="000000"/>
                <w:sz w:val="22"/>
                <w:szCs w:val="22"/>
              </w:rPr>
            </w:pPr>
            <w:r>
              <w:rPr>
                <w:rFonts w:ascii="Calibri" w:eastAsia="Times New Roman" w:hAnsi="Calibri"/>
                <w:iCs/>
                <w:color w:val="000000"/>
                <w:sz w:val="22"/>
                <w:szCs w:val="22"/>
              </w:rPr>
              <w:t>(Retrieved 5 July 2016)</w:t>
            </w:r>
          </w:p>
        </w:tc>
      </w:tr>
      <w:tr w:rsidR="00346D34" w:rsidRPr="003051F6" w14:paraId="7EC0DEC7" w14:textId="77777777" w:rsidTr="008E3721">
        <w:trPr>
          <w:cantSplit/>
          <w:trHeight w:val="332"/>
        </w:trPr>
        <w:tc>
          <w:tcPr>
            <w:tcW w:w="3081" w:type="dxa"/>
            <w:shd w:val="clear" w:color="auto" w:fill="auto"/>
          </w:tcPr>
          <w:p w14:paraId="134B556F" w14:textId="2AF4A272" w:rsidR="00346D34" w:rsidRPr="003051F6" w:rsidRDefault="00346D34">
            <w:proofErr w:type="spellStart"/>
            <w:r>
              <w:t>Youth.literacy</w:t>
            </w:r>
            <w:proofErr w:type="spellEnd"/>
          </w:p>
        </w:tc>
        <w:tc>
          <w:tcPr>
            <w:tcW w:w="5365" w:type="dxa"/>
            <w:shd w:val="clear" w:color="auto" w:fill="auto"/>
          </w:tcPr>
          <w:p w14:paraId="48B2DA92" w14:textId="77777777" w:rsidR="00346D34" w:rsidRPr="003051F6"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 xml:space="preserve">Percentage of youth (15–24) who are literate. </w:t>
            </w:r>
          </w:p>
          <w:p w14:paraId="50A931DC" w14:textId="77777777" w:rsidR="00346D34" w:rsidRPr="003810F4" w:rsidRDefault="00346D34" w:rsidP="003810F4">
            <w:pPr>
              <w:rPr>
                <w:rFonts w:ascii="Verdana" w:eastAsia="Times New Roman" w:hAnsi="Verdana" w:cs="Arial"/>
                <w:color w:val="000000"/>
                <w:sz w:val="16"/>
                <w:szCs w:val="16"/>
              </w:rPr>
            </w:pPr>
            <w:r w:rsidRPr="003810F4">
              <w:rPr>
                <w:rFonts w:ascii="Verdana" w:eastAsia="Times New Roman" w:hAnsi="Verdana" w:cs="Arial"/>
                <w:color w:val="000000"/>
                <w:sz w:val="16"/>
                <w:szCs w:val="16"/>
              </w:rPr>
              <w:t>The United Nations Educational, Scientific and Cultural Organization (UNESCO) defines a literate person as someone who can both read and write with understanding, a short, simple statement on his or her everyday life. A person who can only read but not write, or can write but not read is considered to be illiterate. A person who can only write figures, his or her name or a memorized ritual phrase is also not considered literate.</w:t>
            </w:r>
          </w:p>
          <w:p w14:paraId="4C1950E0" w14:textId="3C70A691" w:rsidR="00346D34" w:rsidRPr="003051F6" w:rsidRDefault="00346D34" w:rsidP="003051F6">
            <w:pPr>
              <w:rPr>
                <w:rFonts w:ascii="Calibri" w:eastAsia="Times New Roman" w:hAnsi="Calibri"/>
                <w:iCs/>
                <w:color w:val="000000"/>
                <w:sz w:val="22"/>
                <w:szCs w:val="22"/>
              </w:rPr>
            </w:pPr>
          </w:p>
        </w:tc>
        <w:tc>
          <w:tcPr>
            <w:tcW w:w="5714" w:type="dxa"/>
            <w:shd w:val="clear" w:color="auto" w:fill="auto"/>
          </w:tcPr>
          <w:p w14:paraId="7D8EB145" w14:textId="77777777" w:rsidR="00346D34" w:rsidRDefault="00346D34" w:rsidP="00E13061">
            <w:pPr>
              <w:rPr>
                <w:rFonts w:ascii="Calibri" w:eastAsia="Times New Roman" w:hAnsi="Calibri"/>
                <w:iCs/>
                <w:color w:val="000000"/>
                <w:sz w:val="22"/>
                <w:szCs w:val="22"/>
              </w:rPr>
            </w:pPr>
            <w:r>
              <w:rPr>
                <w:rFonts w:ascii="Calibri" w:eastAsia="Times New Roman" w:hAnsi="Calibri"/>
                <w:iCs/>
                <w:color w:val="000000"/>
                <w:sz w:val="22"/>
                <w:szCs w:val="22"/>
              </w:rPr>
              <w:t xml:space="preserve">UNESCO Institute for Statistics </w:t>
            </w:r>
          </w:p>
          <w:p w14:paraId="66339F79" w14:textId="77777777" w:rsidR="00346D34" w:rsidRDefault="0016018D" w:rsidP="00E13061">
            <w:pPr>
              <w:rPr>
                <w:rFonts w:ascii="Calibri" w:eastAsia="Times New Roman" w:hAnsi="Calibri"/>
                <w:iCs/>
                <w:color w:val="000000"/>
                <w:sz w:val="22"/>
                <w:szCs w:val="22"/>
              </w:rPr>
            </w:pPr>
            <w:hyperlink r:id="rId21" w:history="1">
              <w:r w:rsidR="00346D34" w:rsidRPr="001D6001">
                <w:rPr>
                  <w:rStyle w:val="Hyperlink"/>
                  <w:rFonts w:ascii="Calibri" w:eastAsia="Times New Roman" w:hAnsi="Calibri"/>
                  <w:iCs/>
                  <w:sz w:val="22"/>
                  <w:szCs w:val="22"/>
                </w:rPr>
                <w:t>http://data.uis.unesco.org/Index.aspx</w:t>
              </w:r>
            </w:hyperlink>
          </w:p>
          <w:p w14:paraId="02407B25" w14:textId="09E1E24C"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(Retrieved 5 July 2016)</w:t>
            </w:r>
          </w:p>
        </w:tc>
      </w:tr>
      <w:tr w:rsidR="00346D34" w:rsidRPr="003051F6" w14:paraId="683D8E57" w14:textId="77777777" w:rsidTr="008E3721">
        <w:trPr>
          <w:cantSplit/>
          <w:trHeight w:val="323"/>
        </w:trPr>
        <w:tc>
          <w:tcPr>
            <w:tcW w:w="3081" w:type="dxa"/>
            <w:shd w:val="clear" w:color="auto" w:fill="auto"/>
          </w:tcPr>
          <w:p w14:paraId="482F7C2B" w14:textId="10493CA8" w:rsidR="00346D34" w:rsidRPr="003051F6" w:rsidRDefault="00346D34">
            <w:proofErr w:type="spellStart"/>
            <w:r>
              <w:t>Primary.ed.enrollment</w:t>
            </w:r>
            <w:proofErr w:type="spellEnd"/>
          </w:p>
        </w:tc>
        <w:tc>
          <w:tcPr>
            <w:tcW w:w="5365" w:type="dxa"/>
            <w:shd w:val="clear" w:color="auto" w:fill="auto"/>
          </w:tcPr>
          <w:p w14:paraId="60BB628C" w14:textId="64A8B8CB" w:rsidR="00346D34" w:rsidRPr="003051F6"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Percentage of children enrolled in primary education</w:t>
            </w:r>
          </w:p>
        </w:tc>
        <w:tc>
          <w:tcPr>
            <w:tcW w:w="5714" w:type="dxa"/>
            <w:shd w:val="clear" w:color="auto" w:fill="auto"/>
          </w:tcPr>
          <w:p w14:paraId="12877725" w14:textId="77777777" w:rsidR="00346D34" w:rsidRDefault="00346D34" w:rsidP="00E13061">
            <w:pPr>
              <w:rPr>
                <w:rFonts w:ascii="Calibri" w:eastAsia="Times New Roman" w:hAnsi="Calibri"/>
                <w:iCs/>
                <w:color w:val="000000"/>
                <w:sz w:val="22"/>
                <w:szCs w:val="22"/>
              </w:rPr>
            </w:pPr>
            <w:r>
              <w:rPr>
                <w:rFonts w:ascii="Calibri" w:eastAsia="Times New Roman" w:hAnsi="Calibri"/>
                <w:iCs/>
                <w:color w:val="000000"/>
                <w:sz w:val="22"/>
                <w:szCs w:val="22"/>
              </w:rPr>
              <w:t xml:space="preserve">UNESCO Institute for Statistics </w:t>
            </w:r>
          </w:p>
          <w:p w14:paraId="71F2914B" w14:textId="77777777" w:rsidR="00346D34" w:rsidRDefault="0016018D" w:rsidP="00E13061">
            <w:pPr>
              <w:rPr>
                <w:rFonts w:ascii="Calibri" w:eastAsia="Times New Roman" w:hAnsi="Calibri"/>
                <w:iCs/>
                <w:color w:val="000000"/>
                <w:sz w:val="22"/>
                <w:szCs w:val="22"/>
              </w:rPr>
            </w:pPr>
            <w:hyperlink r:id="rId22" w:history="1">
              <w:r w:rsidR="00346D34" w:rsidRPr="001D6001">
                <w:rPr>
                  <w:rStyle w:val="Hyperlink"/>
                  <w:rFonts w:ascii="Calibri" w:eastAsia="Times New Roman" w:hAnsi="Calibri"/>
                  <w:iCs/>
                  <w:sz w:val="22"/>
                  <w:szCs w:val="22"/>
                </w:rPr>
                <w:t>http://data.uis.unesco.org/Index.aspx</w:t>
              </w:r>
            </w:hyperlink>
          </w:p>
          <w:p w14:paraId="0FC08867" w14:textId="283B8404"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(Retrieved 5 July 2016)</w:t>
            </w:r>
          </w:p>
        </w:tc>
      </w:tr>
      <w:tr w:rsidR="00C10577" w:rsidRPr="003051F6" w14:paraId="0927F1D5" w14:textId="77777777" w:rsidTr="008E3721">
        <w:trPr>
          <w:cantSplit/>
        </w:trPr>
        <w:tc>
          <w:tcPr>
            <w:tcW w:w="3081" w:type="dxa"/>
            <w:shd w:val="clear" w:color="auto" w:fill="auto"/>
          </w:tcPr>
          <w:p w14:paraId="7664E6EC" w14:textId="1A479C4A" w:rsidR="00C10577" w:rsidRDefault="00593D22">
            <w:proofErr w:type="spellStart"/>
            <w:r w:rsidRPr="00593D22">
              <w:t>Mean.Schooling</w:t>
            </w:r>
            <w:proofErr w:type="spellEnd"/>
          </w:p>
        </w:tc>
        <w:tc>
          <w:tcPr>
            <w:tcW w:w="5365" w:type="dxa"/>
            <w:shd w:val="clear" w:color="auto" w:fill="auto"/>
          </w:tcPr>
          <w:p w14:paraId="17FBEF03" w14:textId="484381AC" w:rsidR="00C10577" w:rsidRDefault="00593D22" w:rsidP="003051F6">
            <w:pPr>
              <w:rPr>
                <w:rFonts w:ascii="Calibri" w:eastAsia="Times New Roman" w:hAnsi="Calibri"/>
                <w:iCs/>
                <w:color w:val="000000"/>
                <w:sz w:val="22"/>
                <w:szCs w:val="22"/>
              </w:rPr>
            </w:pPr>
            <w:r>
              <w:rPr>
                <w:rFonts w:ascii="Calibri" w:eastAsia="Times New Roman" w:hAnsi="Calibri"/>
                <w:iCs/>
                <w:color w:val="000000"/>
                <w:sz w:val="22"/>
                <w:szCs w:val="22"/>
              </w:rPr>
              <w:t>Mean years of schooling</w:t>
            </w:r>
          </w:p>
        </w:tc>
        <w:tc>
          <w:tcPr>
            <w:tcW w:w="5714" w:type="dxa"/>
            <w:shd w:val="clear" w:color="auto" w:fill="auto"/>
          </w:tcPr>
          <w:p w14:paraId="51958F0C" w14:textId="77777777" w:rsidR="00593D22"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 xml:space="preserve">United Nations Development </w:t>
            </w:r>
            <w:proofErr w:type="spellStart"/>
            <w:r>
              <w:rPr>
                <w:rFonts w:ascii="Calibri" w:eastAsia="Times New Roman" w:hAnsi="Calibri"/>
                <w:iCs/>
                <w:color w:val="000000"/>
                <w:sz w:val="22"/>
                <w:szCs w:val="22"/>
              </w:rPr>
              <w:t>Programme</w:t>
            </w:r>
            <w:proofErr w:type="spellEnd"/>
            <w:r>
              <w:rPr>
                <w:rFonts w:ascii="Calibri" w:eastAsia="Times New Roman" w:hAnsi="Calibri"/>
                <w:iCs/>
                <w:color w:val="000000"/>
                <w:sz w:val="22"/>
                <w:szCs w:val="22"/>
              </w:rPr>
              <w:t xml:space="preserve"> (UNDP)</w:t>
            </w:r>
          </w:p>
          <w:p w14:paraId="719DAE8D" w14:textId="77777777" w:rsidR="00593D22" w:rsidRDefault="0016018D" w:rsidP="00593D22">
            <w:pPr>
              <w:rPr>
                <w:rFonts w:ascii="Calibri" w:eastAsia="Times New Roman" w:hAnsi="Calibri"/>
                <w:iCs/>
                <w:color w:val="000000"/>
                <w:sz w:val="22"/>
                <w:szCs w:val="22"/>
              </w:rPr>
            </w:pPr>
            <w:hyperlink r:id="rId23" w:history="1">
              <w:r w:rsidR="00593D22" w:rsidRPr="00AC5AD5">
                <w:rPr>
                  <w:rStyle w:val="Hyperlink"/>
                  <w:rFonts w:ascii="Calibri" w:eastAsia="Times New Roman" w:hAnsi="Calibri"/>
                  <w:iCs/>
                  <w:sz w:val="22"/>
                  <w:szCs w:val="22"/>
                </w:rPr>
                <w:t>http://hdr.undp.org/en</w:t>
              </w:r>
            </w:hyperlink>
          </w:p>
          <w:p w14:paraId="370D028F" w14:textId="493E4657" w:rsidR="00C10577"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(Retrieved on 7 July 2016)</w:t>
            </w:r>
          </w:p>
        </w:tc>
      </w:tr>
      <w:tr w:rsidR="00346D34" w:rsidRPr="003051F6" w14:paraId="70F750A0" w14:textId="77777777" w:rsidTr="008E3721">
        <w:trPr>
          <w:cantSplit/>
        </w:trPr>
        <w:tc>
          <w:tcPr>
            <w:tcW w:w="3081" w:type="dxa"/>
            <w:shd w:val="clear" w:color="auto" w:fill="auto"/>
          </w:tcPr>
          <w:p w14:paraId="06833EDA" w14:textId="2275CF65" w:rsidR="00346D34" w:rsidRPr="003051F6" w:rsidRDefault="00346D34">
            <w:proofErr w:type="spellStart"/>
            <w:r>
              <w:t>Total.pop</w:t>
            </w:r>
            <w:proofErr w:type="spellEnd"/>
          </w:p>
        </w:tc>
        <w:tc>
          <w:tcPr>
            <w:tcW w:w="5365" w:type="dxa"/>
            <w:shd w:val="clear" w:color="auto" w:fill="auto"/>
          </w:tcPr>
          <w:p w14:paraId="740ED695" w14:textId="1CA20FEA" w:rsidR="00346D34" w:rsidRPr="003051F6"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Total population (in thousands)</w:t>
            </w:r>
          </w:p>
        </w:tc>
        <w:tc>
          <w:tcPr>
            <w:tcW w:w="5714" w:type="dxa"/>
            <w:shd w:val="clear" w:color="auto" w:fill="auto"/>
          </w:tcPr>
          <w:p w14:paraId="37A3BB8F" w14:textId="77777777" w:rsidR="00346D34" w:rsidRDefault="00346D34" w:rsidP="00E13061">
            <w:pPr>
              <w:rPr>
                <w:rFonts w:ascii="Calibri" w:eastAsia="Times New Roman" w:hAnsi="Calibri"/>
                <w:iCs/>
                <w:color w:val="000000"/>
                <w:sz w:val="22"/>
                <w:szCs w:val="22"/>
              </w:rPr>
            </w:pPr>
            <w:r>
              <w:rPr>
                <w:rFonts w:ascii="Calibri" w:eastAsia="Times New Roman" w:hAnsi="Calibri"/>
                <w:iCs/>
                <w:color w:val="000000"/>
                <w:sz w:val="22"/>
                <w:szCs w:val="22"/>
              </w:rPr>
              <w:t xml:space="preserve">UNESCO Institute for Statistics </w:t>
            </w:r>
          </w:p>
          <w:p w14:paraId="1F5F26C2" w14:textId="77777777" w:rsidR="00346D34" w:rsidRDefault="0016018D" w:rsidP="00E13061">
            <w:pPr>
              <w:rPr>
                <w:rFonts w:ascii="Calibri" w:eastAsia="Times New Roman" w:hAnsi="Calibri"/>
                <w:iCs/>
                <w:color w:val="000000"/>
                <w:sz w:val="22"/>
                <w:szCs w:val="22"/>
              </w:rPr>
            </w:pPr>
            <w:hyperlink r:id="rId24" w:history="1">
              <w:r w:rsidR="00346D34" w:rsidRPr="001D6001">
                <w:rPr>
                  <w:rStyle w:val="Hyperlink"/>
                  <w:rFonts w:ascii="Calibri" w:eastAsia="Times New Roman" w:hAnsi="Calibri"/>
                  <w:iCs/>
                  <w:sz w:val="22"/>
                  <w:szCs w:val="22"/>
                </w:rPr>
                <w:t>http://data.uis.unesco.org/Index.aspx</w:t>
              </w:r>
            </w:hyperlink>
          </w:p>
          <w:p w14:paraId="784B0477" w14:textId="6BBAF949"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(Retrieved 5 July 2016)</w:t>
            </w:r>
          </w:p>
        </w:tc>
      </w:tr>
      <w:tr w:rsidR="00A51B3B" w:rsidRPr="003051F6" w14:paraId="065CDC25" w14:textId="77777777" w:rsidTr="008E3721">
        <w:trPr>
          <w:cantSplit/>
        </w:trPr>
        <w:tc>
          <w:tcPr>
            <w:tcW w:w="3081" w:type="dxa"/>
            <w:shd w:val="clear" w:color="auto" w:fill="auto"/>
          </w:tcPr>
          <w:p w14:paraId="6B3C8952" w14:textId="77777777" w:rsidR="00A51B3B" w:rsidRDefault="00A51B3B" w:rsidP="00A51B3B">
            <w:pPr>
              <w:rPr>
                <w:rFonts w:ascii="Calibri" w:eastAsia="Times New Roman" w:hAnsi="Calibri"/>
                <w:color w:val="000000"/>
              </w:rPr>
            </w:pPr>
            <w:proofErr w:type="spellStart"/>
            <w:proofErr w:type="gramStart"/>
            <w:r>
              <w:rPr>
                <w:rFonts w:ascii="Calibri" w:eastAsia="Times New Roman" w:hAnsi="Calibri"/>
                <w:color w:val="000000"/>
              </w:rPr>
              <w:t>Pop.MultiDim.Povert</w:t>
            </w:r>
            <w:proofErr w:type="spellEnd"/>
            <w:proofErr w:type="gramEnd"/>
          </w:p>
          <w:p w14:paraId="0EE19220" w14:textId="77777777" w:rsidR="00A51B3B" w:rsidRDefault="00A51B3B"/>
        </w:tc>
        <w:tc>
          <w:tcPr>
            <w:tcW w:w="5365" w:type="dxa"/>
            <w:shd w:val="clear" w:color="auto" w:fill="auto"/>
          </w:tcPr>
          <w:p w14:paraId="7EAFA08D" w14:textId="16C9A7A2" w:rsidR="00A51B3B" w:rsidRDefault="00A51B3B" w:rsidP="003051F6">
            <w:pPr>
              <w:rPr>
                <w:rFonts w:ascii="Calibri" w:eastAsia="Times New Roman" w:hAnsi="Calibri"/>
                <w:iCs/>
                <w:color w:val="000000"/>
                <w:sz w:val="22"/>
                <w:szCs w:val="22"/>
              </w:rPr>
            </w:pPr>
            <w:r w:rsidRPr="00A51B3B">
              <w:rPr>
                <w:rFonts w:ascii="Calibri" w:eastAsia="Times New Roman" w:hAnsi="Calibri"/>
                <w:iCs/>
                <w:color w:val="000000"/>
                <w:sz w:val="22"/>
                <w:szCs w:val="22"/>
              </w:rPr>
              <w:t>Multidimensional poverty headcount: Percentage of the population with a weighted deprivation score of at least 33 percent. It is also expressed in thousands of the population in the survey year.</w:t>
            </w:r>
          </w:p>
        </w:tc>
        <w:tc>
          <w:tcPr>
            <w:tcW w:w="5714" w:type="dxa"/>
            <w:shd w:val="clear" w:color="auto" w:fill="auto"/>
          </w:tcPr>
          <w:p w14:paraId="751D5FD4" w14:textId="77777777" w:rsidR="00593D22"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 xml:space="preserve">United Nations Development </w:t>
            </w:r>
            <w:proofErr w:type="spellStart"/>
            <w:r>
              <w:rPr>
                <w:rFonts w:ascii="Calibri" w:eastAsia="Times New Roman" w:hAnsi="Calibri"/>
                <w:iCs/>
                <w:color w:val="000000"/>
                <w:sz w:val="22"/>
                <w:szCs w:val="22"/>
              </w:rPr>
              <w:t>Programme</w:t>
            </w:r>
            <w:proofErr w:type="spellEnd"/>
            <w:r>
              <w:rPr>
                <w:rFonts w:ascii="Calibri" w:eastAsia="Times New Roman" w:hAnsi="Calibri"/>
                <w:iCs/>
                <w:color w:val="000000"/>
                <w:sz w:val="22"/>
                <w:szCs w:val="22"/>
              </w:rPr>
              <w:t xml:space="preserve"> (UNDP)</w:t>
            </w:r>
          </w:p>
          <w:p w14:paraId="02F23B42" w14:textId="77777777" w:rsidR="00593D22" w:rsidRDefault="0016018D" w:rsidP="00593D22">
            <w:pPr>
              <w:rPr>
                <w:rFonts w:ascii="Calibri" w:eastAsia="Times New Roman" w:hAnsi="Calibri"/>
                <w:iCs/>
                <w:color w:val="000000"/>
                <w:sz w:val="22"/>
                <w:szCs w:val="22"/>
              </w:rPr>
            </w:pPr>
            <w:hyperlink r:id="rId25" w:history="1">
              <w:r w:rsidR="00593D22" w:rsidRPr="00AC5AD5">
                <w:rPr>
                  <w:rStyle w:val="Hyperlink"/>
                  <w:rFonts w:ascii="Calibri" w:eastAsia="Times New Roman" w:hAnsi="Calibri"/>
                  <w:iCs/>
                  <w:sz w:val="22"/>
                  <w:szCs w:val="22"/>
                </w:rPr>
                <w:t>http://hdr.undp.org/en</w:t>
              </w:r>
            </w:hyperlink>
          </w:p>
          <w:p w14:paraId="32AF33A4" w14:textId="21D8148A" w:rsidR="00A51B3B"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(Retrieved on 7 July 2016)</w:t>
            </w:r>
          </w:p>
        </w:tc>
      </w:tr>
      <w:tr w:rsidR="00A51B3B" w:rsidRPr="003051F6" w14:paraId="1FDE5380" w14:textId="77777777" w:rsidTr="008E3721">
        <w:trPr>
          <w:cantSplit/>
        </w:trPr>
        <w:tc>
          <w:tcPr>
            <w:tcW w:w="3081" w:type="dxa"/>
            <w:shd w:val="clear" w:color="auto" w:fill="auto"/>
          </w:tcPr>
          <w:p w14:paraId="50839AEB" w14:textId="77777777" w:rsidR="00A51B3B" w:rsidRDefault="00A51B3B" w:rsidP="00A51B3B">
            <w:pPr>
              <w:rPr>
                <w:rFonts w:ascii="Calibri" w:eastAsia="Times New Roman" w:hAnsi="Calibri"/>
                <w:color w:val="000000"/>
              </w:rPr>
            </w:pPr>
            <w:proofErr w:type="spellStart"/>
            <w:r>
              <w:rPr>
                <w:rFonts w:ascii="Calibri" w:eastAsia="Times New Roman" w:hAnsi="Calibri"/>
                <w:color w:val="000000"/>
              </w:rPr>
              <w:t>Deprivation.Intensity</w:t>
            </w:r>
            <w:proofErr w:type="spellEnd"/>
          </w:p>
          <w:p w14:paraId="33762872" w14:textId="77777777" w:rsidR="00A51B3B" w:rsidRDefault="00A51B3B"/>
        </w:tc>
        <w:tc>
          <w:tcPr>
            <w:tcW w:w="5365" w:type="dxa"/>
            <w:shd w:val="clear" w:color="auto" w:fill="auto"/>
          </w:tcPr>
          <w:p w14:paraId="56FA6F4F" w14:textId="669E700E" w:rsidR="00A51B3B" w:rsidRDefault="00A51B3B" w:rsidP="003051F6">
            <w:pPr>
              <w:rPr>
                <w:rFonts w:ascii="Calibri" w:eastAsia="Times New Roman" w:hAnsi="Calibri"/>
                <w:iCs/>
                <w:color w:val="000000"/>
                <w:sz w:val="22"/>
                <w:szCs w:val="22"/>
              </w:rPr>
            </w:pPr>
            <w:r w:rsidRPr="00A51B3B">
              <w:rPr>
                <w:rFonts w:ascii="Calibri" w:eastAsia="Times New Roman" w:hAnsi="Calibri"/>
                <w:iCs/>
                <w:color w:val="000000"/>
                <w:sz w:val="22"/>
                <w:szCs w:val="22"/>
              </w:rPr>
              <w:t>Intensity of deprivation of multidimensional poverty: Average percentage of deprivation experienced by people in multidimensional poverty.</w:t>
            </w:r>
          </w:p>
        </w:tc>
        <w:tc>
          <w:tcPr>
            <w:tcW w:w="5714" w:type="dxa"/>
            <w:shd w:val="clear" w:color="auto" w:fill="auto"/>
          </w:tcPr>
          <w:p w14:paraId="7998C980" w14:textId="77777777" w:rsidR="00593D22"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 xml:space="preserve">United Nations Development </w:t>
            </w:r>
            <w:proofErr w:type="spellStart"/>
            <w:r>
              <w:rPr>
                <w:rFonts w:ascii="Calibri" w:eastAsia="Times New Roman" w:hAnsi="Calibri"/>
                <w:iCs/>
                <w:color w:val="000000"/>
                <w:sz w:val="22"/>
                <w:szCs w:val="22"/>
              </w:rPr>
              <w:t>Programme</w:t>
            </w:r>
            <w:proofErr w:type="spellEnd"/>
            <w:r>
              <w:rPr>
                <w:rFonts w:ascii="Calibri" w:eastAsia="Times New Roman" w:hAnsi="Calibri"/>
                <w:iCs/>
                <w:color w:val="000000"/>
                <w:sz w:val="22"/>
                <w:szCs w:val="22"/>
              </w:rPr>
              <w:t xml:space="preserve"> (UNDP)</w:t>
            </w:r>
          </w:p>
          <w:p w14:paraId="75771C66" w14:textId="77777777" w:rsidR="00593D22" w:rsidRDefault="0016018D" w:rsidP="00593D22">
            <w:pPr>
              <w:rPr>
                <w:rFonts w:ascii="Calibri" w:eastAsia="Times New Roman" w:hAnsi="Calibri"/>
                <w:iCs/>
                <w:color w:val="000000"/>
                <w:sz w:val="22"/>
                <w:szCs w:val="22"/>
              </w:rPr>
            </w:pPr>
            <w:hyperlink r:id="rId26" w:history="1">
              <w:r w:rsidR="00593D22" w:rsidRPr="00AC5AD5">
                <w:rPr>
                  <w:rStyle w:val="Hyperlink"/>
                  <w:rFonts w:ascii="Calibri" w:eastAsia="Times New Roman" w:hAnsi="Calibri"/>
                  <w:iCs/>
                  <w:sz w:val="22"/>
                  <w:szCs w:val="22"/>
                </w:rPr>
                <w:t>http://hdr.undp.org/en</w:t>
              </w:r>
            </w:hyperlink>
          </w:p>
          <w:p w14:paraId="608D17FE" w14:textId="75895A48" w:rsidR="00A51B3B"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(Retrieved on 7 July 2016)</w:t>
            </w:r>
          </w:p>
        </w:tc>
      </w:tr>
      <w:tr w:rsidR="00A51B3B" w:rsidRPr="003051F6" w14:paraId="755AED38" w14:textId="77777777" w:rsidTr="008E3721">
        <w:trPr>
          <w:cantSplit/>
        </w:trPr>
        <w:tc>
          <w:tcPr>
            <w:tcW w:w="3081" w:type="dxa"/>
            <w:shd w:val="clear" w:color="auto" w:fill="auto"/>
          </w:tcPr>
          <w:p w14:paraId="1A99220B" w14:textId="77777777" w:rsidR="00A51B3B" w:rsidRDefault="00A51B3B" w:rsidP="00A51B3B">
            <w:pPr>
              <w:rPr>
                <w:rFonts w:ascii="Calibri" w:eastAsia="Times New Roman" w:hAnsi="Calibri"/>
                <w:color w:val="000000"/>
              </w:rPr>
            </w:pPr>
            <w:proofErr w:type="spellStart"/>
            <w:proofErr w:type="gramStart"/>
            <w:r>
              <w:rPr>
                <w:rFonts w:ascii="Calibri" w:eastAsia="Times New Roman" w:hAnsi="Calibri"/>
                <w:color w:val="000000"/>
              </w:rPr>
              <w:t>Pop.Severe.Multidim.Poverty</w:t>
            </w:r>
            <w:proofErr w:type="spellEnd"/>
            <w:proofErr w:type="gramEnd"/>
          </w:p>
          <w:p w14:paraId="2F362261" w14:textId="77777777" w:rsidR="00A51B3B" w:rsidRDefault="00A51B3B"/>
        </w:tc>
        <w:tc>
          <w:tcPr>
            <w:tcW w:w="5365" w:type="dxa"/>
            <w:shd w:val="clear" w:color="auto" w:fill="auto"/>
          </w:tcPr>
          <w:p w14:paraId="4AD1A4A6" w14:textId="495D1602" w:rsidR="00A51B3B" w:rsidRDefault="00A51B3B" w:rsidP="003051F6">
            <w:pPr>
              <w:rPr>
                <w:rFonts w:ascii="Calibri" w:eastAsia="Times New Roman" w:hAnsi="Calibri"/>
                <w:iCs/>
                <w:color w:val="000000"/>
                <w:sz w:val="22"/>
                <w:szCs w:val="22"/>
              </w:rPr>
            </w:pPr>
            <w:r w:rsidRPr="00A51B3B">
              <w:rPr>
                <w:rFonts w:ascii="Calibri" w:eastAsia="Times New Roman" w:hAnsi="Calibri"/>
                <w:iCs/>
                <w:color w:val="000000"/>
                <w:sz w:val="22"/>
                <w:szCs w:val="22"/>
              </w:rPr>
              <w:t>Percentage of the population in severe multidimensional poverty—that is, those with a deprivation score of 50 percent or more.</w:t>
            </w:r>
          </w:p>
        </w:tc>
        <w:tc>
          <w:tcPr>
            <w:tcW w:w="5714" w:type="dxa"/>
            <w:shd w:val="clear" w:color="auto" w:fill="auto"/>
          </w:tcPr>
          <w:p w14:paraId="31596548" w14:textId="77777777" w:rsidR="00593D22"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 xml:space="preserve">United Nations Development </w:t>
            </w:r>
            <w:proofErr w:type="spellStart"/>
            <w:r>
              <w:rPr>
                <w:rFonts w:ascii="Calibri" w:eastAsia="Times New Roman" w:hAnsi="Calibri"/>
                <w:iCs/>
                <w:color w:val="000000"/>
                <w:sz w:val="22"/>
                <w:szCs w:val="22"/>
              </w:rPr>
              <w:t>Programme</w:t>
            </w:r>
            <w:proofErr w:type="spellEnd"/>
            <w:r>
              <w:rPr>
                <w:rFonts w:ascii="Calibri" w:eastAsia="Times New Roman" w:hAnsi="Calibri"/>
                <w:iCs/>
                <w:color w:val="000000"/>
                <w:sz w:val="22"/>
                <w:szCs w:val="22"/>
              </w:rPr>
              <w:t xml:space="preserve"> (UNDP)</w:t>
            </w:r>
          </w:p>
          <w:p w14:paraId="4D8F4F00" w14:textId="77777777" w:rsidR="00593D22" w:rsidRDefault="0016018D" w:rsidP="00593D22">
            <w:pPr>
              <w:rPr>
                <w:rFonts w:ascii="Calibri" w:eastAsia="Times New Roman" w:hAnsi="Calibri"/>
                <w:iCs/>
                <w:color w:val="000000"/>
                <w:sz w:val="22"/>
                <w:szCs w:val="22"/>
              </w:rPr>
            </w:pPr>
            <w:hyperlink r:id="rId27" w:history="1">
              <w:r w:rsidR="00593D22" w:rsidRPr="00AC5AD5">
                <w:rPr>
                  <w:rStyle w:val="Hyperlink"/>
                  <w:rFonts w:ascii="Calibri" w:eastAsia="Times New Roman" w:hAnsi="Calibri"/>
                  <w:iCs/>
                  <w:sz w:val="22"/>
                  <w:szCs w:val="22"/>
                </w:rPr>
                <w:t>http://hdr.undp.org/en</w:t>
              </w:r>
            </w:hyperlink>
          </w:p>
          <w:p w14:paraId="67A66418" w14:textId="0DD696A8" w:rsidR="00A51B3B"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(Retrieved on 7 July 2016)</w:t>
            </w:r>
          </w:p>
        </w:tc>
      </w:tr>
      <w:tr w:rsidR="00A51B3B" w:rsidRPr="003051F6" w14:paraId="1FDD68A4" w14:textId="77777777" w:rsidTr="008E3721">
        <w:trPr>
          <w:cantSplit/>
        </w:trPr>
        <w:tc>
          <w:tcPr>
            <w:tcW w:w="3081" w:type="dxa"/>
            <w:shd w:val="clear" w:color="auto" w:fill="auto"/>
          </w:tcPr>
          <w:p w14:paraId="69A01EA1" w14:textId="77777777" w:rsidR="00A51B3B" w:rsidRDefault="00A51B3B" w:rsidP="00A51B3B">
            <w:pPr>
              <w:rPr>
                <w:rFonts w:ascii="Calibri" w:eastAsia="Times New Roman" w:hAnsi="Calibri"/>
                <w:color w:val="000000"/>
              </w:rPr>
            </w:pPr>
            <w:proofErr w:type="spellStart"/>
            <w:proofErr w:type="gramStart"/>
            <w:r>
              <w:rPr>
                <w:rFonts w:ascii="Calibri" w:eastAsia="Times New Roman" w:hAnsi="Calibri"/>
                <w:color w:val="000000"/>
              </w:rPr>
              <w:t>Pop.Below.National.Poverty</w:t>
            </w:r>
            <w:proofErr w:type="spellEnd"/>
            <w:proofErr w:type="gramEnd"/>
          </w:p>
          <w:p w14:paraId="5E44B189" w14:textId="77777777" w:rsidR="00A51B3B" w:rsidRDefault="00A51B3B" w:rsidP="00A51B3B">
            <w:pPr>
              <w:rPr>
                <w:rFonts w:ascii="Calibri" w:eastAsia="Times New Roman" w:hAnsi="Calibri"/>
                <w:color w:val="000000"/>
              </w:rPr>
            </w:pPr>
          </w:p>
        </w:tc>
        <w:tc>
          <w:tcPr>
            <w:tcW w:w="5365" w:type="dxa"/>
            <w:shd w:val="clear" w:color="auto" w:fill="auto"/>
          </w:tcPr>
          <w:p w14:paraId="0C5BAC5D" w14:textId="5B819EE6" w:rsidR="00A51B3B" w:rsidRDefault="00A51B3B" w:rsidP="003051F6">
            <w:pPr>
              <w:rPr>
                <w:rFonts w:ascii="Calibri" w:eastAsia="Times New Roman" w:hAnsi="Calibri"/>
                <w:iCs/>
                <w:color w:val="000000"/>
                <w:sz w:val="22"/>
                <w:szCs w:val="22"/>
              </w:rPr>
            </w:pPr>
            <w:r w:rsidRPr="00A51B3B">
              <w:rPr>
                <w:rFonts w:ascii="Calibri" w:eastAsia="Times New Roman" w:hAnsi="Calibri"/>
                <w:iCs/>
                <w:color w:val="000000"/>
                <w:sz w:val="22"/>
                <w:szCs w:val="22"/>
              </w:rPr>
              <w:t>Percentage of the population living below the national poverty line, which is the poverty line deemed appropriate for a country by its authorities. National estimates are based on population-weighted subgroup estimates from household surveys.</w:t>
            </w:r>
          </w:p>
        </w:tc>
        <w:tc>
          <w:tcPr>
            <w:tcW w:w="5714" w:type="dxa"/>
            <w:shd w:val="clear" w:color="auto" w:fill="auto"/>
          </w:tcPr>
          <w:p w14:paraId="7C5E74D5" w14:textId="77777777" w:rsidR="00593D22"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 xml:space="preserve">United Nations Development </w:t>
            </w:r>
            <w:proofErr w:type="spellStart"/>
            <w:r>
              <w:rPr>
                <w:rFonts w:ascii="Calibri" w:eastAsia="Times New Roman" w:hAnsi="Calibri"/>
                <w:iCs/>
                <w:color w:val="000000"/>
                <w:sz w:val="22"/>
                <w:szCs w:val="22"/>
              </w:rPr>
              <w:t>Programme</w:t>
            </w:r>
            <w:proofErr w:type="spellEnd"/>
            <w:r>
              <w:rPr>
                <w:rFonts w:ascii="Calibri" w:eastAsia="Times New Roman" w:hAnsi="Calibri"/>
                <w:iCs/>
                <w:color w:val="000000"/>
                <w:sz w:val="22"/>
                <w:szCs w:val="22"/>
              </w:rPr>
              <w:t xml:space="preserve"> (UNDP)</w:t>
            </w:r>
          </w:p>
          <w:p w14:paraId="4EB50C5C" w14:textId="77777777" w:rsidR="00593D22" w:rsidRDefault="0016018D" w:rsidP="00593D22">
            <w:pPr>
              <w:rPr>
                <w:rFonts w:ascii="Calibri" w:eastAsia="Times New Roman" w:hAnsi="Calibri"/>
                <w:iCs/>
                <w:color w:val="000000"/>
                <w:sz w:val="22"/>
                <w:szCs w:val="22"/>
              </w:rPr>
            </w:pPr>
            <w:hyperlink r:id="rId28" w:history="1">
              <w:r w:rsidR="00593D22" w:rsidRPr="00AC5AD5">
                <w:rPr>
                  <w:rStyle w:val="Hyperlink"/>
                  <w:rFonts w:ascii="Calibri" w:eastAsia="Times New Roman" w:hAnsi="Calibri"/>
                  <w:iCs/>
                  <w:sz w:val="22"/>
                  <w:szCs w:val="22"/>
                </w:rPr>
                <w:t>http://hdr.undp.org/en</w:t>
              </w:r>
            </w:hyperlink>
          </w:p>
          <w:p w14:paraId="33F02C39" w14:textId="12A7FE5D" w:rsidR="00A51B3B"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(Retrieved on 7 July 2016)</w:t>
            </w:r>
          </w:p>
        </w:tc>
      </w:tr>
      <w:tr w:rsidR="00A51B3B" w:rsidRPr="003051F6" w14:paraId="794350D8" w14:textId="77777777" w:rsidTr="008E3721">
        <w:trPr>
          <w:cantSplit/>
        </w:trPr>
        <w:tc>
          <w:tcPr>
            <w:tcW w:w="3081" w:type="dxa"/>
            <w:shd w:val="clear" w:color="auto" w:fill="auto"/>
          </w:tcPr>
          <w:p w14:paraId="5E2A931F" w14:textId="77777777" w:rsidR="00A51B3B" w:rsidRDefault="00A51B3B" w:rsidP="00A51B3B">
            <w:pPr>
              <w:rPr>
                <w:rFonts w:ascii="Calibri" w:eastAsia="Times New Roman" w:hAnsi="Calibri"/>
                <w:color w:val="000000"/>
              </w:rPr>
            </w:pPr>
            <w:r>
              <w:rPr>
                <w:rFonts w:ascii="Calibri" w:eastAsia="Times New Roman" w:hAnsi="Calibri"/>
                <w:color w:val="000000"/>
              </w:rPr>
              <w:t>PPP.125.day</w:t>
            </w:r>
          </w:p>
          <w:p w14:paraId="0C041E91" w14:textId="77777777" w:rsidR="00A51B3B" w:rsidRDefault="00A51B3B" w:rsidP="00A51B3B">
            <w:pPr>
              <w:rPr>
                <w:rFonts w:ascii="Calibri" w:eastAsia="Times New Roman" w:hAnsi="Calibri"/>
                <w:color w:val="000000"/>
              </w:rPr>
            </w:pPr>
          </w:p>
        </w:tc>
        <w:tc>
          <w:tcPr>
            <w:tcW w:w="5365" w:type="dxa"/>
            <w:shd w:val="clear" w:color="auto" w:fill="auto"/>
          </w:tcPr>
          <w:p w14:paraId="151562FE" w14:textId="5DB0E313" w:rsidR="00A51B3B" w:rsidRDefault="00A51B3B" w:rsidP="003051F6">
            <w:pPr>
              <w:rPr>
                <w:rFonts w:ascii="Calibri" w:eastAsia="Times New Roman" w:hAnsi="Calibri"/>
                <w:iCs/>
                <w:color w:val="000000"/>
                <w:sz w:val="22"/>
                <w:szCs w:val="22"/>
              </w:rPr>
            </w:pPr>
            <w:r w:rsidRPr="00A51B3B">
              <w:rPr>
                <w:rFonts w:ascii="Calibri" w:eastAsia="Times New Roman" w:hAnsi="Calibri"/>
                <w:iCs/>
                <w:color w:val="000000"/>
                <w:sz w:val="22"/>
                <w:szCs w:val="22"/>
              </w:rPr>
              <w:t>Percentage of the population living below the international poverty line $1.25 (in purchasing power parity terms) a day.</w:t>
            </w:r>
          </w:p>
        </w:tc>
        <w:tc>
          <w:tcPr>
            <w:tcW w:w="5714" w:type="dxa"/>
            <w:shd w:val="clear" w:color="auto" w:fill="auto"/>
          </w:tcPr>
          <w:p w14:paraId="51D60090" w14:textId="77777777" w:rsidR="00593D22"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 xml:space="preserve">United Nations Development </w:t>
            </w:r>
            <w:proofErr w:type="spellStart"/>
            <w:r>
              <w:rPr>
                <w:rFonts w:ascii="Calibri" w:eastAsia="Times New Roman" w:hAnsi="Calibri"/>
                <w:iCs/>
                <w:color w:val="000000"/>
                <w:sz w:val="22"/>
                <w:szCs w:val="22"/>
              </w:rPr>
              <w:t>Programme</w:t>
            </w:r>
            <w:proofErr w:type="spellEnd"/>
            <w:r>
              <w:rPr>
                <w:rFonts w:ascii="Calibri" w:eastAsia="Times New Roman" w:hAnsi="Calibri"/>
                <w:iCs/>
                <w:color w:val="000000"/>
                <w:sz w:val="22"/>
                <w:szCs w:val="22"/>
              </w:rPr>
              <w:t xml:space="preserve"> (UNDP)</w:t>
            </w:r>
          </w:p>
          <w:p w14:paraId="19E078CB" w14:textId="77777777" w:rsidR="00593D22" w:rsidRDefault="0016018D" w:rsidP="00593D22">
            <w:pPr>
              <w:rPr>
                <w:rFonts w:ascii="Calibri" w:eastAsia="Times New Roman" w:hAnsi="Calibri"/>
                <w:iCs/>
                <w:color w:val="000000"/>
                <w:sz w:val="22"/>
                <w:szCs w:val="22"/>
              </w:rPr>
            </w:pPr>
            <w:hyperlink r:id="rId29" w:history="1">
              <w:r w:rsidR="00593D22" w:rsidRPr="00AC5AD5">
                <w:rPr>
                  <w:rStyle w:val="Hyperlink"/>
                  <w:rFonts w:ascii="Calibri" w:eastAsia="Times New Roman" w:hAnsi="Calibri"/>
                  <w:iCs/>
                  <w:sz w:val="22"/>
                  <w:szCs w:val="22"/>
                </w:rPr>
                <w:t>http://hdr.undp.org/en</w:t>
              </w:r>
            </w:hyperlink>
          </w:p>
          <w:p w14:paraId="7083543B" w14:textId="5386CD7A" w:rsidR="00A51B3B" w:rsidRDefault="00593D22" w:rsidP="00593D22">
            <w:pPr>
              <w:rPr>
                <w:rFonts w:ascii="Calibri" w:eastAsia="Times New Roman" w:hAnsi="Calibri"/>
                <w:iCs/>
                <w:color w:val="000000"/>
                <w:sz w:val="22"/>
                <w:szCs w:val="22"/>
              </w:rPr>
            </w:pPr>
            <w:r>
              <w:rPr>
                <w:rFonts w:ascii="Calibri" w:eastAsia="Times New Roman" w:hAnsi="Calibri"/>
                <w:iCs/>
                <w:color w:val="000000"/>
                <w:sz w:val="22"/>
                <w:szCs w:val="22"/>
              </w:rPr>
              <w:t>(Retrieved on 7 July 2016)</w:t>
            </w:r>
          </w:p>
        </w:tc>
      </w:tr>
      <w:tr w:rsidR="00346D34" w:rsidRPr="003051F6" w14:paraId="140668D7" w14:textId="77777777" w:rsidTr="008E3721">
        <w:trPr>
          <w:cantSplit/>
        </w:trPr>
        <w:tc>
          <w:tcPr>
            <w:tcW w:w="3081" w:type="dxa"/>
            <w:shd w:val="clear" w:color="auto" w:fill="auto"/>
          </w:tcPr>
          <w:p w14:paraId="5ADCECA8" w14:textId="25E1B7F8" w:rsidR="00346D34" w:rsidRPr="003051F6" w:rsidRDefault="00346D34">
            <w:proofErr w:type="spellStart"/>
            <w:r>
              <w:t>Percent.poverty</w:t>
            </w:r>
            <w:proofErr w:type="spellEnd"/>
          </w:p>
        </w:tc>
        <w:tc>
          <w:tcPr>
            <w:tcW w:w="5365" w:type="dxa"/>
            <w:shd w:val="clear" w:color="auto" w:fill="auto"/>
          </w:tcPr>
          <w:p w14:paraId="686FBD79" w14:textId="2CD6B08D" w:rsidR="00346D34" w:rsidRPr="003051F6"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Percent of total population living on under USD $3.10 per day</w:t>
            </w:r>
          </w:p>
        </w:tc>
        <w:tc>
          <w:tcPr>
            <w:tcW w:w="5714" w:type="dxa"/>
            <w:shd w:val="clear" w:color="auto" w:fill="auto"/>
          </w:tcPr>
          <w:p w14:paraId="243CE0EC" w14:textId="77777777" w:rsidR="00346D34" w:rsidRDefault="00346D34" w:rsidP="00E13061">
            <w:pPr>
              <w:rPr>
                <w:rFonts w:ascii="Calibri" w:eastAsia="Times New Roman" w:hAnsi="Calibri"/>
                <w:iCs/>
                <w:color w:val="000000"/>
                <w:sz w:val="22"/>
                <w:szCs w:val="22"/>
              </w:rPr>
            </w:pPr>
            <w:r>
              <w:rPr>
                <w:rFonts w:ascii="Calibri" w:eastAsia="Times New Roman" w:hAnsi="Calibri"/>
                <w:iCs/>
                <w:color w:val="000000"/>
                <w:sz w:val="22"/>
                <w:szCs w:val="22"/>
              </w:rPr>
              <w:t xml:space="preserve">UNESCO Institute for Statistics </w:t>
            </w:r>
          </w:p>
          <w:p w14:paraId="4E8D746E" w14:textId="77777777" w:rsidR="00346D34" w:rsidRDefault="0016018D" w:rsidP="00E13061">
            <w:pPr>
              <w:rPr>
                <w:rFonts w:ascii="Calibri" w:eastAsia="Times New Roman" w:hAnsi="Calibri"/>
                <w:iCs/>
                <w:color w:val="000000"/>
                <w:sz w:val="22"/>
                <w:szCs w:val="22"/>
              </w:rPr>
            </w:pPr>
            <w:hyperlink r:id="rId30" w:history="1">
              <w:r w:rsidR="00346D34" w:rsidRPr="001D6001">
                <w:rPr>
                  <w:rStyle w:val="Hyperlink"/>
                  <w:rFonts w:ascii="Calibri" w:eastAsia="Times New Roman" w:hAnsi="Calibri"/>
                  <w:iCs/>
                  <w:sz w:val="22"/>
                  <w:szCs w:val="22"/>
                </w:rPr>
                <w:t>http://data.uis.unesco.org/Index.aspx</w:t>
              </w:r>
            </w:hyperlink>
          </w:p>
          <w:p w14:paraId="21C4BFFF" w14:textId="64F554C8"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(Retrieved 5 July 2016)</w:t>
            </w:r>
          </w:p>
        </w:tc>
      </w:tr>
      <w:tr w:rsidR="00346D34" w:rsidRPr="003051F6" w14:paraId="2D67F6A4" w14:textId="77777777" w:rsidTr="008E3721">
        <w:trPr>
          <w:cantSplit/>
          <w:trHeight w:val="323"/>
        </w:trPr>
        <w:tc>
          <w:tcPr>
            <w:tcW w:w="3081" w:type="dxa"/>
            <w:shd w:val="clear" w:color="auto" w:fill="auto"/>
          </w:tcPr>
          <w:p w14:paraId="58F06789" w14:textId="21D5E5E8" w:rsidR="00346D34" w:rsidRPr="003051F6" w:rsidRDefault="00346D34">
            <w:proofErr w:type="spellStart"/>
            <w:r>
              <w:t>International.Dev.Aid</w:t>
            </w:r>
            <w:proofErr w:type="spellEnd"/>
          </w:p>
        </w:tc>
        <w:tc>
          <w:tcPr>
            <w:tcW w:w="5365" w:type="dxa"/>
            <w:shd w:val="clear" w:color="auto" w:fill="auto"/>
          </w:tcPr>
          <w:p w14:paraId="19C0CA5D" w14:textId="191EA2BA" w:rsidR="00346D34" w:rsidRPr="003051F6"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Total aid granted, in current prices (in USD millions) from all DAC countries</w:t>
            </w:r>
          </w:p>
        </w:tc>
        <w:tc>
          <w:tcPr>
            <w:tcW w:w="5714" w:type="dxa"/>
            <w:shd w:val="clear" w:color="auto" w:fill="auto"/>
          </w:tcPr>
          <w:p w14:paraId="1420123A" w14:textId="475588D8"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International Monetary Fund (IMF)</w:t>
            </w:r>
          </w:p>
        </w:tc>
      </w:tr>
      <w:tr w:rsidR="00346D34" w:rsidRPr="003051F6" w14:paraId="0C0CF80B" w14:textId="77777777" w:rsidTr="008E3721">
        <w:trPr>
          <w:cantSplit/>
        </w:trPr>
        <w:tc>
          <w:tcPr>
            <w:tcW w:w="3081" w:type="dxa"/>
            <w:shd w:val="clear" w:color="auto" w:fill="auto"/>
          </w:tcPr>
          <w:p w14:paraId="036BC2C9" w14:textId="7B4F79C9" w:rsidR="00346D34" w:rsidRPr="003051F6" w:rsidRDefault="00346D34">
            <w:proofErr w:type="spellStart"/>
            <w:r>
              <w:t>Corruption.Perception.Index</w:t>
            </w:r>
            <w:proofErr w:type="spellEnd"/>
          </w:p>
        </w:tc>
        <w:tc>
          <w:tcPr>
            <w:tcW w:w="5365" w:type="dxa"/>
            <w:shd w:val="clear" w:color="auto" w:fill="auto"/>
          </w:tcPr>
          <w:p w14:paraId="5B1F9C83" w14:textId="77777777" w:rsidR="00346D34" w:rsidRDefault="00346D34" w:rsidP="009C0C2E">
            <w:pPr>
              <w:pStyle w:val="Default"/>
            </w:pPr>
          </w:p>
          <w:p w14:paraId="54BF2B0E" w14:textId="77777777" w:rsidR="00346D34" w:rsidRPr="009C0C2E" w:rsidRDefault="00346D34" w:rsidP="009C0C2E">
            <w:pPr>
              <w:rPr>
                <w:rFonts w:eastAsia="Times New Roman"/>
              </w:rPr>
            </w:pPr>
            <w:r>
              <w:t xml:space="preserve"> </w:t>
            </w:r>
            <w:r>
              <w:rPr>
                <w:sz w:val="22"/>
                <w:szCs w:val="22"/>
              </w:rPr>
              <w:t xml:space="preserve">The CPI scores and ranks countries/territories based on how corrupt a country’s public sector is perceived to be. It is a composite index, a combination of surveys and assessments of corruption, collected by a variety of reputable institutions. The CPI is the most widely used indicator of corruption worldwide. </w:t>
            </w:r>
            <w:r w:rsidRPr="009C0C2E">
              <w:rPr>
                <w:rFonts w:ascii="HelveticaNeueW01-55Roma" w:eastAsia="Times New Roman" w:hAnsi="HelveticaNeueW01-55Roma"/>
                <w:color w:val="5D5D5D"/>
                <w:sz w:val="20"/>
                <w:szCs w:val="20"/>
                <w:shd w:val="clear" w:color="auto" w:fill="FFFFFF"/>
              </w:rPr>
              <w:t>Behind these numbers is the daily reality for people living in these countries. The index cannot capture the individual frustration of this reality, but it does capture the informed views of analysts, businesspeople and experts in countries around the world.</w:t>
            </w:r>
          </w:p>
          <w:p w14:paraId="581C4813" w14:textId="12064C26" w:rsidR="00346D34" w:rsidRPr="003051F6" w:rsidRDefault="00346D34" w:rsidP="009C0C2E">
            <w:pPr>
              <w:rPr>
                <w:rFonts w:ascii="Calibri" w:eastAsia="Times New Roman" w:hAnsi="Calibri"/>
                <w:iCs/>
                <w:color w:val="000000"/>
                <w:sz w:val="22"/>
                <w:szCs w:val="22"/>
              </w:rPr>
            </w:pPr>
          </w:p>
        </w:tc>
        <w:tc>
          <w:tcPr>
            <w:tcW w:w="5714" w:type="dxa"/>
            <w:shd w:val="clear" w:color="auto" w:fill="auto"/>
          </w:tcPr>
          <w:p w14:paraId="5005DD70" w14:textId="32FFFE92"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Transparency International</w:t>
            </w:r>
          </w:p>
        </w:tc>
      </w:tr>
      <w:tr w:rsidR="00346D34" w:rsidRPr="003051F6" w14:paraId="2478CA0D" w14:textId="57FF353F" w:rsidTr="008E3721">
        <w:trPr>
          <w:cantSplit/>
        </w:trPr>
        <w:tc>
          <w:tcPr>
            <w:tcW w:w="3081" w:type="dxa"/>
            <w:shd w:val="clear" w:color="auto" w:fill="auto"/>
          </w:tcPr>
          <w:p w14:paraId="0151BFAF" w14:textId="79360A8C" w:rsidR="00346D34" w:rsidRPr="003051F6" w:rsidRDefault="00346D34">
            <w:proofErr w:type="spellStart"/>
            <w:r w:rsidRPr="003051F6">
              <w:t>Voice.Accountability</w:t>
            </w:r>
            <w:proofErr w:type="spellEnd"/>
          </w:p>
        </w:tc>
        <w:tc>
          <w:tcPr>
            <w:tcW w:w="5365" w:type="dxa"/>
            <w:shd w:val="clear" w:color="auto" w:fill="auto"/>
          </w:tcPr>
          <w:p w14:paraId="0BB7D685" w14:textId="77777777" w:rsidR="00346D34" w:rsidRPr="003051F6" w:rsidRDefault="00346D34" w:rsidP="003051F6">
            <w:pPr>
              <w:rPr>
                <w:rFonts w:ascii="Calibri" w:eastAsia="Times New Roman" w:hAnsi="Calibri"/>
                <w:iCs/>
                <w:color w:val="000000"/>
                <w:sz w:val="22"/>
                <w:szCs w:val="22"/>
              </w:rPr>
            </w:pPr>
            <w:r w:rsidRPr="003051F6">
              <w:rPr>
                <w:rFonts w:ascii="Calibri" w:eastAsia="Times New Roman" w:hAnsi="Calibri"/>
                <w:iCs/>
                <w:color w:val="000000"/>
                <w:sz w:val="22"/>
                <w:szCs w:val="22"/>
              </w:rPr>
              <w:t>Reflects perceptions of the extent to which a country's citizens are able to participate in selecting their government, as well as freedom of expression, freedom of association, and a free media.</w:t>
            </w:r>
          </w:p>
          <w:p w14:paraId="64A83BC3" w14:textId="77777777" w:rsidR="00346D34" w:rsidRPr="003051F6" w:rsidRDefault="00346D34" w:rsidP="003051F6">
            <w:r w:rsidRPr="003051F6">
              <w:t>Estimate of governance (ranges from approximately -2.5 (weak) to 2.5 (strong) governance performance)</w:t>
            </w:r>
          </w:p>
          <w:p w14:paraId="3833560C" w14:textId="77777777" w:rsidR="00346D34" w:rsidRPr="003051F6" w:rsidRDefault="00346D34"/>
        </w:tc>
        <w:tc>
          <w:tcPr>
            <w:tcW w:w="5714" w:type="dxa"/>
            <w:shd w:val="clear" w:color="auto" w:fill="auto"/>
          </w:tcPr>
          <w:p w14:paraId="3913ED14" w14:textId="7562CC21" w:rsidR="00346D34" w:rsidRDefault="00346D34" w:rsidP="003051F6">
            <w:pPr>
              <w:rPr>
                <w:rFonts w:ascii="Calibri" w:eastAsia="Times New Roman" w:hAnsi="Calibri"/>
                <w:iCs/>
                <w:color w:val="000000"/>
                <w:sz w:val="22"/>
                <w:szCs w:val="22"/>
              </w:rPr>
            </w:pPr>
            <w:r>
              <w:rPr>
                <w:rFonts w:ascii="Calibri" w:eastAsia="Times New Roman" w:hAnsi="Calibri"/>
                <w:iCs/>
                <w:color w:val="000000"/>
                <w:sz w:val="22"/>
                <w:szCs w:val="22"/>
              </w:rPr>
              <w:t>World Bank, Worldwide Government Indicators, 2015 Update</w:t>
            </w:r>
          </w:p>
          <w:p w14:paraId="20203017" w14:textId="77777777" w:rsidR="00346D34" w:rsidRDefault="00346D34" w:rsidP="003051F6">
            <w:pPr>
              <w:rPr>
                <w:rFonts w:ascii="Calibri" w:eastAsia="Times New Roman" w:hAnsi="Calibri"/>
                <w:iCs/>
                <w:color w:val="000000"/>
                <w:sz w:val="22"/>
                <w:szCs w:val="22"/>
              </w:rPr>
            </w:pPr>
          </w:p>
          <w:p w14:paraId="0DE1B168" w14:textId="77777777" w:rsidR="00346D34" w:rsidRDefault="00346D34" w:rsidP="003051F6">
            <w:pPr>
              <w:rPr>
                <w:rFonts w:ascii="Calibri" w:eastAsia="Times New Roman" w:hAnsi="Calibri"/>
                <w:iCs/>
                <w:color w:val="000000"/>
                <w:sz w:val="22"/>
                <w:szCs w:val="22"/>
              </w:rPr>
            </w:pPr>
          </w:p>
          <w:p w14:paraId="74AAA580" w14:textId="6892A27A" w:rsidR="00346D34" w:rsidRPr="003051F6" w:rsidRDefault="0016018D" w:rsidP="003051F6">
            <w:pPr>
              <w:rPr>
                <w:rFonts w:ascii="Calibri" w:eastAsia="Times New Roman" w:hAnsi="Calibri"/>
                <w:iCs/>
                <w:color w:val="000000"/>
                <w:sz w:val="22"/>
                <w:szCs w:val="22"/>
              </w:rPr>
            </w:pPr>
            <w:hyperlink r:id="rId31" w:anchor="home" w:history="1">
              <w:r w:rsidR="00346D34" w:rsidRPr="001D6001">
                <w:rPr>
                  <w:rStyle w:val="Hyperlink"/>
                  <w:rFonts w:ascii="Calibri" w:eastAsia="Times New Roman" w:hAnsi="Calibri"/>
                  <w:iCs/>
                  <w:sz w:val="22"/>
                  <w:szCs w:val="22"/>
                </w:rPr>
                <w:t>http://info.worldbank.org/governance/wgi/index.aspx#home</w:t>
              </w:r>
            </w:hyperlink>
            <w:r w:rsidR="00346D34">
              <w:rPr>
                <w:rFonts w:ascii="Calibri" w:eastAsia="Times New Roman" w:hAnsi="Calibri"/>
                <w:iCs/>
                <w:color w:val="000000"/>
                <w:sz w:val="22"/>
                <w:szCs w:val="22"/>
              </w:rPr>
              <w:t xml:space="preserve"> (Retrieved 2 July 2016)</w:t>
            </w:r>
          </w:p>
        </w:tc>
      </w:tr>
      <w:tr w:rsidR="00346D34" w:rsidRPr="003051F6" w14:paraId="61E67B1A" w14:textId="519C03C1" w:rsidTr="008E3721">
        <w:trPr>
          <w:cantSplit/>
        </w:trPr>
        <w:tc>
          <w:tcPr>
            <w:tcW w:w="3081" w:type="dxa"/>
            <w:shd w:val="clear" w:color="auto" w:fill="auto"/>
          </w:tcPr>
          <w:p w14:paraId="48EC22CC" w14:textId="4C7ADA94" w:rsidR="00346D34" w:rsidRPr="003051F6" w:rsidRDefault="00346D34">
            <w:proofErr w:type="spellStart"/>
            <w:r w:rsidRPr="003051F6">
              <w:t>Political.Stability</w:t>
            </w:r>
            <w:proofErr w:type="spellEnd"/>
          </w:p>
        </w:tc>
        <w:tc>
          <w:tcPr>
            <w:tcW w:w="5365" w:type="dxa"/>
            <w:shd w:val="clear" w:color="auto" w:fill="auto"/>
          </w:tcPr>
          <w:p w14:paraId="25FFD04A" w14:textId="5CD6EC04" w:rsidR="00346D34" w:rsidRPr="003051F6" w:rsidRDefault="00346D34">
            <w:r w:rsidRPr="003051F6">
              <w:t>Estimate of governance (ranges from approximately -2.5 (weak) to 2.5 (strong) governance performance)</w:t>
            </w:r>
          </w:p>
        </w:tc>
        <w:tc>
          <w:tcPr>
            <w:tcW w:w="5714" w:type="dxa"/>
            <w:shd w:val="clear" w:color="auto" w:fill="auto"/>
          </w:tcPr>
          <w:p w14:paraId="3F769D10" w14:textId="1D5CE576" w:rsidR="00346D34" w:rsidRDefault="00346D34" w:rsidP="00165F67">
            <w:pPr>
              <w:rPr>
                <w:rFonts w:ascii="Calibri" w:eastAsia="Times New Roman" w:hAnsi="Calibri"/>
                <w:iCs/>
                <w:color w:val="000000"/>
                <w:sz w:val="22"/>
                <w:szCs w:val="22"/>
              </w:rPr>
            </w:pPr>
            <w:r>
              <w:rPr>
                <w:rFonts w:ascii="Calibri" w:eastAsia="Times New Roman" w:hAnsi="Calibri"/>
                <w:iCs/>
                <w:color w:val="000000"/>
                <w:sz w:val="22"/>
                <w:szCs w:val="22"/>
              </w:rPr>
              <w:t xml:space="preserve">World Bank, Worldwide Government Indicators, 2015 Update </w:t>
            </w:r>
          </w:p>
          <w:p w14:paraId="44743D0A" w14:textId="77777777" w:rsidR="00346D34" w:rsidRDefault="00346D34" w:rsidP="00165F67">
            <w:pPr>
              <w:rPr>
                <w:rFonts w:ascii="Calibri" w:eastAsia="Times New Roman" w:hAnsi="Calibri"/>
                <w:iCs/>
                <w:color w:val="000000"/>
                <w:sz w:val="22"/>
                <w:szCs w:val="22"/>
              </w:rPr>
            </w:pPr>
          </w:p>
          <w:p w14:paraId="3A567463" w14:textId="77777777" w:rsidR="00346D34" w:rsidRDefault="00346D34" w:rsidP="00165F67">
            <w:pPr>
              <w:rPr>
                <w:rFonts w:ascii="Calibri" w:eastAsia="Times New Roman" w:hAnsi="Calibri"/>
                <w:iCs/>
                <w:color w:val="000000"/>
                <w:sz w:val="22"/>
                <w:szCs w:val="22"/>
              </w:rPr>
            </w:pPr>
          </w:p>
          <w:p w14:paraId="6948DE73" w14:textId="21BBC5F2" w:rsidR="00346D34" w:rsidRPr="003051F6" w:rsidRDefault="0016018D" w:rsidP="00165F67">
            <w:hyperlink r:id="rId32" w:anchor="home" w:history="1">
              <w:r w:rsidR="00346D34" w:rsidRPr="001D6001">
                <w:rPr>
                  <w:rStyle w:val="Hyperlink"/>
                  <w:rFonts w:ascii="Calibri" w:eastAsia="Times New Roman" w:hAnsi="Calibri"/>
                  <w:iCs/>
                  <w:sz w:val="22"/>
                  <w:szCs w:val="22"/>
                </w:rPr>
                <w:t>http://info.worldbank.org/governance/wgi/index.aspx#home</w:t>
              </w:r>
            </w:hyperlink>
            <w:r w:rsidR="00346D34">
              <w:rPr>
                <w:rFonts w:ascii="Calibri" w:eastAsia="Times New Roman" w:hAnsi="Calibri"/>
                <w:iCs/>
                <w:color w:val="000000"/>
                <w:sz w:val="22"/>
                <w:szCs w:val="22"/>
              </w:rPr>
              <w:t xml:space="preserve"> (Retrieved 2 July 2016)</w:t>
            </w:r>
          </w:p>
        </w:tc>
      </w:tr>
      <w:tr w:rsidR="00346D34" w:rsidRPr="003051F6" w14:paraId="215DC802" w14:textId="2B8ACBBA" w:rsidTr="008E3721">
        <w:trPr>
          <w:cantSplit/>
        </w:trPr>
        <w:tc>
          <w:tcPr>
            <w:tcW w:w="3081" w:type="dxa"/>
            <w:shd w:val="clear" w:color="auto" w:fill="auto"/>
          </w:tcPr>
          <w:p w14:paraId="620D7494" w14:textId="3E70E082" w:rsidR="00346D34" w:rsidRPr="003051F6" w:rsidRDefault="00346D34">
            <w:proofErr w:type="spellStart"/>
            <w:r w:rsidRPr="003051F6">
              <w:t>Government.Effectiveness</w:t>
            </w:r>
            <w:proofErr w:type="spellEnd"/>
          </w:p>
        </w:tc>
        <w:tc>
          <w:tcPr>
            <w:tcW w:w="5365" w:type="dxa"/>
            <w:shd w:val="clear" w:color="auto" w:fill="auto"/>
          </w:tcPr>
          <w:p w14:paraId="393E2D54" w14:textId="11354742" w:rsidR="00346D34" w:rsidRPr="003051F6" w:rsidRDefault="00346D34">
            <w:r w:rsidRPr="003051F6">
              <w:rPr>
                <w:rFonts w:ascii="Calibri" w:eastAsia="Times New Roman" w:hAnsi="Calibri"/>
                <w:iCs/>
                <w:color w:val="000000"/>
                <w:sz w:val="22"/>
                <w:szCs w:val="22"/>
              </w:rPr>
              <w:t>Reflects perceptions of the quality of public services, the quality of the civil service and the degree of its independence from political pressures, the quality of policy formulation and implementation, and the credibility of the government's commitment to such policies.</w:t>
            </w:r>
          </w:p>
        </w:tc>
        <w:tc>
          <w:tcPr>
            <w:tcW w:w="5714" w:type="dxa"/>
            <w:shd w:val="clear" w:color="auto" w:fill="auto"/>
          </w:tcPr>
          <w:p w14:paraId="3BA58F6F" w14:textId="03EFB0C3" w:rsidR="00346D34" w:rsidRDefault="00346D34" w:rsidP="00165F67">
            <w:pPr>
              <w:rPr>
                <w:rFonts w:ascii="Calibri" w:eastAsia="Times New Roman" w:hAnsi="Calibri"/>
                <w:iCs/>
                <w:color w:val="000000"/>
                <w:sz w:val="22"/>
                <w:szCs w:val="22"/>
              </w:rPr>
            </w:pPr>
            <w:r>
              <w:rPr>
                <w:rFonts w:ascii="Calibri" w:eastAsia="Times New Roman" w:hAnsi="Calibri"/>
                <w:iCs/>
                <w:color w:val="000000"/>
                <w:sz w:val="22"/>
                <w:szCs w:val="22"/>
              </w:rPr>
              <w:t>World Bank, Worldwide Government Indicators, 2015 Update</w:t>
            </w:r>
          </w:p>
          <w:p w14:paraId="597C69D8" w14:textId="77777777" w:rsidR="00346D34" w:rsidRDefault="00346D34" w:rsidP="00165F67">
            <w:pPr>
              <w:rPr>
                <w:rFonts w:ascii="Calibri" w:eastAsia="Times New Roman" w:hAnsi="Calibri"/>
                <w:iCs/>
                <w:color w:val="000000"/>
                <w:sz w:val="22"/>
                <w:szCs w:val="22"/>
              </w:rPr>
            </w:pPr>
          </w:p>
          <w:p w14:paraId="14F5591D" w14:textId="77777777" w:rsidR="00346D34" w:rsidRDefault="00346D34" w:rsidP="00165F67">
            <w:pPr>
              <w:rPr>
                <w:rFonts w:ascii="Calibri" w:eastAsia="Times New Roman" w:hAnsi="Calibri"/>
                <w:iCs/>
                <w:color w:val="000000"/>
                <w:sz w:val="22"/>
                <w:szCs w:val="22"/>
              </w:rPr>
            </w:pPr>
          </w:p>
          <w:p w14:paraId="06B67245" w14:textId="2368789E" w:rsidR="00346D34" w:rsidRPr="003051F6" w:rsidRDefault="0016018D" w:rsidP="00165F67">
            <w:pPr>
              <w:rPr>
                <w:rFonts w:ascii="Calibri" w:eastAsia="Times New Roman" w:hAnsi="Calibri"/>
                <w:iCs/>
                <w:color w:val="000000"/>
                <w:sz w:val="22"/>
                <w:szCs w:val="22"/>
              </w:rPr>
            </w:pPr>
            <w:hyperlink r:id="rId33" w:anchor="home" w:history="1">
              <w:r w:rsidR="00346D34" w:rsidRPr="001D6001">
                <w:rPr>
                  <w:rStyle w:val="Hyperlink"/>
                  <w:rFonts w:ascii="Calibri" w:eastAsia="Times New Roman" w:hAnsi="Calibri"/>
                  <w:iCs/>
                  <w:sz w:val="22"/>
                  <w:szCs w:val="22"/>
                </w:rPr>
                <w:t>http://info.worldbank.org/governance/wgi/index.aspx#home</w:t>
              </w:r>
            </w:hyperlink>
            <w:r w:rsidR="00346D34">
              <w:rPr>
                <w:rFonts w:ascii="Calibri" w:eastAsia="Times New Roman" w:hAnsi="Calibri"/>
                <w:iCs/>
                <w:color w:val="000000"/>
                <w:sz w:val="22"/>
                <w:szCs w:val="22"/>
              </w:rPr>
              <w:t xml:space="preserve"> (Retrieved 2 July 2016)</w:t>
            </w:r>
          </w:p>
        </w:tc>
      </w:tr>
      <w:tr w:rsidR="00346D34" w:rsidRPr="003051F6" w14:paraId="40F49EBA" w14:textId="204A706C" w:rsidTr="008E3721">
        <w:trPr>
          <w:cantSplit/>
        </w:trPr>
        <w:tc>
          <w:tcPr>
            <w:tcW w:w="3081" w:type="dxa"/>
            <w:shd w:val="clear" w:color="auto" w:fill="auto"/>
          </w:tcPr>
          <w:p w14:paraId="25CEBC0F" w14:textId="7B9D5CF3" w:rsidR="00346D34" w:rsidRPr="003051F6" w:rsidRDefault="00346D34">
            <w:proofErr w:type="spellStart"/>
            <w:r w:rsidRPr="003051F6">
              <w:t>Rule.Law</w:t>
            </w:r>
            <w:proofErr w:type="spellEnd"/>
          </w:p>
        </w:tc>
        <w:tc>
          <w:tcPr>
            <w:tcW w:w="5365" w:type="dxa"/>
            <w:shd w:val="clear" w:color="auto" w:fill="auto"/>
          </w:tcPr>
          <w:p w14:paraId="0711624B" w14:textId="3B95B6D1" w:rsidR="00346D34" w:rsidRPr="003051F6" w:rsidRDefault="00346D34">
            <w:r w:rsidRPr="003051F6">
              <w:rPr>
                <w:rFonts w:ascii="Calibri" w:eastAsia="Times New Roman" w:hAnsi="Calibri"/>
                <w:iCs/>
                <w:color w:val="000000"/>
                <w:sz w:val="22"/>
                <w:szCs w:val="22"/>
              </w:rPr>
              <w:t>Reflects perceptions of the extent to which agents have confidence in and abide by the rules of society, and in particular the quality of contract enforcement, property rights, the police, and the courts, as well as the likelihood of crime and violence.</w:t>
            </w:r>
          </w:p>
        </w:tc>
        <w:tc>
          <w:tcPr>
            <w:tcW w:w="5714" w:type="dxa"/>
            <w:shd w:val="clear" w:color="auto" w:fill="auto"/>
          </w:tcPr>
          <w:p w14:paraId="79E7F905" w14:textId="06945EC2" w:rsidR="00346D34" w:rsidRDefault="00346D34" w:rsidP="00165F67">
            <w:pPr>
              <w:rPr>
                <w:rFonts w:ascii="Calibri" w:eastAsia="Times New Roman" w:hAnsi="Calibri"/>
                <w:iCs/>
                <w:color w:val="000000"/>
                <w:sz w:val="22"/>
                <w:szCs w:val="22"/>
              </w:rPr>
            </w:pPr>
            <w:r>
              <w:rPr>
                <w:rFonts w:ascii="Calibri" w:eastAsia="Times New Roman" w:hAnsi="Calibri"/>
                <w:iCs/>
                <w:color w:val="000000"/>
                <w:sz w:val="22"/>
                <w:szCs w:val="22"/>
              </w:rPr>
              <w:t xml:space="preserve">World Bank, Worldwide Government Indicators, 2015 Update </w:t>
            </w:r>
          </w:p>
          <w:p w14:paraId="53493ACA" w14:textId="77777777" w:rsidR="00346D34" w:rsidRDefault="00346D34" w:rsidP="00165F67">
            <w:pPr>
              <w:rPr>
                <w:rFonts w:ascii="Calibri" w:eastAsia="Times New Roman" w:hAnsi="Calibri"/>
                <w:iCs/>
                <w:color w:val="000000"/>
                <w:sz w:val="22"/>
                <w:szCs w:val="22"/>
              </w:rPr>
            </w:pPr>
          </w:p>
          <w:p w14:paraId="3B612888" w14:textId="77777777" w:rsidR="00346D34" w:rsidRDefault="00346D34" w:rsidP="00165F67">
            <w:pPr>
              <w:rPr>
                <w:rFonts w:ascii="Calibri" w:eastAsia="Times New Roman" w:hAnsi="Calibri"/>
                <w:iCs/>
                <w:color w:val="000000"/>
                <w:sz w:val="22"/>
                <w:szCs w:val="22"/>
              </w:rPr>
            </w:pPr>
          </w:p>
          <w:p w14:paraId="62C7B147" w14:textId="195CB862" w:rsidR="00346D34" w:rsidRPr="003051F6" w:rsidRDefault="0016018D" w:rsidP="00165F67">
            <w:pPr>
              <w:rPr>
                <w:rFonts w:ascii="Calibri" w:eastAsia="Times New Roman" w:hAnsi="Calibri"/>
                <w:iCs/>
                <w:color w:val="000000"/>
                <w:sz w:val="22"/>
                <w:szCs w:val="22"/>
              </w:rPr>
            </w:pPr>
            <w:hyperlink r:id="rId34" w:anchor="home" w:history="1">
              <w:r w:rsidR="00346D34" w:rsidRPr="001D6001">
                <w:rPr>
                  <w:rStyle w:val="Hyperlink"/>
                  <w:rFonts w:ascii="Calibri" w:eastAsia="Times New Roman" w:hAnsi="Calibri"/>
                  <w:iCs/>
                  <w:sz w:val="22"/>
                  <w:szCs w:val="22"/>
                </w:rPr>
                <w:t>http://info.worldbank.org/governance/wgi/index.aspx#home</w:t>
              </w:r>
            </w:hyperlink>
            <w:r w:rsidR="00346D34">
              <w:rPr>
                <w:rFonts w:ascii="Calibri" w:eastAsia="Times New Roman" w:hAnsi="Calibri"/>
                <w:iCs/>
                <w:color w:val="000000"/>
                <w:sz w:val="22"/>
                <w:szCs w:val="22"/>
              </w:rPr>
              <w:t xml:space="preserve"> (Retrieved 2 July 2016)</w:t>
            </w:r>
          </w:p>
        </w:tc>
      </w:tr>
      <w:tr w:rsidR="00346D34" w:rsidRPr="003051F6" w14:paraId="1A671F5B" w14:textId="21E8ED07" w:rsidTr="008E3721">
        <w:trPr>
          <w:cantSplit/>
        </w:trPr>
        <w:tc>
          <w:tcPr>
            <w:tcW w:w="3081" w:type="dxa"/>
            <w:shd w:val="clear" w:color="auto" w:fill="auto"/>
          </w:tcPr>
          <w:p w14:paraId="037A2A5A" w14:textId="7827850B" w:rsidR="00346D34" w:rsidRPr="003051F6" w:rsidRDefault="00346D34">
            <w:proofErr w:type="spellStart"/>
            <w:r>
              <w:t>Corruption.Control</w:t>
            </w:r>
            <w:proofErr w:type="spellEnd"/>
          </w:p>
        </w:tc>
        <w:tc>
          <w:tcPr>
            <w:tcW w:w="5365" w:type="dxa"/>
            <w:shd w:val="clear" w:color="auto" w:fill="auto"/>
          </w:tcPr>
          <w:p w14:paraId="13495C8B" w14:textId="77777777" w:rsidR="00346D34" w:rsidRPr="004D0136" w:rsidRDefault="00346D34" w:rsidP="004D0136">
            <w:pPr>
              <w:rPr>
                <w:rFonts w:ascii="Calibri" w:eastAsia="Times New Roman" w:hAnsi="Calibri"/>
                <w:iCs/>
                <w:color w:val="000000"/>
                <w:sz w:val="22"/>
                <w:szCs w:val="22"/>
              </w:rPr>
            </w:pPr>
            <w:r w:rsidRPr="004D0136">
              <w:rPr>
                <w:rFonts w:ascii="Calibri" w:eastAsia="Times New Roman" w:hAnsi="Calibri"/>
                <w:iCs/>
                <w:color w:val="000000"/>
                <w:sz w:val="22"/>
                <w:szCs w:val="22"/>
              </w:rPr>
              <w:t>Reflects perceptions of the extent to which public power is exercised for private gain, including both petty and grand forms of corruption, as well as "capture" of the state by elites and private interests.</w:t>
            </w:r>
          </w:p>
          <w:p w14:paraId="00B77DF0" w14:textId="77777777" w:rsidR="00346D34" w:rsidRPr="004D0136" w:rsidRDefault="00346D34">
            <w:pPr>
              <w:rPr>
                <w:b/>
              </w:rPr>
            </w:pPr>
          </w:p>
        </w:tc>
        <w:tc>
          <w:tcPr>
            <w:tcW w:w="5714" w:type="dxa"/>
            <w:shd w:val="clear" w:color="auto" w:fill="auto"/>
          </w:tcPr>
          <w:p w14:paraId="151A4C50" w14:textId="23EE4330" w:rsidR="00346D34" w:rsidRDefault="00346D34" w:rsidP="00165F67">
            <w:pPr>
              <w:rPr>
                <w:rFonts w:ascii="Calibri" w:eastAsia="Times New Roman" w:hAnsi="Calibri"/>
                <w:iCs/>
                <w:color w:val="000000"/>
                <w:sz w:val="22"/>
                <w:szCs w:val="22"/>
              </w:rPr>
            </w:pPr>
            <w:r>
              <w:rPr>
                <w:rFonts w:ascii="Calibri" w:eastAsia="Times New Roman" w:hAnsi="Calibri"/>
                <w:iCs/>
                <w:color w:val="000000"/>
                <w:sz w:val="22"/>
                <w:szCs w:val="22"/>
              </w:rPr>
              <w:t>World Bank, Worldwide Government Indicators, 2015 Update</w:t>
            </w:r>
          </w:p>
          <w:p w14:paraId="2CEE6232" w14:textId="77777777" w:rsidR="00346D34" w:rsidRDefault="00346D34" w:rsidP="00165F67">
            <w:pPr>
              <w:rPr>
                <w:rFonts w:ascii="Calibri" w:eastAsia="Times New Roman" w:hAnsi="Calibri"/>
                <w:iCs/>
                <w:color w:val="000000"/>
                <w:sz w:val="22"/>
                <w:szCs w:val="22"/>
              </w:rPr>
            </w:pPr>
          </w:p>
          <w:p w14:paraId="5039D66E" w14:textId="77777777" w:rsidR="00346D34" w:rsidRDefault="00346D34" w:rsidP="00165F67">
            <w:pPr>
              <w:rPr>
                <w:rFonts w:ascii="Calibri" w:eastAsia="Times New Roman" w:hAnsi="Calibri"/>
                <w:iCs/>
                <w:color w:val="000000"/>
                <w:sz w:val="22"/>
                <w:szCs w:val="22"/>
              </w:rPr>
            </w:pPr>
          </w:p>
          <w:p w14:paraId="7FD9DF29" w14:textId="55E411A0" w:rsidR="00346D34" w:rsidRPr="003051F6" w:rsidRDefault="0016018D" w:rsidP="00165F67">
            <w:hyperlink r:id="rId35" w:anchor="home" w:history="1">
              <w:r w:rsidR="00346D34" w:rsidRPr="001D6001">
                <w:rPr>
                  <w:rStyle w:val="Hyperlink"/>
                  <w:rFonts w:ascii="Calibri" w:eastAsia="Times New Roman" w:hAnsi="Calibri"/>
                  <w:iCs/>
                  <w:sz w:val="22"/>
                  <w:szCs w:val="22"/>
                </w:rPr>
                <w:t>http://info.worldbank.org/governance/wgi/index.aspx#home</w:t>
              </w:r>
            </w:hyperlink>
            <w:r w:rsidR="00346D34">
              <w:rPr>
                <w:rFonts w:ascii="Calibri" w:eastAsia="Times New Roman" w:hAnsi="Calibri"/>
                <w:iCs/>
                <w:color w:val="000000"/>
                <w:sz w:val="22"/>
                <w:szCs w:val="22"/>
              </w:rPr>
              <w:t xml:space="preserve"> (Retrieved 2 July 2016)</w:t>
            </w:r>
          </w:p>
        </w:tc>
      </w:tr>
      <w:tr w:rsidR="00346D34" w:rsidRPr="003051F6" w14:paraId="12E589B4" w14:textId="64531BE2" w:rsidTr="008E3721">
        <w:trPr>
          <w:cantSplit/>
        </w:trPr>
        <w:tc>
          <w:tcPr>
            <w:tcW w:w="3081" w:type="dxa"/>
            <w:shd w:val="clear" w:color="auto" w:fill="auto"/>
          </w:tcPr>
          <w:p w14:paraId="012A9E43" w14:textId="15D30688" w:rsidR="00346D34" w:rsidRPr="003051F6" w:rsidRDefault="00346D34">
            <w:proofErr w:type="spellStart"/>
            <w:r>
              <w:t>Reg.Quality</w:t>
            </w:r>
            <w:proofErr w:type="spellEnd"/>
          </w:p>
        </w:tc>
        <w:tc>
          <w:tcPr>
            <w:tcW w:w="5365" w:type="dxa"/>
            <w:shd w:val="clear" w:color="auto" w:fill="auto"/>
          </w:tcPr>
          <w:p w14:paraId="50D51D28" w14:textId="77777777" w:rsidR="00346D34" w:rsidRPr="00536D8A" w:rsidRDefault="00346D34" w:rsidP="00536D8A">
            <w:pPr>
              <w:rPr>
                <w:rFonts w:ascii="Calibri" w:eastAsia="Times New Roman" w:hAnsi="Calibri"/>
                <w:iCs/>
                <w:color w:val="000000"/>
                <w:sz w:val="22"/>
                <w:szCs w:val="22"/>
              </w:rPr>
            </w:pPr>
            <w:r w:rsidRPr="00536D8A">
              <w:rPr>
                <w:rFonts w:ascii="Calibri" w:eastAsia="Times New Roman" w:hAnsi="Calibri"/>
                <w:iCs/>
                <w:color w:val="000000"/>
                <w:sz w:val="22"/>
                <w:szCs w:val="22"/>
              </w:rPr>
              <w:t>Reflects perceptions of the ability of the government to formulate and implement sound policies and regulations that permit and promote private sector development.</w:t>
            </w:r>
          </w:p>
          <w:p w14:paraId="5B0611CB" w14:textId="77777777" w:rsidR="00346D34" w:rsidRPr="003051F6" w:rsidRDefault="00346D34"/>
        </w:tc>
        <w:tc>
          <w:tcPr>
            <w:tcW w:w="5714" w:type="dxa"/>
            <w:shd w:val="clear" w:color="auto" w:fill="auto"/>
          </w:tcPr>
          <w:p w14:paraId="298514E6" w14:textId="1C5899B2" w:rsidR="00346D34" w:rsidRDefault="00346D34" w:rsidP="00165F67">
            <w:pPr>
              <w:rPr>
                <w:rFonts w:ascii="Calibri" w:eastAsia="Times New Roman" w:hAnsi="Calibri"/>
                <w:iCs/>
                <w:color w:val="000000"/>
                <w:sz w:val="22"/>
                <w:szCs w:val="22"/>
              </w:rPr>
            </w:pPr>
            <w:r>
              <w:rPr>
                <w:rFonts w:ascii="Calibri" w:eastAsia="Times New Roman" w:hAnsi="Calibri"/>
                <w:iCs/>
                <w:color w:val="000000"/>
                <w:sz w:val="22"/>
                <w:szCs w:val="22"/>
              </w:rPr>
              <w:t xml:space="preserve">World Bank, Worldwide Government Indicators, 2015 Update </w:t>
            </w:r>
          </w:p>
          <w:p w14:paraId="717F7300" w14:textId="77777777" w:rsidR="00346D34" w:rsidRDefault="00346D34" w:rsidP="00165F67">
            <w:pPr>
              <w:rPr>
                <w:rFonts w:ascii="Calibri" w:eastAsia="Times New Roman" w:hAnsi="Calibri"/>
                <w:iCs/>
                <w:color w:val="000000"/>
                <w:sz w:val="22"/>
                <w:szCs w:val="22"/>
              </w:rPr>
            </w:pPr>
          </w:p>
          <w:p w14:paraId="416BB0B9" w14:textId="77777777" w:rsidR="00346D34" w:rsidRDefault="00346D34" w:rsidP="00165F67">
            <w:pPr>
              <w:rPr>
                <w:rFonts w:ascii="Calibri" w:eastAsia="Times New Roman" w:hAnsi="Calibri"/>
                <w:iCs/>
                <w:color w:val="000000"/>
                <w:sz w:val="22"/>
                <w:szCs w:val="22"/>
              </w:rPr>
            </w:pPr>
          </w:p>
          <w:p w14:paraId="63618DD5" w14:textId="5B678E6F" w:rsidR="00346D34" w:rsidRPr="003051F6" w:rsidRDefault="0016018D" w:rsidP="00165F67">
            <w:hyperlink r:id="rId36" w:anchor="home" w:history="1">
              <w:r w:rsidR="00346D34" w:rsidRPr="001D6001">
                <w:rPr>
                  <w:rStyle w:val="Hyperlink"/>
                  <w:rFonts w:ascii="Calibri" w:eastAsia="Times New Roman" w:hAnsi="Calibri"/>
                  <w:iCs/>
                  <w:sz w:val="22"/>
                  <w:szCs w:val="22"/>
                </w:rPr>
                <w:t>http://info.worldbank.org/governance/wgi/index.aspx#home</w:t>
              </w:r>
            </w:hyperlink>
            <w:r w:rsidR="00346D34">
              <w:rPr>
                <w:rFonts w:ascii="Calibri" w:eastAsia="Times New Roman" w:hAnsi="Calibri"/>
                <w:iCs/>
                <w:color w:val="000000"/>
                <w:sz w:val="22"/>
                <w:szCs w:val="22"/>
              </w:rPr>
              <w:t xml:space="preserve"> (Retrieved 2 July 2016)</w:t>
            </w:r>
          </w:p>
        </w:tc>
      </w:tr>
      <w:tr w:rsidR="00346D34" w:rsidRPr="003051F6" w14:paraId="487ECD4D" w14:textId="308B1153" w:rsidTr="008E3721">
        <w:trPr>
          <w:cantSplit/>
        </w:trPr>
        <w:tc>
          <w:tcPr>
            <w:tcW w:w="3081" w:type="dxa"/>
            <w:shd w:val="clear" w:color="auto" w:fill="auto"/>
          </w:tcPr>
          <w:p w14:paraId="0AE089C6" w14:textId="415E2097" w:rsidR="00346D34" w:rsidRPr="003051F6" w:rsidRDefault="00346D34">
            <w:proofErr w:type="spellStart"/>
            <w:r>
              <w:t>Armed.Conflict</w:t>
            </w:r>
            <w:proofErr w:type="spellEnd"/>
          </w:p>
        </w:tc>
        <w:tc>
          <w:tcPr>
            <w:tcW w:w="5365" w:type="dxa"/>
            <w:shd w:val="clear" w:color="auto" w:fill="auto"/>
          </w:tcPr>
          <w:p w14:paraId="63121A10" w14:textId="32C27511" w:rsidR="00346D34" w:rsidRPr="003051F6" w:rsidRDefault="00346D34">
            <w:r>
              <w:t>Logical vector. UCDP defines armed conflict as “a contested incompatibility that concerns government and/or territory where the use of armed force between two parties, of which at least one is the government of a stat, results in at least 25 battle-relate deaths.</w:t>
            </w:r>
          </w:p>
        </w:tc>
        <w:tc>
          <w:tcPr>
            <w:tcW w:w="5714" w:type="dxa"/>
            <w:shd w:val="clear" w:color="auto" w:fill="auto"/>
          </w:tcPr>
          <w:p w14:paraId="1EE2D771" w14:textId="13B06762" w:rsidR="00346D34" w:rsidRDefault="00346D34">
            <w:r>
              <w:t xml:space="preserve">Uppsala Conflict Data Program (UCDP). Uppsala Univ. Dept. of Peace and Conflict Research </w:t>
            </w:r>
          </w:p>
          <w:p w14:paraId="7C8498B0" w14:textId="0C4F833A" w:rsidR="00346D34" w:rsidRDefault="0016018D">
            <w:hyperlink r:id="rId37" w:history="1">
              <w:r w:rsidR="00346D34" w:rsidRPr="00D91205">
                <w:rPr>
                  <w:rStyle w:val="Hyperlink"/>
                </w:rPr>
                <w:t>http://www.pcr.uu.se</w:t>
              </w:r>
            </w:hyperlink>
          </w:p>
          <w:p w14:paraId="62247B09" w14:textId="3AE3D006" w:rsidR="00346D34" w:rsidRPr="003051F6" w:rsidRDefault="00346D34">
            <w:r>
              <w:t>(Retrieved 1 July 2016)</w:t>
            </w:r>
          </w:p>
        </w:tc>
      </w:tr>
      <w:tr w:rsidR="00346D34" w:rsidRPr="003051F6" w14:paraId="3D15C6AF" w14:textId="2C90F8F7" w:rsidTr="008E3721">
        <w:trPr>
          <w:cantSplit/>
          <w:trHeight w:val="1232"/>
        </w:trPr>
        <w:tc>
          <w:tcPr>
            <w:tcW w:w="3081" w:type="dxa"/>
            <w:shd w:val="clear" w:color="auto" w:fill="auto"/>
          </w:tcPr>
          <w:p w14:paraId="4396D59E" w14:textId="6911E30B" w:rsidR="00346D34" w:rsidRPr="003051F6" w:rsidRDefault="00346D34">
            <w:proofErr w:type="spellStart"/>
            <w:r>
              <w:t>Non.State.Conflict</w:t>
            </w:r>
            <w:proofErr w:type="spellEnd"/>
          </w:p>
        </w:tc>
        <w:tc>
          <w:tcPr>
            <w:tcW w:w="5365" w:type="dxa"/>
            <w:shd w:val="clear" w:color="auto" w:fill="auto"/>
          </w:tcPr>
          <w:p w14:paraId="1B1226AF" w14:textId="77777777" w:rsidR="00346D34" w:rsidRPr="007B299B" w:rsidRDefault="00346D34" w:rsidP="007B299B">
            <w:pPr>
              <w:rPr>
                <w:rFonts w:eastAsia="Times New Roman"/>
              </w:rPr>
            </w:pPr>
            <w:r>
              <w:t xml:space="preserve">Logical vector. </w:t>
            </w:r>
            <w:r w:rsidRPr="007B299B">
              <w:rPr>
                <w:rFonts w:eastAsia="Times New Roman"/>
              </w:rPr>
              <w:t>A non-state conflict is defined by the Uppsala Conflict Data Program (UCDP) as “the use of armed force between two organized armed groups, neither of which is the government of a state, which results in at least 25 battle-related deaths in a year.”</w:t>
            </w:r>
          </w:p>
          <w:p w14:paraId="0C8DF5A7" w14:textId="1F434CCB" w:rsidR="00346D34" w:rsidRPr="003051F6" w:rsidRDefault="00346D34"/>
        </w:tc>
        <w:tc>
          <w:tcPr>
            <w:tcW w:w="5714" w:type="dxa"/>
            <w:shd w:val="clear" w:color="auto" w:fill="auto"/>
          </w:tcPr>
          <w:p w14:paraId="340E0F87" w14:textId="77777777" w:rsidR="00346D34" w:rsidRDefault="00346D34" w:rsidP="007B299B">
            <w:r>
              <w:t xml:space="preserve">Uppsala Conflict Data Program (UCDP). Uppsala Univ. Dept. of Peace and Conflict Research </w:t>
            </w:r>
          </w:p>
          <w:p w14:paraId="1A766FAF" w14:textId="77777777" w:rsidR="00346D34" w:rsidRDefault="0016018D" w:rsidP="007B299B">
            <w:hyperlink r:id="rId38" w:history="1">
              <w:r w:rsidR="00346D34" w:rsidRPr="00D91205">
                <w:rPr>
                  <w:rStyle w:val="Hyperlink"/>
                </w:rPr>
                <w:t>http://www.pcr.uu.se</w:t>
              </w:r>
            </w:hyperlink>
          </w:p>
          <w:p w14:paraId="50ABD666" w14:textId="4CA7448C" w:rsidR="00346D34" w:rsidRPr="003051F6" w:rsidRDefault="00346D34" w:rsidP="007B299B">
            <w:r>
              <w:t>(Retrieved 1 July 2016)</w:t>
            </w:r>
          </w:p>
        </w:tc>
      </w:tr>
      <w:tr w:rsidR="00346D34" w:rsidRPr="003051F6" w14:paraId="7398F8EE" w14:textId="77777777" w:rsidTr="008E3721">
        <w:trPr>
          <w:cantSplit/>
          <w:trHeight w:val="224"/>
        </w:trPr>
        <w:tc>
          <w:tcPr>
            <w:tcW w:w="3081" w:type="dxa"/>
            <w:shd w:val="clear" w:color="auto" w:fill="auto"/>
          </w:tcPr>
          <w:p w14:paraId="4D774E73" w14:textId="4E92C057" w:rsidR="00346D34" w:rsidRDefault="00346D34">
            <w:proofErr w:type="spellStart"/>
            <w:r>
              <w:t>Non.State.Conflict.Deaths</w:t>
            </w:r>
            <w:proofErr w:type="spellEnd"/>
          </w:p>
        </w:tc>
        <w:tc>
          <w:tcPr>
            <w:tcW w:w="5365" w:type="dxa"/>
            <w:shd w:val="clear" w:color="auto" w:fill="auto"/>
          </w:tcPr>
          <w:p w14:paraId="00503159" w14:textId="77777777" w:rsidR="00346D34" w:rsidRDefault="00346D34" w:rsidP="007B299B">
            <w:pPr>
              <w:rPr>
                <w:rFonts w:eastAsia="Times New Roman"/>
              </w:rPr>
            </w:pPr>
            <w:r>
              <w:t xml:space="preserve">The “best estimate” for battle-related deaths per year. </w:t>
            </w:r>
            <w:r>
              <w:rPr>
                <w:rFonts w:eastAsia="Times New Roman"/>
              </w:rPr>
              <w:t>The best estimate is constructed by aggregating the best estimates for each individual event. If reports provide conflicting estimates, an examination is made as to what source is most reliable. If no such distinction can be made, UCDP employs the lower figure given.</w:t>
            </w:r>
          </w:p>
          <w:p w14:paraId="75097B6C" w14:textId="27A03DBA" w:rsidR="00346D34" w:rsidRDefault="00346D34"/>
        </w:tc>
        <w:tc>
          <w:tcPr>
            <w:tcW w:w="5714" w:type="dxa"/>
            <w:shd w:val="clear" w:color="auto" w:fill="auto"/>
          </w:tcPr>
          <w:p w14:paraId="6EE9A970" w14:textId="77777777" w:rsidR="00346D34" w:rsidRDefault="00346D34" w:rsidP="007B299B">
            <w:r>
              <w:t xml:space="preserve">Uppsala Conflict Data Program (UCDP). Uppsala Univ. Dept. of Peace and Conflict Research </w:t>
            </w:r>
          </w:p>
          <w:p w14:paraId="151613BE" w14:textId="77777777" w:rsidR="00346D34" w:rsidRDefault="0016018D" w:rsidP="007B299B">
            <w:hyperlink r:id="rId39" w:history="1">
              <w:r w:rsidR="00346D34" w:rsidRPr="00D91205">
                <w:rPr>
                  <w:rStyle w:val="Hyperlink"/>
                </w:rPr>
                <w:t>http://www.pcr.uu.se</w:t>
              </w:r>
            </w:hyperlink>
          </w:p>
          <w:p w14:paraId="07D0E2C9" w14:textId="0B0022CA" w:rsidR="00346D34" w:rsidRDefault="00346D34" w:rsidP="007B299B">
            <w:r>
              <w:t>(Retrieved 1 July 2016)</w:t>
            </w:r>
          </w:p>
        </w:tc>
      </w:tr>
    </w:tbl>
    <w:p w14:paraId="0FBB8108" w14:textId="77777777" w:rsidR="003051F6" w:rsidRDefault="003051F6"/>
    <w:p w14:paraId="2E9781AC" w14:textId="77777777" w:rsidR="001D332E" w:rsidRDefault="001D332E"/>
    <w:p w14:paraId="29C14792" w14:textId="76E37CE2" w:rsidR="00B064F4" w:rsidRDefault="00B064F4"/>
    <w:sectPr w:rsidR="00B064F4" w:rsidSect="004F0A9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NeueW01-55Roma">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2E"/>
    <w:rsid w:val="001234D9"/>
    <w:rsid w:val="0016018D"/>
    <w:rsid w:val="00165F67"/>
    <w:rsid w:val="001D332E"/>
    <w:rsid w:val="001E32AB"/>
    <w:rsid w:val="00227A49"/>
    <w:rsid w:val="002F3029"/>
    <w:rsid w:val="003051F6"/>
    <w:rsid w:val="00346D34"/>
    <w:rsid w:val="003614D1"/>
    <w:rsid w:val="003810F4"/>
    <w:rsid w:val="003C003C"/>
    <w:rsid w:val="004D0136"/>
    <w:rsid w:val="004F0A93"/>
    <w:rsid w:val="00536D8A"/>
    <w:rsid w:val="0058718C"/>
    <w:rsid w:val="00593D22"/>
    <w:rsid w:val="00611259"/>
    <w:rsid w:val="00623B5C"/>
    <w:rsid w:val="00640777"/>
    <w:rsid w:val="0065680D"/>
    <w:rsid w:val="00677A92"/>
    <w:rsid w:val="006909A0"/>
    <w:rsid w:val="00723648"/>
    <w:rsid w:val="007724FE"/>
    <w:rsid w:val="007B299B"/>
    <w:rsid w:val="007E48EF"/>
    <w:rsid w:val="00820E09"/>
    <w:rsid w:val="00851E8A"/>
    <w:rsid w:val="008D4FEC"/>
    <w:rsid w:val="008D7DC2"/>
    <w:rsid w:val="008E3721"/>
    <w:rsid w:val="008E4BB2"/>
    <w:rsid w:val="008F1B4C"/>
    <w:rsid w:val="00951730"/>
    <w:rsid w:val="009C0C2E"/>
    <w:rsid w:val="00A51B3B"/>
    <w:rsid w:val="00A60FE6"/>
    <w:rsid w:val="00A97637"/>
    <w:rsid w:val="00AF57BC"/>
    <w:rsid w:val="00B064F4"/>
    <w:rsid w:val="00B100A2"/>
    <w:rsid w:val="00B314D1"/>
    <w:rsid w:val="00B76C2D"/>
    <w:rsid w:val="00B97BF9"/>
    <w:rsid w:val="00BA1974"/>
    <w:rsid w:val="00BD50AA"/>
    <w:rsid w:val="00BE37CB"/>
    <w:rsid w:val="00C10577"/>
    <w:rsid w:val="00D900CF"/>
    <w:rsid w:val="00D92C3B"/>
    <w:rsid w:val="00E13061"/>
    <w:rsid w:val="00E62B35"/>
    <w:rsid w:val="00E963DC"/>
    <w:rsid w:val="00EB58F1"/>
    <w:rsid w:val="00F4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45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27A4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51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5F67"/>
    <w:rPr>
      <w:color w:val="0563C1" w:themeColor="hyperlink"/>
      <w:u w:val="single"/>
    </w:rPr>
  </w:style>
  <w:style w:type="paragraph" w:customStyle="1" w:styleId="Default">
    <w:name w:val="Default"/>
    <w:rsid w:val="009C0C2E"/>
    <w:pPr>
      <w:widowControl w:val="0"/>
      <w:autoSpaceDE w:val="0"/>
      <w:autoSpaceDN w:val="0"/>
      <w:adjustRightInd w:val="0"/>
    </w:pPr>
    <w:rPr>
      <w:rFonts w:ascii="Arial" w:hAnsi="Arial" w:cs="Arial"/>
      <w:color w:val="000000"/>
    </w:rPr>
  </w:style>
  <w:style w:type="character" w:styleId="FollowedHyperlink">
    <w:name w:val="FollowedHyperlink"/>
    <w:basedOn w:val="DefaultParagraphFont"/>
    <w:uiPriority w:val="99"/>
    <w:semiHidden/>
    <w:unhideWhenUsed/>
    <w:rsid w:val="007236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56914">
      <w:bodyDiv w:val="1"/>
      <w:marLeft w:val="0"/>
      <w:marRight w:val="0"/>
      <w:marTop w:val="0"/>
      <w:marBottom w:val="0"/>
      <w:divBdr>
        <w:top w:val="none" w:sz="0" w:space="0" w:color="auto"/>
        <w:left w:val="none" w:sz="0" w:space="0" w:color="auto"/>
        <w:bottom w:val="none" w:sz="0" w:space="0" w:color="auto"/>
        <w:right w:val="none" w:sz="0" w:space="0" w:color="auto"/>
      </w:divBdr>
    </w:div>
    <w:div w:id="235751987">
      <w:bodyDiv w:val="1"/>
      <w:marLeft w:val="0"/>
      <w:marRight w:val="0"/>
      <w:marTop w:val="0"/>
      <w:marBottom w:val="0"/>
      <w:divBdr>
        <w:top w:val="none" w:sz="0" w:space="0" w:color="auto"/>
        <w:left w:val="none" w:sz="0" w:space="0" w:color="auto"/>
        <w:bottom w:val="none" w:sz="0" w:space="0" w:color="auto"/>
        <w:right w:val="none" w:sz="0" w:space="0" w:color="auto"/>
      </w:divBdr>
    </w:div>
    <w:div w:id="252082546">
      <w:bodyDiv w:val="1"/>
      <w:marLeft w:val="0"/>
      <w:marRight w:val="0"/>
      <w:marTop w:val="0"/>
      <w:marBottom w:val="0"/>
      <w:divBdr>
        <w:top w:val="none" w:sz="0" w:space="0" w:color="auto"/>
        <w:left w:val="none" w:sz="0" w:space="0" w:color="auto"/>
        <w:bottom w:val="none" w:sz="0" w:space="0" w:color="auto"/>
        <w:right w:val="none" w:sz="0" w:space="0" w:color="auto"/>
      </w:divBdr>
    </w:div>
    <w:div w:id="304431241">
      <w:bodyDiv w:val="1"/>
      <w:marLeft w:val="0"/>
      <w:marRight w:val="0"/>
      <w:marTop w:val="0"/>
      <w:marBottom w:val="0"/>
      <w:divBdr>
        <w:top w:val="none" w:sz="0" w:space="0" w:color="auto"/>
        <w:left w:val="none" w:sz="0" w:space="0" w:color="auto"/>
        <w:bottom w:val="none" w:sz="0" w:space="0" w:color="auto"/>
        <w:right w:val="none" w:sz="0" w:space="0" w:color="auto"/>
      </w:divBdr>
    </w:div>
    <w:div w:id="372970050">
      <w:bodyDiv w:val="1"/>
      <w:marLeft w:val="0"/>
      <w:marRight w:val="0"/>
      <w:marTop w:val="0"/>
      <w:marBottom w:val="0"/>
      <w:divBdr>
        <w:top w:val="none" w:sz="0" w:space="0" w:color="auto"/>
        <w:left w:val="none" w:sz="0" w:space="0" w:color="auto"/>
        <w:bottom w:val="none" w:sz="0" w:space="0" w:color="auto"/>
        <w:right w:val="none" w:sz="0" w:space="0" w:color="auto"/>
      </w:divBdr>
    </w:div>
    <w:div w:id="423647819">
      <w:bodyDiv w:val="1"/>
      <w:marLeft w:val="0"/>
      <w:marRight w:val="0"/>
      <w:marTop w:val="0"/>
      <w:marBottom w:val="0"/>
      <w:divBdr>
        <w:top w:val="none" w:sz="0" w:space="0" w:color="auto"/>
        <w:left w:val="none" w:sz="0" w:space="0" w:color="auto"/>
        <w:bottom w:val="none" w:sz="0" w:space="0" w:color="auto"/>
        <w:right w:val="none" w:sz="0" w:space="0" w:color="auto"/>
      </w:divBdr>
    </w:div>
    <w:div w:id="459803966">
      <w:bodyDiv w:val="1"/>
      <w:marLeft w:val="0"/>
      <w:marRight w:val="0"/>
      <w:marTop w:val="0"/>
      <w:marBottom w:val="0"/>
      <w:divBdr>
        <w:top w:val="none" w:sz="0" w:space="0" w:color="auto"/>
        <w:left w:val="none" w:sz="0" w:space="0" w:color="auto"/>
        <w:bottom w:val="none" w:sz="0" w:space="0" w:color="auto"/>
        <w:right w:val="none" w:sz="0" w:space="0" w:color="auto"/>
      </w:divBdr>
    </w:div>
    <w:div w:id="470632425">
      <w:bodyDiv w:val="1"/>
      <w:marLeft w:val="0"/>
      <w:marRight w:val="0"/>
      <w:marTop w:val="0"/>
      <w:marBottom w:val="0"/>
      <w:divBdr>
        <w:top w:val="none" w:sz="0" w:space="0" w:color="auto"/>
        <w:left w:val="none" w:sz="0" w:space="0" w:color="auto"/>
        <w:bottom w:val="none" w:sz="0" w:space="0" w:color="auto"/>
        <w:right w:val="none" w:sz="0" w:space="0" w:color="auto"/>
      </w:divBdr>
    </w:div>
    <w:div w:id="473720665">
      <w:bodyDiv w:val="1"/>
      <w:marLeft w:val="0"/>
      <w:marRight w:val="0"/>
      <w:marTop w:val="0"/>
      <w:marBottom w:val="0"/>
      <w:divBdr>
        <w:top w:val="none" w:sz="0" w:space="0" w:color="auto"/>
        <w:left w:val="none" w:sz="0" w:space="0" w:color="auto"/>
        <w:bottom w:val="none" w:sz="0" w:space="0" w:color="auto"/>
        <w:right w:val="none" w:sz="0" w:space="0" w:color="auto"/>
      </w:divBdr>
    </w:div>
    <w:div w:id="595359564">
      <w:bodyDiv w:val="1"/>
      <w:marLeft w:val="0"/>
      <w:marRight w:val="0"/>
      <w:marTop w:val="0"/>
      <w:marBottom w:val="0"/>
      <w:divBdr>
        <w:top w:val="none" w:sz="0" w:space="0" w:color="auto"/>
        <w:left w:val="none" w:sz="0" w:space="0" w:color="auto"/>
        <w:bottom w:val="none" w:sz="0" w:space="0" w:color="auto"/>
        <w:right w:val="none" w:sz="0" w:space="0" w:color="auto"/>
      </w:divBdr>
    </w:div>
    <w:div w:id="654068483">
      <w:bodyDiv w:val="1"/>
      <w:marLeft w:val="0"/>
      <w:marRight w:val="0"/>
      <w:marTop w:val="0"/>
      <w:marBottom w:val="0"/>
      <w:divBdr>
        <w:top w:val="none" w:sz="0" w:space="0" w:color="auto"/>
        <w:left w:val="none" w:sz="0" w:space="0" w:color="auto"/>
        <w:bottom w:val="none" w:sz="0" w:space="0" w:color="auto"/>
        <w:right w:val="none" w:sz="0" w:space="0" w:color="auto"/>
      </w:divBdr>
    </w:div>
    <w:div w:id="732893463">
      <w:bodyDiv w:val="1"/>
      <w:marLeft w:val="0"/>
      <w:marRight w:val="0"/>
      <w:marTop w:val="0"/>
      <w:marBottom w:val="0"/>
      <w:divBdr>
        <w:top w:val="none" w:sz="0" w:space="0" w:color="auto"/>
        <w:left w:val="none" w:sz="0" w:space="0" w:color="auto"/>
        <w:bottom w:val="none" w:sz="0" w:space="0" w:color="auto"/>
        <w:right w:val="none" w:sz="0" w:space="0" w:color="auto"/>
      </w:divBdr>
    </w:div>
    <w:div w:id="796026144">
      <w:bodyDiv w:val="1"/>
      <w:marLeft w:val="0"/>
      <w:marRight w:val="0"/>
      <w:marTop w:val="0"/>
      <w:marBottom w:val="0"/>
      <w:divBdr>
        <w:top w:val="none" w:sz="0" w:space="0" w:color="auto"/>
        <w:left w:val="none" w:sz="0" w:space="0" w:color="auto"/>
        <w:bottom w:val="none" w:sz="0" w:space="0" w:color="auto"/>
        <w:right w:val="none" w:sz="0" w:space="0" w:color="auto"/>
      </w:divBdr>
    </w:div>
    <w:div w:id="1085881063">
      <w:bodyDiv w:val="1"/>
      <w:marLeft w:val="0"/>
      <w:marRight w:val="0"/>
      <w:marTop w:val="0"/>
      <w:marBottom w:val="0"/>
      <w:divBdr>
        <w:top w:val="none" w:sz="0" w:space="0" w:color="auto"/>
        <w:left w:val="none" w:sz="0" w:space="0" w:color="auto"/>
        <w:bottom w:val="none" w:sz="0" w:space="0" w:color="auto"/>
        <w:right w:val="none" w:sz="0" w:space="0" w:color="auto"/>
      </w:divBdr>
    </w:div>
    <w:div w:id="1207596899">
      <w:bodyDiv w:val="1"/>
      <w:marLeft w:val="0"/>
      <w:marRight w:val="0"/>
      <w:marTop w:val="0"/>
      <w:marBottom w:val="0"/>
      <w:divBdr>
        <w:top w:val="none" w:sz="0" w:space="0" w:color="auto"/>
        <w:left w:val="none" w:sz="0" w:space="0" w:color="auto"/>
        <w:bottom w:val="none" w:sz="0" w:space="0" w:color="auto"/>
        <w:right w:val="none" w:sz="0" w:space="0" w:color="auto"/>
      </w:divBdr>
    </w:div>
    <w:div w:id="1328943640">
      <w:bodyDiv w:val="1"/>
      <w:marLeft w:val="0"/>
      <w:marRight w:val="0"/>
      <w:marTop w:val="0"/>
      <w:marBottom w:val="0"/>
      <w:divBdr>
        <w:top w:val="none" w:sz="0" w:space="0" w:color="auto"/>
        <w:left w:val="none" w:sz="0" w:space="0" w:color="auto"/>
        <w:bottom w:val="none" w:sz="0" w:space="0" w:color="auto"/>
        <w:right w:val="none" w:sz="0" w:space="0" w:color="auto"/>
      </w:divBdr>
    </w:div>
    <w:div w:id="1712875492">
      <w:bodyDiv w:val="1"/>
      <w:marLeft w:val="0"/>
      <w:marRight w:val="0"/>
      <w:marTop w:val="0"/>
      <w:marBottom w:val="0"/>
      <w:divBdr>
        <w:top w:val="none" w:sz="0" w:space="0" w:color="auto"/>
        <w:left w:val="none" w:sz="0" w:space="0" w:color="auto"/>
        <w:bottom w:val="none" w:sz="0" w:space="0" w:color="auto"/>
        <w:right w:val="none" w:sz="0" w:space="0" w:color="auto"/>
      </w:divBdr>
    </w:div>
    <w:div w:id="1833596295">
      <w:bodyDiv w:val="1"/>
      <w:marLeft w:val="0"/>
      <w:marRight w:val="0"/>
      <w:marTop w:val="0"/>
      <w:marBottom w:val="0"/>
      <w:divBdr>
        <w:top w:val="none" w:sz="0" w:space="0" w:color="auto"/>
        <w:left w:val="none" w:sz="0" w:space="0" w:color="auto"/>
        <w:bottom w:val="none" w:sz="0" w:space="0" w:color="auto"/>
        <w:right w:val="none" w:sz="0" w:space="0" w:color="auto"/>
      </w:divBdr>
    </w:div>
    <w:div w:id="1917473450">
      <w:bodyDiv w:val="1"/>
      <w:marLeft w:val="0"/>
      <w:marRight w:val="0"/>
      <w:marTop w:val="0"/>
      <w:marBottom w:val="0"/>
      <w:divBdr>
        <w:top w:val="none" w:sz="0" w:space="0" w:color="auto"/>
        <w:left w:val="none" w:sz="0" w:space="0" w:color="auto"/>
        <w:bottom w:val="none" w:sz="0" w:space="0" w:color="auto"/>
        <w:right w:val="none" w:sz="0" w:space="0" w:color="auto"/>
      </w:divBdr>
    </w:div>
    <w:div w:id="2133398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data.uis.unesco.org/Index.aspx" TargetMode="External"/><Relationship Id="rId21" Type="http://schemas.openxmlformats.org/officeDocument/2006/relationships/hyperlink" Target="http://data.uis.unesco.org/Index.aspx" TargetMode="External"/><Relationship Id="rId22" Type="http://schemas.openxmlformats.org/officeDocument/2006/relationships/hyperlink" Target="http://data.uis.unesco.org/Index.aspx" TargetMode="External"/><Relationship Id="rId23" Type="http://schemas.openxmlformats.org/officeDocument/2006/relationships/hyperlink" Target="http://hdr.undp.org/en" TargetMode="External"/><Relationship Id="rId24" Type="http://schemas.openxmlformats.org/officeDocument/2006/relationships/hyperlink" Target="http://data.uis.unesco.org/Index.aspx" TargetMode="External"/><Relationship Id="rId25" Type="http://schemas.openxmlformats.org/officeDocument/2006/relationships/hyperlink" Target="http://hdr.undp.org/en" TargetMode="External"/><Relationship Id="rId26" Type="http://schemas.openxmlformats.org/officeDocument/2006/relationships/hyperlink" Target="http://hdr.undp.org/en" TargetMode="External"/><Relationship Id="rId27" Type="http://schemas.openxmlformats.org/officeDocument/2006/relationships/hyperlink" Target="http://hdr.undp.org/en" TargetMode="External"/><Relationship Id="rId28" Type="http://schemas.openxmlformats.org/officeDocument/2006/relationships/hyperlink" Target="http://hdr.undp.org/en" TargetMode="External"/><Relationship Id="rId29" Type="http://schemas.openxmlformats.org/officeDocument/2006/relationships/hyperlink" Target="http://hdr.undp.org/en"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ta.okfn.org/data" TargetMode="External"/><Relationship Id="rId30" Type="http://schemas.openxmlformats.org/officeDocument/2006/relationships/hyperlink" Target="http://data.uis.unesco.org/Index.aspx" TargetMode="External"/><Relationship Id="rId31" Type="http://schemas.openxmlformats.org/officeDocument/2006/relationships/hyperlink" Target="http://info.worldbank.org/governance/wgi/index.aspx" TargetMode="External"/><Relationship Id="rId32" Type="http://schemas.openxmlformats.org/officeDocument/2006/relationships/hyperlink" Target="http://info.worldbank.org/governance/wgi/index.aspx" TargetMode="External"/><Relationship Id="rId9" Type="http://schemas.openxmlformats.org/officeDocument/2006/relationships/hyperlink" Target="http://data.okfn.org/data" TargetMode="External"/><Relationship Id="rId6" Type="http://schemas.openxmlformats.org/officeDocument/2006/relationships/hyperlink" Target="http://data.okfn.org/data" TargetMode="External"/><Relationship Id="rId7" Type="http://schemas.openxmlformats.org/officeDocument/2006/relationships/hyperlink" Target="http://data.okfn.org/data" TargetMode="External"/><Relationship Id="rId8" Type="http://schemas.openxmlformats.org/officeDocument/2006/relationships/hyperlink" Target="http://data.okfn.org/data" TargetMode="External"/><Relationship Id="rId33" Type="http://schemas.openxmlformats.org/officeDocument/2006/relationships/hyperlink" Target="http://info.worldbank.org/governance/wgi/index.aspx" TargetMode="External"/><Relationship Id="rId34" Type="http://schemas.openxmlformats.org/officeDocument/2006/relationships/hyperlink" Target="http://info.worldbank.org/governance/wgi/index.aspx" TargetMode="External"/><Relationship Id="rId35" Type="http://schemas.openxmlformats.org/officeDocument/2006/relationships/hyperlink" Target="http://info.worldbank.org/governance/wgi/index.aspx" TargetMode="External"/><Relationship Id="rId36" Type="http://schemas.openxmlformats.org/officeDocument/2006/relationships/hyperlink" Target="http://info.worldbank.org/governance/wgi/index.aspx" TargetMode="External"/><Relationship Id="rId10" Type="http://schemas.openxmlformats.org/officeDocument/2006/relationships/hyperlink" Target="http://data.okfn.org/data" TargetMode="External"/><Relationship Id="rId11" Type="http://schemas.openxmlformats.org/officeDocument/2006/relationships/hyperlink" Target="http://data.okfn.org/data" TargetMode="External"/><Relationship Id="rId12" Type="http://schemas.openxmlformats.org/officeDocument/2006/relationships/hyperlink" Target="http://data.okfn.org/data" TargetMode="External"/><Relationship Id="rId13" Type="http://schemas.openxmlformats.org/officeDocument/2006/relationships/hyperlink" Target="http://data.okfn.org/data" TargetMode="External"/><Relationship Id="rId14" Type="http://schemas.openxmlformats.org/officeDocument/2006/relationships/hyperlink" Target="http://data.okfn.org/data" TargetMode="External"/><Relationship Id="rId15" Type="http://schemas.openxmlformats.org/officeDocument/2006/relationships/hyperlink" Target="http://data.okfn.org/data" TargetMode="External"/><Relationship Id="rId16" Type="http://schemas.openxmlformats.org/officeDocument/2006/relationships/hyperlink" Target="http://data.okfn.org/data" TargetMode="External"/><Relationship Id="rId17" Type="http://schemas.openxmlformats.org/officeDocument/2006/relationships/hyperlink" Target="http://hdr.undp.org/en" TargetMode="External"/><Relationship Id="rId18" Type="http://schemas.openxmlformats.org/officeDocument/2006/relationships/hyperlink" Target="http://hdr.undp.org/en" TargetMode="External"/><Relationship Id="rId19" Type="http://schemas.openxmlformats.org/officeDocument/2006/relationships/hyperlink" Target="http://data.uis.unesco.org/Index.aspx" TargetMode="External"/><Relationship Id="rId37" Type="http://schemas.openxmlformats.org/officeDocument/2006/relationships/hyperlink" Target="http://www.pcr.uu.se" TargetMode="External"/><Relationship Id="rId38" Type="http://schemas.openxmlformats.org/officeDocument/2006/relationships/hyperlink" Target="http://www.pcr.uu.se" TargetMode="External"/><Relationship Id="rId39" Type="http://schemas.openxmlformats.org/officeDocument/2006/relationships/hyperlink" Target="http://www.pcr.uu.se"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9EB541-289E-9449-AD9D-1026EB58C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2551</Words>
  <Characters>14546</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Lathrop</dc:creator>
  <cp:keywords/>
  <dc:description/>
  <cp:lastModifiedBy>Lesley Lathrop</cp:lastModifiedBy>
  <cp:revision>10</cp:revision>
  <cp:lastPrinted>2016-07-08T10:24:00Z</cp:lastPrinted>
  <dcterms:created xsi:type="dcterms:W3CDTF">2016-07-05T19:02:00Z</dcterms:created>
  <dcterms:modified xsi:type="dcterms:W3CDTF">2016-07-21T22:52:00Z</dcterms:modified>
</cp:coreProperties>
</file>