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drawing>
          <wp:inline xmlns:a="http://schemas.openxmlformats.org/drawingml/2006/main" xmlns:pic="http://schemas.openxmlformats.org/drawingml/2006/picture">
            <wp:extent cx="2377440" cy="1275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st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75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Arial" w:hAnsi="Arial"/>
          <w:b/>
          <w:color w:val="1F3864"/>
          <w:sz w:val="30"/>
        </w:rPr>
        <w:t>UNIVERSIDAD DE LAS FUERZAS ARMADAS – ESPE</w:t>
      </w:r>
    </w:p>
    <w:p>
      <w:pPr>
        <w:spacing w:before="320"/>
        <w:jc w:val="center"/>
      </w:pPr>
      <w:r>
        <w:rPr>
          <w:rFonts w:ascii="Arial" w:hAnsi="Arial"/>
          <w:b w:val="0"/>
          <w:color w:val="5B6B86"/>
          <w:sz w:val="24"/>
        </w:rPr>
        <w:t>ARQUITECTURA DE SOFTWARE  |  NRC 36883</w:t>
      </w:r>
    </w:p>
    <w:p>
      <w:pPr>
        <w:spacing w:before="320"/>
        <w:jc w:val="center"/>
      </w:pPr>
      <w:r>
        <w:rPr>
          <w:rFonts w:ascii="Arial" w:hAnsi="Arial"/>
          <w:b/>
          <w:color w:val="1F3864"/>
          <w:sz w:val="46"/>
        </w:rPr>
        <w:t>Especificación de requisitos (ERS)</w:t>
      </w:r>
    </w:p>
    <w:p>
      <w:pPr>
        <w:spacing w:before="320"/>
        <w:jc w:val="center"/>
      </w:pPr>
      <w:r>
        <w:rPr>
          <w:rFonts w:ascii="Arial" w:hAnsi="Arial"/>
          <w:b/>
          <w:color w:val="2D5090"/>
          <w:sz w:val="24"/>
        </w:rPr>
        <w:t>TI.1.3 · SERVICIOS RESTful CON JAVA · SIN BASE DE DATOS</w:t>
      </w:r>
    </w:p>
    <w:p>
      <w:pPr>
        <w:spacing w:before="320"/>
        <w:jc w:val="center"/>
      </w:pPr>
      <w:r>
        <w:rPr>
          <w:rFonts w:ascii="Arial" w:hAnsi="Arial"/>
          <w:b w:val="0"/>
          <w:color w:val="1F3864"/>
          <w:sz w:val="24"/>
        </w:rPr>
        <w:t>Integrantes</w:t>
        <w:br/>
        <w:t>Miranda Alison</w:t>
        <w:br/>
        <w:t>Morán Lenin</w:t>
        <w:br/>
        <w:t>Vivanco Gabriel</w:t>
      </w:r>
    </w:p>
    <w:p>
      <w:pPr>
        <w:spacing w:before="320"/>
        <w:jc w:val="center"/>
      </w:pPr>
      <w:r>
        <w:rPr>
          <w:rFonts w:ascii="Arial" w:hAnsi="Arial"/>
          <w:b w:val="0"/>
          <w:color w:val="1F3864"/>
          <w:sz w:val="22"/>
        </w:rPr>
        <w:t>Tutor</w:t>
        <w:br/>
        <w:t>Ing. Eduardo Mauricio Campaña Ortega</w:t>
      </w:r>
    </w:p>
    <w:p>
      <w:pPr>
        <w:spacing w:before="320"/>
        <w:jc w:val="center"/>
      </w:pPr>
      <w:r>
        <w:rPr>
          <w:rFonts w:ascii="Arial" w:hAnsi="Arial"/>
          <w:b w:val="0"/>
          <w:color w:val="5B6B86"/>
          <w:sz w:val="20"/>
        </w:rPr>
        <w:t>ERS · Grupo 7 · 2026</w:t>
      </w:r>
    </w:p>
    <w:p>
      <w:r>
        <w:br w:type="page"/>
      </w:r>
    </w:p>
    <w:p>
      <w:pPr>
        <w:pStyle w:val="Heading1"/>
      </w:pPr>
      <w:r>
        <w:t>ÍNDICE DE CONTENIDOS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Actualizar en Word: Ctrl+A y F9</w:t>
      </w:r>
      <w:r>
        <w:fldChar w:fldCharType="end"/>
      </w:r>
    </w:p>
    <w:p>
      <w:r>
        <w:br w:type="page"/>
      </w:r>
    </w:p>
    <w:p>
      <w:pPr>
        <w:pStyle w:val="Heading1"/>
      </w:pPr>
      <w:r>
        <w:t>ÍNDICE DE ILUSTRACIONES</w:t>
      </w:r>
    </w:p>
    <w:p>
      <w:r>
        <w:fldChar w:fldCharType="begin"/>
      </w:r>
      <w:r>
        <w:instrText xml:space="preserve"> TOC \h \z \c "Ilustración" </w:instrText>
      </w:r>
      <w:r>
        <w:fldChar w:fldCharType="separate"/>
      </w:r>
      <w:r>
        <w:t>Actualizar en Word: Ctrl+A y F9</w:t>
      </w:r>
      <w:r>
        <w:fldChar w:fldCharType="end"/>
      </w:r>
    </w:p>
    <w:p>
      <w:r>
        <w:br w:type="page"/>
      </w:r>
    </w:p>
    <w:p>
      <w:pPr>
        <w:pStyle w:val="Heading1"/>
      </w:pPr>
      <w:r>
        <w:t>ÍNDICE DE TABLAS</w:t>
      </w:r>
    </w:p>
    <w:p>
      <w:r>
        <w:fldChar w:fldCharType="begin"/>
      </w:r>
      <w:r>
        <w:instrText xml:space="preserve"> TOC \h \z \c "Tabla" </w:instrText>
      </w:r>
      <w:r>
        <w:fldChar w:fldCharType="separate"/>
      </w:r>
      <w:r>
        <w:t>Actualizar en Word: Ctrl+A y F9</w:t>
      </w:r>
      <w:r>
        <w:fldChar w:fldCharType="end"/>
      </w:r>
    </w:p>
    <w:p>
      <w:r>
        <w:br w:type="page"/>
      </w:r>
    </w:p>
    <w:p>
      <w:pPr>
        <w:pStyle w:val="Heading1"/>
      </w:pPr>
      <w:r>
        <w:t>Propósito y alcance</w:t>
      </w:r>
    </w:p>
    <w:p>
      <w:r>
        <w:t>TI.1.3 define la conversión de longitud, masa y temperatura mediante API REST Java sin base de datos. Incluye servidor Payara y clientes consola, escritorio, web y móvil; no incluye historial persistente.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>.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Usuario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Autentica, consulta catálogo y convierte unidades.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Clientes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Consola, Swing, web y Android consumen HTTP/JSON.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Despliega WAR y configura dirección/red.</w:t>
            </w:r>
          </w:p>
        </w:tc>
      </w:tr>
    </w:tbl>
    <w:p/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>. 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Aceptación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RF-01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Autenticar y emitir token.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Login válido 200; incorrecto 401.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RF-02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Consultar categorías.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Lista Longitud, Masa, Temperatura.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RF-03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Consultar unidades.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Lista válida de categoría.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RF-04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Convertir unidades compatibles.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200 OK-200 y resultado.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RF-05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Validar token.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Solicitud protegida sin token válido retorna 401.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RF-06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Validar JSON y unidades.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400 DATA-001 y 422 UNIT-001.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RF-07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Permitir configurar servidor.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URL elegida por cliente, sin IP codificada.</w:t>
            </w:r>
          </w:p>
        </w:tc>
      </w:tr>
    </w:tbl>
    <w:p/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>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RNF-01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Java 21, Jakarta REST, Maven, empaquetado WAR.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RNF-02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Despliegue en Payara 6.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RNF-03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JSON; Bearer token en operaciones protegidas.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RNF-04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Sin BDD; catálogo, credenciales y sesiones en memoria.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RNF-05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Errores estructurados y estados HTTP coherentes.</w:t>
            </w:r>
          </w:p>
        </w:tc>
      </w:tr>
    </w:tbl>
    <w:p/>
    <w:p>
      <w:pPr>
        <w:pStyle w:val="Heading1"/>
      </w:pPr>
      <w:r>
        <w:t>Reglas de negocio e interfaces</w:t>
      </w:r>
    </w:p>
    <w:p>
      <w:r>
        <w:t>Unidades: Longitud (centimetros, metros, pies, yardas, millas); Masa (gramos, kilogramos, onzas, libras, quintales); Temperatura (celsius, fahrenheit, kelvin, newton, reaumur). Nombres normalizados sin distinguir mayúsculas ni tildes. Token predeterminado de 30 minutos.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>. Recursos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URI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Acceso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/api/auth/login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Público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/api/catalogo/categorias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/api/catalogo/{categoria}/unidades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/api/conversiones/{categoria}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Bearer + JSON</w:t>
            </w:r>
          </w:p>
        </w:tc>
      </w:tr>
    </w:tbl>
    <w:p/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>. Estados de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Códigos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OK-200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Éxito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DATA-001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JSON o datos inválidos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AUTH-001/002/003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Problema autenticación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UNIT-001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Unidad no admitida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SRV-500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Error interno</w:t>
            </w:r>
          </w:p>
        </w:tc>
      </w:tr>
    </w:tbl>
    <w:p/>
    <w:p>
      <w:r>
        <w:t>El servidor debe estar en línea y ser accesible por HTTP. Para emulador Android se usa 10.0.2.2; en otros dispositivos la URL se configura en el cliente. Reiniciar servidor elimina tokens activos.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  <w:pgBorders w:offsetFrom="page">
        <w:top w:val="single" w:sz="12" w:space="16" w:color="1F3864"/>
        <w:left w:val="single" w:sz="12" w:space="16" w:color="1F3864"/>
        <w:bottom w:val="single" w:sz="12" w:space="16" w:color="1F3864"/>
        <w:right w:val="single" w:sz="12" w:space="16" w:color="1F386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Especificación de requisitos (ERS)  •  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F3864"/>
        <w:sz w:val="16"/>
      </w:rPr>
      <w:t>TI.1.3  |  RESTful Java sin BDD  |  GR07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1F386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fuente">
    <w:name w:val="Código fuente"/>
    <w:pPr>
      <w:spacing w:after="0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