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drawing>
          <wp:inline xmlns:a="http://schemas.openxmlformats.org/drawingml/2006/main" xmlns:pic="http://schemas.openxmlformats.org/drawingml/2006/picture">
            <wp:extent cx="2377440" cy="1275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st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275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rFonts w:ascii="Arial" w:hAnsi="Arial"/>
          <w:b/>
          <w:color w:val="1F3864"/>
          <w:sz w:val="30"/>
        </w:rPr>
        <w:t>UNIVERSIDAD DE LAS FUERZAS ARMADAS – ESPE</w:t>
      </w:r>
    </w:p>
    <w:p>
      <w:pPr>
        <w:spacing w:before="320"/>
        <w:jc w:val="center"/>
      </w:pPr>
      <w:r>
        <w:rPr>
          <w:rFonts w:ascii="Arial" w:hAnsi="Arial"/>
          <w:b w:val="0"/>
          <w:color w:val="5B6B86"/>
          <w:sz w:val="24"/>
        </w:rPr>
        <w:t>ARQUITECTURA DE SOFTWARE  |  NRC 36883</w:t>
      </w:r>
    </w:p>
    <w:p>
      <w:pPr>
        <w:spacing w:before="320"/>
        <w:jc w:val="center"/>
      </w:pPr>
      <w:r>
        <w:rPr>
          <w:rFonts w:ascii="Arial" w:hAnsi="Arial"/>
          <w:b/>
          <w:color w:val="1F3864"/>
          <w:sz w:val="46"/>
        </w:rPr>
        <w:t>Especificación de casos de uso (ECUD)</w:t>
      </w:r>
    </w:p>
    <w:p>
      <w:pPr>
        <w:spacing w:before="320"/>
        <w:jc w:val="center"/>
      </w:pPr>
      <w:r>
        <w:rPr>
          <w:rFonts w:ascii="Arial" w:hAnsi="Arial"/>
          <w:b/>
          <w:color w:val="2D5090"/>
          <w:sz w:val="24"/>
        </w:rPr>
        <w:t>TI.1.3 · SERVICIOS RESTful CON JAVA · SIN BASE DE DATOS</w:t>
      </w:r>
    </w:p>
    <w:p>
      <w:pPr>
        <w:spacing w:before="320"/>
        <w:jc w:val="center"/>
      </w:pPr>
      <w:r>
        <w:rPr>
          <w:rFonts w:ascii="Arial" w:hAnsi="Arial"/>
          <w:b w:val="0"/>
          <w:color w:val="1F3864"/>
          <w:sz w:val="24"/>
        </w:rPr>
        <w:t>Integrantes</w:t>
        <w:br/>
        <w:t>Miranda Alison</w:t>
        <w:br/>
        <w:t>Morán Lenin</w:t>
        <w:br/>
        <w:t>Vivanco Gabriel</w:t>
      </w:r>
    </w:p>
    <w:p>
      <w:pPr>
        <w:spacing w:before="320"/>
        <w:jc w:val="center"/>
      </w:pPr>
      <w:r>
        <w:rPr>
          <w:rFonts w:ascii="Arial" w:hAnsi="Arial"/>
          <w:b w:val="0"/>
          <w:color w:val="1F3864"/>
          <w:sz w:val="22"/>
        </w:rPr>
        <w:t>Tutor</w:t>
        <w:br/>
        <w:t>Ing. Eduardo Mauricio Campaña Ortega</w:t>
      </w:r>
    </w:p>
    <w:p>
      <w:pPr>
        <w:spacing w:before="320"/>
        <w:jc w:val="center"/>
      </w:pPr>
      <w:r>
        <w:rPr>
          <w:rFonts w:ascii="Arial" w:hAnsi="Arial"/>
          <w:b w:val="0"/>
          <w:color w:val="5B6B86"/>
          <w:sz w:val="20"/>
        </w:rPr>
        <w:t>ECUD · Grupo 7 · 2026</w:t>
      </w:r>
    </w:p>
    <w:p>
      <w:r>
        <w:br w:type="page"/>
      </w:r>
    </w:p>
    <w:p>
      <w:pPr>
        <w:pStyle w:val="Heading1"/>
      </w:pPr>
      <w:r>
        <w:t>ÍNDICE DE CONTENIDOS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Actualizar en Word: Ctrl+A y F9</w:t>
      </w:r>
      <w:r>
        <w:fldChar w:fldCharType="end"/>
      </w:r>
    </w:p>
    <w:p>
      <w:r>
        <w:br w:type="page"/>
      </w:r>
    </w:p>
    <w:p>
      <w:pPr>
        <w:pStyle w:val="Heading1"/>
      </w:pPr>
      <w:r>
        <w:t>ÍNDICE DE ILUSTRACIONES</w:t>
      </w:r>
    </w:p>
    <w:p>
      <w:r>
        <w:fldChar w:fldCharType="begin"/>
      </w:r>
      <w:r>
        <w:instrText xml:space="preserve"> TOC \h \z \c "Ilustración" </w:instrText>
      </w:r>
      <w:r>
        <w:fldChar w:fldCharType="separate"/>
      </w:r>
      <w:r>
        <w:t>Actualizar en Word: Ctrl+A y F9</w:t>
      </w:r>
      <w:r>
        <w:fldChar w:fldCharType="end"/>
      </w:r>
    </w:p>
    <w:p>
      <w:r>
        <w:br w:type="page"/>
      </w:r>
    </w:p>
    <w:p>
      <w:pPr>
        <w:pStyle w:val="Heading1"/>
      </w:pPr>
      <w:r>
        <w:t>ÍNDICE DE TABLAS</w:t>
      </w:r>
    </w:p>
    <w:p>
      <w:r>
        <w:fldChar w:fldCharType="begin"/>
      </w:r>
      <w:r>
        <w:instrText xml:space="preserve"> TOC \h \z \c "Tabla" </w:instrText>
      </w:r>
      <w:r>
        <w:fldChar w:fldCharType="separate"/>
      </w:r>
      <w:r>
        <w:t>Actualizar en Word: Ctrl+A y F9</w:t>
      </w:r>
      <w:r>
        <w:fldChar w:fldCharType="end"/>
      </w:r>
    </w:p>
    <w:p>
      <w:r>
        <w:br w:type="page"/>
      </w:r>
    </w:p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>.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4968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Interacción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Usuario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Usa un cliente para login, catálogo y conversión.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6"/>
              </w:rPr>
              <w:t>Clientes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6"/>
              </w:rPr>
              <w:t>Consola, escritorio, web y móvil envían solicitudes.</w:t>
            </w:r>
          </w:p>
        </w:tc>
      </w:tr>
      <w:tr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API REST</w:t>
            </w:r>
          </w:p>
        </w:tc>
        <w:tc>
          <w:tcPr>
            <w:tcW w:type="dxa" w:w="4968"/>
            <w:vAlign w:val="center"/>
            <w:shd w:fill="F3F6FB"/>
          </w:tcPr>
          <w:p>
            <w:r>
              <w:rPr>
                <w:sz w:val="16"/>
              </w:rPr>
              <w:t>Autentica, valida, consulta y calcula.</w:t>
            </w:r>
          </w:p>
        </w:tc>
      </w:tr>
    </w:tbl>
    <w:p/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>. Resumen de casos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484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2484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Precondición</w:t>
            </w:r>
          </w:p>
        </w:tc>
        <w:tc>
          <w:tcPr>
            <w:tcW w:type="dxa" w:w="2484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2484"/>
            <w:vAlign w:val="center"/>
            <w:shd w:fill="F3F6FB"/>
          </w:tcPr>
          <w:p>
            <w:r>
              <w:rPr>
                <w:sz w:val="16"/>
              </w:rPr>
              <w:t>CU-01</w:t>
            </w:r>
          </w:p>
        </w:tc>
        <w:tc>
          <w:tcPr>
            <w:tcW w:type="dxa" w:w="2484"/>
            <w:vAlign w:val="center"/>
            <w:shd w:fill="F3F6FB"/>
          </w:tcPr>
          <w:p>
            <w:r>
              <w:rPr>
                <w:sz w:val="16"/>
              </w:rPr>
              <w:t>Iniciar sesión</w:t>
            </w:r>
          </w:p>
        </w:tc>
        <w:tc>
          <w:tcPr>
            <w:tcW w:type="dxa" w:w="2484"/>
            <w:vAlign w:val="center"/>
            <w:shd w:fill="F3F6FB"/>
          </w:tcPr>
          <w:p>
            <w:r>
              <w:rPr>
                <w:sz w:val="16"/>
              </w:rPr>
              <w:t>API disponible</w:t>
            </w:r>
          </w:p>
        </w:tc>
        <w:tc>
          <w:tcPr>
            <w:tcW w:type="dxa" w:w="2484"/>
            <w:vAlign w:val="center"/>
            <w:shd w:fill="F3F6FB"/>
          </w:tcPr>
          <w:p>
            <w:r>
              <w:rPr>
                <w:sz w:val="16"/>
              </w:rPr>
              <w:t>Token o error de credenciales.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CU-02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Consultar categorías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Token válido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Lista de categorías.</w:t>
            </w:r>
          </w:p>
        </w:tc>
      </w:tr>
      <w:tr>
        <w:tc>
          <w:tcPr>
            <w:tcW w:type="dxa" w:w="2484"/>
            <w:vAlign w:val="center"/>
            <w:shd w:fill="F3F6FB"/>
          </w:tcPr>
          <w:p>
            <w:r>
              <w:rPr>
                <w:sz w:val="16"/>
              </w:rPr>
              <w:t>CU-03</w:t>
            </w:r>
          </w:p>
        </w:tc>
        <w:tc>
          <w:tcPr>
            <w:tcW w:type="dxa" w:w="2484"/>
            <w:vAlign w:val="center"/>
            <w:shd w:fill="F3F6FB"/>
          </w:tcPr>
          <w:p>
            <w:r>
              <w:rPr>
                <w:sz w:val="16"/>
              </w:rPr>
              <w:t>Consultar unidades</w:t>
            </w:r>
          </w:p>
        </w:tc>
        <w:tc>
          <w:tcPr>
            <w:tcW w:type="dxa" w:w="2484"/>
            <w:vAlign w:val="center"/>
            <w:shd w:fill="F3F6FB"/>
          </w:tcPr>
          <w:p>
            <w:r>
              <w:rPr>
                <w:sz w:val="16"/>
              </w:rPr>
              <w:t>Token válido</w:t>
            </w:r>
          </w:p>
        </w:tc>
        <w:tc>
          <w:tcPr>
            <w:tcW w:type="dxa" w:w="2484"/>
            <w:vAlign w:val="center"/>
            <w:shd w:fill="F3F6FB"/>
          </w:tcPr>
          <w:p>
            <w:r>
              <w:rPr>
                <w:sz w:val="16"/>
              </w:rPr>
              <w:t>Unidades por categoría.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6"/>
              </w:rPr>
              <w:t>CU-04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Convertir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Token y unidades compatibles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6"/>
              </w:rPr>
              <w:t>Resultado numérico.</w:t>
            </w:r>
          </w:p>
        </w:tc>
      </w:tr>
      <w:tr>
        <w:tc>
          <w:tcPr>
            <w:tcW w:type="dxa" w:w="2484"/>
            <w:vAlign w:val="center"/>
            <w:shd w:fill="F3F6FB"/>
          </w:tcPr>
          <w:p>
            <w:r>
              <w:rPr>
                <w:sz w:val="16"/>
              </w:rPr>
              <w:t>CU-05</w:t>
            </w:r>
          </w:p>
        </w:tc>
        <w:tc>
          <w:tcPr>
            <w:tcW w:type="dxa" w:w="2484"/>
            <w:vAlign w:val="center"/>
            <w:shd w:fill="F3F6FB"/>
          </w:tcPr>
          <w:p>
            <w:r>
              <w:rPr>
                <w:sz w:val="16"/>
              </w:rPr>
              <w:t>Cerrar sesión</w:t>
            </w:r>
          </w:p>
        </w:tc>
        <w:tc>
          <w:tcPr>
            <w:tcW w:type="dxa" w:w="2484"/>
            <w:vAlign w:val="center"/>
            <w:shd w:fill="F3F6FB"/>
          </w:tcPr>
          <w:p>
            <w:r>
              <w:rPr>
                <w:sz w:val="16"/>
              </w:rPr>
              <w:t>Sesión iniciada</w:t>
            </w:r>
          </w:p>
        </w:tc>
        <w:tc>
          <w:tcPr>
            <w:tcW w:type="dxa" w:w="2484"/>
            <w:vAlign w:val="center"/>
            <w:shd w:fill="F3F6FB"/>
          </w:tcPr>
          <w:p>
            <w:r>
              <w:rPr>
                <w:sz w:val="16"/>
              </w:rPr>
              <w:t>Token/sesión local eliminada.</w:t>
            </w:r>
          </w:p>
        </w:tc>
      </w:tr>
    </w:tbl>
    <w:p/>
    <w:p>
      <w:pPr>
        <w:pStyle w:val="Heading1"/>
      </w:pPr>
      <w:r>
        <w:t>CU-01 · Iniciar sesión</w:t>
      </w:r>
    </w:p>
    <w:p>
      <w:r>
        <w:t>Usuario envía POST /api/auth/login con usuario y clave; servidor valida y emite token; HTTP 200 y JSON OK-200. Credenciales incorrectas: 401 AUTH-003. El web client guarda el token en HttpSession.</w:t>
      </w:r>
    </w:p>
    <w:p>
      <w:pPr>
        <w:pStyle w:val="Heading1"/>
      </w:pPr>
      <w:r>
        <w:t>CU-02 / CU-03 · Consultar catálogo</w:t>
      </w:r>
    </w:p>
    <w:p>
      <w:r>
        <w:t>Con Authorization: Bearer &lt;token&gt;, el cliente solicita categorías o /api/catalogo/{categoria}/unidades. El servidor responde HTTP 200 con datos. Token inválido: 401.</w:t>
      </w:r>
    </w:p>
    <w:p>
      <w:pPr>
        <w:pStyle w:val="Heading1"/>
      </w:pPr>
      <w:r>
        <w:t>CU-04 · Convertir unidades</w:t>
      </w:r>
    </w:p>
    <w:p>
      <w:r>
        <w:t>Usuario elige categoría, unidades y valor; envía POST /api/conversiones/{categoria}. API valida token y datos, calcula y responde 200. Datos inconsistentes: 400 DATA-001; unidad no admitida: 422 UNIT-001; error interno: 500 SRV-500.</w:t>
      </w:r>
    </w:p>
    <w:p>
      <w:pPr>
        <w:pStyle w:val="Heading1"/>
      </w:pPr>
      <w:r>
        <w:t>CU-05 · Cerrar sesión</w:t>
      </w:r>
    </w:p>
    <w:p>
      <w:r>
        <w:t>Cliente elimina token y vuelve al login; web invalida HttpSession. No se guarda historial.</w:t>
      </w:r>
    </w:p>
    <w:p>
      <w:pPr>
        <w:pStyle w:val="Caption"/>
        <w:jc w:val="center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>. Contratos resumidos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3312"/>
            <w:shd w:fill="1F3864"/>
            <w:vAlign w:val="center"/>
          </w:tcPr>
          <w:p>
            <w:r>
              <w:rPr>
                <w:b/>
                <w:color w:val="FFFFFF"/>
                <w:sz w:val="16"/>
              </w:rPr>
              <w:t>Salida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usuario, clave JSON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estado, código, mensaje, token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Categorías/unidades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Bearer + ruta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datos</w:t>
            </w:r>
          </w:p>
        </w:tc>
      </w:tr>
      <w:tr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Conversión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Bearer + valor y unidades</w:t>
            </w:r>
          </w:p>
        </w:tc>
        <w:tc>
          <w:tcPr>
            <w:tcW w:type="dxa" w:w="3312"/>
            <w:vAlign w:val="center"/>
            <w:shd w:fill="F3F6FB"/>
          </w:tcPr>
          <w:p>
            <w:r>
              <w:rPr>
                <w:sz w:val="16"/>
              </w:rPr>
              <w:t>resultado y unidades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6"/>
              </w:rPr>
              <w:t>Error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Solicitud inválida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6"/>
              </w:rPr>
              <w:t>estado ERROR, código, mensaje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  <w:pgBorders w:offsetFrom="page">
        <w:top w:val="single" w:sz="12" w:space="16" w:color="1F3864"/>
        <w:left w:val="single" w:sz="12" w:space="16" w:color="1F3864"/>
        <w:bottom w:val="single" w:sz="12" w:space="16" w:color="1F3864"/>
        <w:right w:val="single" w:sz="12" w:space="16" w:color="1F386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Especificación de casos de uso (ECUD)  •  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F3864"/>
        <w:sz w:val="16"/>
      </w:rPr>
      <w:t>TI.1.3  |  RESTful Java sin BDD  |  GR07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1F386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fuente">
    <w:name w:val="Código fuente"/>
    <w:pPr>
      <w:spacing w:after="0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