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  <w:jc w:val="center"/>
      </w:pPr>
      <w:r>
        <w:drawing>
          <wp:inline xmlns:a="http://schemas.openxmlformats.org/drawingml/2006/main" xmlns:pic="http://schemas.openxmlformats.org/drawingml/2006/picture">
            <wp:extent cx="2377440" cy="1275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st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75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/>
        <w:jc w:val="center"/>
      </w:pPr>
      <w:r>
        <w:rPr>
          <w:rFonts w:ascii="Arial" w:hAnsi="Arial"/>
          <w:b/>
          <w:color w:val="1F3864"/>
          <w:sz w:val="30"/>
        </w:rPr>
        <w:t>UNIVERSIDAD DE LAS FUERZAS ARMADAS – ESPE</w:t>
      </w:r>
    </w:p>
    <w:p>
      <w:pPr>
        <w:spacing w:before="320"/>
        <w:jc w:val="center"/>
      </w:pPr>
      <w:r>
        <w:rPr>
          <w:rFonts w:ascii="Arial" w:hAnsi="Arial"/>
          <w:b w:val="0"/>
          <w:color w:val="5B6B86"/>
          <w:sz w:val="24"/>
        </w:rPr>
        <w:t>ARQUITECTURA DE SOFTWARE  |  NRC 36883</w:t>
      </w:r>
    </w:p>
    <w:p>
      <w:pPr>
        <w:spacing w:before="320"/>
        <w:jc w:val="center"/>
      </w:pPr>
      <w:r>
        <w:rPr>
          <w:rFonts w:ascii="Arial" w:hAnsi="Arial"/>
          <w:b/>
          <w:color w:val="1F3864"/>
          <w:sz w:val="46"/>
        </w:rPr>
        <w:t>Diccionario de datos del sistema de conversión de unidades</w:t>
      </w:r>
    </w:p>
    <w:p>
      <w:pPr>
        <w:spacing w:before="320"/>
        <w:jc w:val="center"/>
      </w:pPr>
      <w:r>
        <w:rPr>
          <w:rFonts w:ascii="Arial" w:hAnsi="Arial"/>
          <w:b/>
          <w:color w:val="2D5090"/>
          <w:sz w:val="24"/>
        </w:rPr>
        <w:t>TI.1.3 · SERVICIOS RESTful CON JAVA · SIN BASE DE DATOS</w:t>
      </w:r>
    </w:p>
    <w:p>
      <w:pPr>
        <w:spacing w:before="320"/>
        <w:jc w:val="center"/>
      </w:pPr>
      <w:r>
        <w:rPr>
          <w:rFonts w:ascii="Arial" w:hAnsi="Arial"/>
          <w:b w:val="0"/>
          <w:color w:val="1F3864"/>
          <w:sz w:val="24"/>
        </w:rPr>
        <w:t>Integrantes</w:t>
        <w:br/>
        <w:t>Miranda Alison</w:t>
        <w:br/>
        <w:t>Morán Lenin</w:t>
        <w:br/>
        <w:t>Vivanco Gabriel</w:t>
      </w:r>
    </w:p>
    <w:p>
      <w:pPr>
        <w:spacing w:before="320"/>
        <w:jc w:val="center"/>
      </w:pPr>
      <w:r>
        <w:rPr>
          <w:rFonts w:ascii="Arial" w:hAnsi="Arial"/>
          <w:b w:val="0"/>
          <w:color w:val="1F3864"/>
          <w:sz w:val="22"/>
        </w:rPr>
        <w:t>Tutor</w:t>
        <w:br/>
        <w:t>Ing. Eduardo Mauricio Campaña Ortega</w:t>
      </w:r>
    </w:p>
    <w:p>
      <w:pPr>
        <w:spacing w:before="320"/>
        <w:jc w:val="center"/>
      </w:pPr>
      <w:r>
        <w:rPr>
          <w:rFonts w:ascii="Arial" w:hAnsi="Arial"/>
          <w:b w:val="0"/>
          <w:color w:val="5B6B86"/>
          <w:sz w:val="20"/>
        </w:rPr>
        <w:t>Diccionario de datos · Grupo 7 · 2026</w:t>
      </w:r>
    </w:p>
    <w:p>
      <w:r>
        <w:br w:type="page"/>
      </w:r>
    </w:p>
    <w:p>
      <w:pPr>
        <w:pStyle w:val="Heading1"/>
      </w:pPr>
      <w:r>
        <w:t>ÍNDICE DE CONTENIDOS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ÍNDICE DE ILUSTRACIONES</w:t>
      </w:r>
    </w:p>
    <w:p>
      <w:r>
        <w:fldChar w:fldCharType="begin"/>
      </w:r>
      <w:r>
        <w:instrText xml:space="preserve"> TOC \h \z \c "Ilustración"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ÍNDICE DE TABLAS</w:t>
      </w:r>
    </w:p>
    <w:p>
      <w:r>
        <w:fldChar w:fldCharType="begin"/>
      </w:r>
      <w:r>
        <w:instrText xml:space="preserve"> TOC \h \z \c "Tabla" </w:instrText>
      </w:r>
      <w:r>
        <w:fldChar w:fldCharType="separate"/>
      </w:r>
      <w:r>
        <w:t>Actualizar en Word: Ctrl+A y F9</w:t>
      </w:r>
      <w:r>
        <w:fldChar w:fldCharType="end"/>
      </w:r>
    </w:p>
    <w:p>
      <w:r>
        <w:br w:type="page"/>
      </w:r>
    </w:p>
    <w:p>
      <w:pPr>
        <w:pStyle w:val="Heading1"/>
      </w:pPr>
      <w:r>
        <w:t>Propósito y arquitectura</w:t>
      </w:r>
    </w:p>
    <w:p>
      <w:r>
        <w:t>TI.1.3 implementa Conversión de Unidades Monster mediante una API REST JSON en Java. Consola, escritorio Swing, web y móvil consumen el mismo servidor. No hay BDD: credenciales de práctica, catálogo y tokens residen en memoria.</w:t>
      </w:r>
    </w:p>
    <w:p>
      <w:pPr>
        <w:pStyle w:val="Captio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t>1</w:t>
      </w:r>
      <w:r>
        <w:fldChar w:fldCharType="end"/>
      </w:r>
      <w:r>
        <w:t>. Componentes y responsabilidades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1</w:t>
      </w:r>
      <w:r>
        <w:fldChar w:fldCharType="end"/>
      </w:r>
      <w:r>
        <w:t>. Clientes y servidor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Responsabilidad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Comunicación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Consola Java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Interfaz de texto, sesión y captura de datos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HTTP/JSON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Escritorio Swing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Login, catálogo y conversión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HTTP/JSON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Web Jakarta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HTML/JS y Servlets; token en HttpSession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Browser↔Servlet↔API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Android Java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Activities y sesión móvil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HTTP/JSON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API REST en Payara 6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JAX-RS, validación, autenticación, cálculo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Recursos Jakarta REST</w:t>
            </w:r>
          </w:p>
        </w:tc>
      </w:tr>
    </w:tbl>
    <w:p/>
    <w:p>
      <w:r>
        <w:t>El usuario inicia sesión y recibe un token. Las operaciones protegidas llevan Authorization: Bearer &lt;token&gt;. La API valida sesión y datos, calcula la conversión y responde JSON con estado HTTP. El WAR publica servicios REST; no es SOAP.</w:t>
      </w:r>
    </w:p>
    <w:p>
      <w:pPr>
        <w:pStyle w:val="Heading1"/>
      </w:pPr>
      <w:r>
        <w:t>Modelo lógico en memoria (sin BDD)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2</w:t>
      </w:r>
      <w:r>
        <w:fldChar w:fldCharType="end"/>
      </w:r>
      <w:r>
        <w:t>. Elementos de dominio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Atributos / valores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Persistencia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Credencial de práctica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usuario, clave: monster / monster9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Memoria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Categoría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Longitud, Masa, Temperatura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Catálogo Java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Unidad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Nombre normalizado asociado a categoría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Catálogo Java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Token de sesión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Identificador, creación y expiración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Mapa en memoria; 30 min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Conversión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valor, unidades, resultado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No se guarda</w:t>
            </w:r>
          </w:p>
        </w:tc>
      </w:tr>
    </w:tbl>
    <w:p/>
    <w:p>
      <w:pPr>
        <w:pStyle w:val="Heading1"/>
      </w:pPr>
      <w:r>
        <w:t>Solicitud de conversión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3</w:t>
      </w:r>
      <w:r>
        <w:fldChar w:fldCharType="end"/>
      </w:r>
      <w:r>
        <w:t>. Campos de entrada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Tipo JSON</w:t>
            </w:r>
          </w:p>
        </w:tc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Obligatorio</w:t>
            </w:r>
          </w:p>
        </w:tc>
        <w:tc>
          <w:tcPr>
            <w:tcW w:type="dxa" w:w="2484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valor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number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Sí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Valor finito a convertir.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6"/>
              </w:rPr>
              <w:t>unidadOrigen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string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Sí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6"/>
              </w:rPr>
              <w:t>Unidad válida de la categoría.</w:t>
            </w:r>
          </w:p>
        </w:tc>
      </w:tr>
      <w:tr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unidadDestino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string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Sí</w:t>
            </w:r>
          </w:p>
        </w:tc>
        <w:tc>
          <w:tcPr>
            <w:tcW w:type="dxa" w:w="2484"/>
            <w:vAlign w:val="center"/>
            <w:shd w:fill="F3F6FB"/>
          </w:tcPr>
          <w:p>
            <w:r>
              <w:rPr>
                <w:sz w:val="16"/>
              </w:rPr>
              <w:t>Unidad final de la misma categoría.</w:t>
            </w:r>
          </w:p>
        </w:tc>
      </w:tr>
    </w:tbl>
    <w:p/>
    <w:p>
      <w:pPr>
        <w:pStyle w:val="Heading1"/>
      </w:pPr>
      <w:r>
        <w:t>Respuesta JSON común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4</w:t>
      </w:r>
      <w:r>
        <w:fldChar w:fldCharType="end"/>
      </w:r>
      <w:r>
        <w:t>. Objeto RespuestaServicio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estado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string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OK o ERROR.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codigo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string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OK-200, AUTH-001, DATA-001, etc.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mensaje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string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Descripción.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resultado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number|null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Resultado numérico o null.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unidadOrigen / unidadDestino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string|null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Unidades usadas.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token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string|null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Token de login.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datos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array&lt;string&gt;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Categorías o unidades.</w:t>
            </w:r>
          </w:p>
        </w:tc>
      </w:tr>
    </w:tbl>
    <w:p/>
    <w:p>
      <w:pPr>
        <w:pStyle w:val="Heading1"/>
      </w:pPr>
      <w:r>
        <w:t>Contrato REST y errores</w:t>
      </w:r>
    </w:p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5</w:t>
      </w:r>
      <w:r>
        <w:fldChar w:fldCharType="end"/>
      </w:r>
      <w:r>
        <w:t>. Rutas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Método y ruta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Seguridad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Entrada / respuesta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POST /api/auth/login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Pública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JSON credenciales; 200 token / 401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GET /api/catalogo/categorias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Bearer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200 + lista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GET /api/catalogo/{categoria}/unidades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Bearer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200 + lista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POST /api/conversiones/{categoria}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Bearer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JSON valor/unidades; 200 + resultado</w:t>
            </w:r>
          </w:p>
        </w:tc>
      </w:tr>
    </w:tbl>
    <w:p/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6</w:t>
      </w:r>
      <w:r>
        <w:fldChar w:fldCharType="end"/>
      </w:r>
      <w:r>
        <w:t>. Códigos HTTP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3312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Significado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OK-200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Operación correcta.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DATA-001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JSON inválido o datos inconsistentes.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AUTH-001/002/003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Token o credenciales no válidos.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6"/>
              </w:rPr>
              <w:t>422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UNIT-001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6"/>
              </w:rPr>
              <w:t>Unidad no admitida.</w:t>
            </w:r>
          </w:p>
        </w:tc>
      </w:tr>
      <w:tr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SRV-500</w:t>
            </w:r>
          </w:p>
        </w:tc>
        <w:tc>
          <w:tcPr>
            <w:tcW w:type="dxa" w:w="3312"/>
            <w:vAlign w:val="center"/>
            <w:shd w:fill="F3F6FB"/>
          </w:tcPr>
          <w:p>
            <w:r>
              <w:rPr>
                <w:sz w:val="16"/>
              </w:rPr>
              <w:t>Error interno.</w:t>
            </w:r>
          </w:p>
        </w:tc>
      </w:tr>
    </w:tbl>
    <w:p/>
    <w:p>
      <w:pPr>
        <w:pStyle w:val="Caption"/>
        <w:jc w:val="center"/>
      </w:pPr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t>7</w:t>
      </w:r>
      <w:r>
        <w:fldChar w:fldCharType="end"/>
      </w:r>
      <w:r>
        <w:t>. Categorías y unidades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Categoría</w:t>
            </w:r>
          </w:p>
        </w:tc>
        <w:tc>
          <w:tcPr>
            <w:tcW w:type="dxa" w:w="4968"/>
            <w:shd w:fill="1F3864"/>
            <w:vAlign w:val="center"/>
          </w:tcPr>
          <w:p>
            <w:r>
              <w:rPr>
                <w:b/>
                <w:color w:val="FFFFFF"/>
                <w:sz w:val="16"/>
              </w:rPr>
              <w:t>Unidades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Longitud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centimetros, metros, pies, yardas, millas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sz w:val="16"/>
              </w:rPr>
              <w:t>Masa</w:t>
            </w:r>
          </w:p>
        </w:tc>
        <w:tc>
          <w:tcPr>
            <w:tcW w:type="dxa" w:w="4968"/>
            <w:vAlign w:val="center"/>
          </w:tcPr>
          <w:p>
            <w:r>
              <w:rPr>
                <w:sz w:val="16"/>
              </w:rPr>
              <w:t>gramos, kilogramos, onzas, libras, quintales</w:t>
            </w:r>
          </w:p>
        </w:tc>
      </w:tr>
      <w:tr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Temperatura</w:t>
            </w:r>
          </w:p>
        </w:tc>
        <w:tc>
          <w:tcPr>
            <w:tcW w:type="dxa" w:w="4968"/>
            <w:vAlign w:val="center"/>
            <w:shd w:fill="F3F6FB"/>
          </w:tcPr>
          <w:p>
            <w:r>
              <w:rPr>
                <w:sz w:val="16"/>
              </w:rPr>
              <w:t>celsius, fahrenheit, kelvin, newton, reaumur</w:t>
            </w:r>
          </w:p>
        </w:tc>
      </w:tr>
    </w:tbl>
    <w:p/>
    <w:p>
      <w:r>
        <w:t>No existen tablas físicas, claves foráneas ni transacciones SQL. Las conversiones no se almacenan.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  <w:pgBorders w:offsetFrom="page">
        <w:top w:val="single" w:sz="12" w:space="16" w:color="1F3864"/>
        <w:left w:val="single" w:sz="12" w:space="16" w:color="1F3864"/>
        <w:bottom w:val="single" w:sz="12" w:space="16" w:color="1F3864"/>
        <w:right w:val="single" w:sz="12" w:space="16" w:color="1F386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Diccionario de datos del sistema de conversión de unidades  •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F3864"/>
        <w:sz w:val="16"/>
      </w:rPr>
      <w:t>TI.1.3  |  RESTful Java sin BDD  |  GR07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1F386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fuente">
    <w:name w:val="Código fuente"/>
    <w:pPr>
      <w:spacing w:after="0"/>
    </w:pPr>
    <w:rPr>
      <w:rFonts w:ascii="Consolas" w:hAnsi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