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drawing>
          <wp:inline xmlns:a="http://schemas.openxmlformats.org/drawingml/2006/main" xmlns:pic="http://schemas.openxmlformats.org/drawingml/2006/picture">
            <wp:extent cx="2377440" cy="1275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st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275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rFonts w:ascii="Arial" w:hAnsi="Arial"/>
          <w:b/>
          <w:color w:val="1F3864"/>
          <w:sz w:val="30"/>
        </w:rPr>
        <w:t>UNIVERSIDAD DE LAS FUERZAS ARMADAS – ESPE</w:t>
      </w:r>
    </w:p>
    <w:p>
      <w:pPr>
        <w:spacing w:before="320"/>
        <w:jc w:val="center"/>
      </w:pPr>
      <w:r>
        <w:rPr>
          <w:rFonts w:ascii="Arial" w:hAnsi="Arial"/>
          <w:b w:val="0"/>
          <w:color w:val="5B6B86"/>
          <w:sz w:val="24"/>
        </w:rPr>
        <w:t>ARQUITECTURA DE SOFTWARE  |  NRC 36883</w:t>
      </w:r>
    </w:p>
    <w:p>
      <w:pPr>
        <w:spacing w:before="320"/>
        <w:jc w:val="center"/>
      </w:pPr>
      <w:r>
        <w:rPr>
          <w:rFonts w:ascii="Arial" w:hAnsi="Arial"/>
          <w:b/>
          <w:color w:val="1F3864"/>
          <w:sz w:val="46"/>
        </w:rPr>
        <w:t>Manual de usuario</w:t>
      </w:r>
    </w:p>
    <w:p>
      <w:pPr>
        <w:spacing w:before="320"/>
        <w:jc w:val="center"/>
      </w:pPr>
      <w:r>
        <w:rPr>
          <w:rFonts w:ascii="Arial" w:hAnsi="Arial"/>
          <w:b/>
          <w:color w:val="2D5090"/>
          <w:sz w:val="24"/>
        </w:rPr>
        <w:t>TI.1.3 · SERVICIOS RESTful CON JAVA · SIN BASE DE DATOS</w:t>
      </w:r>
    </w:p>
    <w:p>
      <w:pPr>
        <w:spacing w:before="320"/>
        <w:jc w:val="center"/>
      </w:pPr>
      <w:r>
        <w:rPr>
          <w:rFonts w:ascii="Arial" w:hAnsi="Arial"/>
          <w:b w:val="0"/>
          <w:color w:val="1F3864"/>
          <w:sz w:val="24"/>
        </w:rPr>
        <w:t>Integrantes</w:t>
        <w:br/>
        <w:t>Miranda Alison</w:t>
        <w:br/>
        <w:t>Morán Lenin</w:t>
        <w:br/>
        <w:t>Vivanco Gabriel</w:t>
      </w:r>
    </w:p>
    <w:p>
      <w:pPr>
        <w:spacing w:before="320"/>
        <w:jc w:val="center"/>
      </w:pPr>
      <w:r>
        <w:rPr>
          <w:rFonts w:ascii="Arial" w:hAnsi="Arial"/>
          <w:b w:val="0"/>
          <w:color w:val="1F3864"/>
          <w:sz w:val="22"/>
        </w:rPr>
        <w:t>Tutor</w:t>
        <w:br/>
        <w:t>Ing. Eduardo Mauricio Campaña Ortega</w:t>
      </w:r>
    </w:p>
    <w:p>
      <w:pPr>
        <w:spacing w:before="320"/>
        <w:jc w:val="center"/>
      </w:pPr>
      <w:r>
        <w:rPr>
          <w:rFonts w:ascii="Arial" w:hAnsi="Arial"/>
          <w:b w:val="0"/>
          <w:color w:val="5B6B86"/>
          <w:sz w:val="20"/>
        </w:rPr>
        <w:t>Manual de usuario · Grupo 7 · 2026</w:t>
      </w:r>
    </w:p>
    <w:p>
      <w:r>
        <w:br w:type="page"/>
      </w:r>
    </w:p>
    <w:p>
      <w:pPr>
        <w:pStyle w:val="Heading1"/>
      </w:pPr>
      <w:r>
        <w:t>ÍNDICE DE CONTENIDOS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Actualizar en Word: Ctrl+A y F9</w:t>
      </w:r>
      <w:r>
        <w:fldChar w:fldCharType="end"/>
      </w:r>
    </w:p>
    <w:p>
      <w:r>
        <w:br w:type="page"/>
      </w:r>
    </w:p>
    <w:p>
      <w:pPr>
        <w:pStyle w:val="Heading1"/>
      </w:pPr>
      <w:r>
        <w:t>ÍNDICE DE ILUSTRACIONES</w:t>
      </w:r>
    </w:p>
    <w:p>
      <w:r>
        <w:fldChar w:fldCharType="begin"/>
      </w:r>
      <w:r>
        <w:instrText xml:space="preserve"> TOC \h \z \c "Ilustración" </w:instrText>
      </w:r>
      <w:r>
        <w:fldChar w:fldCharType="separate"/>
      </w:r>
      <w:r>
        <w:t>Actualizar en Word: Ctrl+A y F9</w:t>
      </w:r>
      <w:r>
        <w:fldChar w:fldCharType="end"/>
      </w:r>
    </w:p>
    <w:p>
      <w:r>
        <w:br w:type="page"/>
      </w:r>
    </w:p>
    <w:p>
      <w:pPr>
        <w:pStyle w:val="Heading1"/>
      </w:pPr>
      <w:r>
        <w:t>ÍNDICE DE TABLAS</w:t>
      </w:r>
    </w:p>
    <w:p>
      <w:r>
        <w:fldChar w:fldCharType="begin"/>
      </w:r>
      <w:r>
        <w:instrText xml:space="preserve"> TOC \h \z \c "Tabla" </w:instrText>
      </w:r>
      <w:r>
        <w:fldChar w:fldCharType="separate"/>
      </w:r>
      <w:r>
        <w:t>Actualizar en Word: Ctrl+A y F9</w:t>
      </w:r>
      <w:r>
        <w:fldChar w:fldCharType="end"/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Guía para utilizar los clientes consola, escritorio, web y móvil de Conversión de Unidades Monster.</w:t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>.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Servidor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Payara 6 iniciado y WAR REST desplegado.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Consola / escritorio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Java 21; API disponible.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Web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WAR web desplegado en contenedor Jakarta EE.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Móvil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Android Studio/emulador o dispositivo con Internet.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Red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Los dispositivos deben poder comunicarse con el servidor.</w:t>
            </w:r>
          </w:p>
        </w:tc>
      </w:tr>
    </w:tbl>
    <w:p/>
    <w:p>
      <w:pPr>
        <w:pStyle w:val="Heading1"/>
      </w:pPr>
      <w:r>
        <w:t>Servidor y credenciales</w:t>
      </w:r>
    </w:p>
    <w:p>
      <w:r>
        <w:t>Credenciales de práctica: monster / monster9. Dirección predeterminada de equipos: http://localhost:8080/REST_ConUni_Java_GR07/api/. En emulador Android: http://10.0.2.2:8080/REST_ConUni_Java_GR07/api/. El campo Servidor inicia plegado; pulse la flecha para abrirlo y escribir otra URL completa. 10.0.2.2 solo funciona en el emulador.</w:t>
      </w:r>
    </w:p>
    <w:p>
      <w:pPr>
        <w:pStyle w:val="Heading1"/>
      </w:pPr>
      <w:r>
        <w:t>Flujo de uso</w:t>
      </w:r>
    </w:p>
    <w:p>
      <w:pPr>
        <w:pStyle w:val="Heading2"/>
      </w:pPr>
      <w:r>
        <w:t>1. Iniciar</w:t>
      </w:r>
    </w:p>
    <w:p>
      <w:r>
        <w:t>Abra el cliente elegido.</w:t>
      </w:r>
    </w:p>
    <w:p>
      <w:pPr>
        <w:pStyle w:val="Heading2"/>
      </w:pPr>
      <w:r>
        <w:t>2. Configurar servidor</w:t>
      </w:r>
    </w:p>
    <w:p>
      <w:r>
        <w:t>Despliegue la flecha Servidor si necesita cambiar la URL; vacío conserva el valor predeterminado.</w:t>
      </w:r>
    </w:p>
    <w:p>
      <w:pPr>
        <w:pStyle w:val="Heading2"/>
      </w:pPr>
      <w:r>
        <w:t>3. Autenticar</w:t>
      </w:r>
    </w:p>
    <w:p>
      <w:r>
        <w:t>Ingrese usuario monster y clave monster9.</w:t>
      </w:r>
    </w:p>
    <w:p>
      <w:pPr>
        <w:pStyle w:val="Heading2"/>
      </w:pPr>
      <w:r>
        <w:t>4. Elegir categoría</w:t>
      </w:r>
    </w:p>
    <w:p>
      <w:r>
        <w:t>Seleccione Longitud, Masa o Temperatura y consulte unidades.</w:t>
      </w:r>
    </w:p>
    <w:p>
      <w:pPr>
        <w:pStyle w:val="Heading2"/>
      </w:pPr>
      <w:r>
        <w:t>5. Convertir</w:t>
      </w:r>
    </w:p>
    <w:p>
      <w:r>
        <w:t>Elija unidad origen/destino, ingrese el valor y solicite la conversión.</w:t>
      </w:r>
    </w:p>
    <w:p>
      <w:pPr>
        <w:pStyle w:val="Captio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t>1</w:t>
      </w:r>
      <w:r>
        <w:fldChar w:fldCharType="end"/>
      </w:r>
      <w:r>
        <w:t>. Ejemplos de verificación</w:t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>. Resultados esperados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1 milla → metros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1609.344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100 celsius → fahrenheit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212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10 metros → pies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32.8084 aproximadamente</w:t>
            </w:r>
          </w:p>
        </w:tc>
      </w:tr>
    </w:tbl>
    <w:p/>
    <w:p>
      <w:pPr>
        <w:pStyle w:val="Heading1"/>
      </w:pPr>
      <w:r>
        <w:t>Clientes</w:t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>. Uso por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Cliente</w:t>
            </w:r>
          </w:p>
        </w:tc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Indicaciones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Consola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La URL se pasa por argumento, -Dconuni.url o CONUNI_URL; luego usar el menú.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Escritorio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Ejecutar desde IDE; login y campo plegable Servidor.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Web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Abrir el sitio desplegado; el token permanece en HttpSession del servidor.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Móvil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Emulador usa 10.0.2.2; teléfono real necesita la URL del servidor.</w:t>
            </w:r>
          </w:p>
        </w:tc>
      </w:tr>
    </w:tbl>
    <w:p/>
    <w:p>
      <w:pPr>
        <w:pStyle w:val="Heading1"/>
      </w:pPr>
      <w:r>
        <w:t>Errores frecuentes</w:t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>. Solución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Mensaje</w:t>
            </w:r>
          </w:p>
        </w:tc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No se pudo conectar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Verifique Payara, WAR y que la URL termine en /api/.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Credenciales incorrectas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Compruebe monster / monster9.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AUTH-001 / AUTH-002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Inicie sesión nuevamente; token inválido o vencido.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DATA-001 / UNIT-001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Revise el valor y elija unidades compatibles del catálogo.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SRV-500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Informe al responsable y revise logs de Payara.</w:t>
            </w:r>
          </w:p>
        </w:tc>
      </w:tr>
    </w:tbl>
    <w:p/>
    <w:p>
      <w:r>
        <w:t>Cerrar sesión elimina el token del cliente o invalida la sesión web. La vigencia predeterminada del token es 30 minutos.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  <w:pgBorders w:offsetFrom="page">
        <w:top w:val="single" w:sz="12" w:space="16" w:color="1F3864"/>
        <w:left w:val="single" w:sz="12" w:space="16" w:color="1F3864"/>
        <w:bottom w:val="single" w:sz="12" w:space="16" w:color="1F3864"/>
        <w:right w:val="single" w:sz="12" w:space="16" w:color="1F386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Manual de usuario  •  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F3864"/>
        <w:sz w:val="16"/>
      </w:rPr>
      <w:t>TI.1.3  |  RESTful Java sin BDD  |  GR07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1F386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fuente">
    <w:name w:val="Código fuente"/>
    <w:pPr>
      <w:spacing w:after="0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