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91"/>
        <w:gridCol w:w="5234"/>
      </w:tblGrid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  <w:highlight w:val="yellow"/>
              </w:rPr>
              <w:t xml:space="preserve">Công ty cổ phần Giải pháp Công nghệ TURBO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327" w:right="1327"/>
            </w:pP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047" w:right="1047"/>
            </w:pPr>
          </w:p>
        </w:tc>
      </w:tr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31/2026/QĐ-TURBO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TP. Hồ Chí Minh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, ngày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27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 tháng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10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 năm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2026</w:t>
            </w:r>
          </w:p>
        </w:tc>
      </w:tr>
    </w:tbl>
    <w:p>
      <w:pPr>
        <w:spacing w:after="120" w:before="0" w:line="276" w:lineRule="auto"/>
        <w:jc w:val="both"/>
      </w:pPr>
    </w:p>
    <w:p>
      <w:pPr>
        <w:keepNext/>
        <w:spacing w:after="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QUYẾT ĐỊNH</w:t>
      </w:r>
    </w:p>
    <w:p>
      <w:pPr>
        <w:keepNext/>
        <w:spacing w:after="18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Về việc phê duyệt phương án bảo đảm an ninh mạng hệ thống thông tin</w:t>
      </w:r>
    </w:p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highlight w:val="yellow"/>
        </w:rPr>
        <w:t xml:space="preserve">TỔNG GIÁM ĐỐC CÔNG TY CỔ PHẦN GIẢI PHÁP CÔNG NGHỆ TURBO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Căn cứ Luật An ninh mạng số 116/2025/QH15;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Căn cứ Nghị định số 331/2026/NĐ-CP ngày 19/8/2026 của Chính phủ về bảo vệ an ninh mạng đối với hệ thống thông tin; Căn cứ Điều lệ 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Xét đề nghị của cơ quan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QUYẾT ĐỊNH: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1.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Phê duyệt phương án đảm bảo an ninh mạng đối với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cụ thể như sau: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Thông tin chung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a) Tên hệ thống thông tin: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b) Đơn vị vận hành hệ thống thông tin: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c) Địa chỉ: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Số 123 Đường Mẫu, Phường Mẫu, TP. Hồ Chí Minh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Phương án bảo đảm an ninh mạng: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a) Phương án bảo đảm an ninh mạng trong thiết kế hệ thống thông tin tương ứng với cấp độ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là phù hợp với tiêu chuẩn quốc gia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TCVN 14423:2026 An ninh mạng – Hệ thống thông tin – Yêu cầu cơ bản (mục 5 – cấp độ 3)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quy chuẩn kỹ thuật quốc gia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(chưa có quy chuẩn kỹ thuật quốc gia tương ứng)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về bảo đảm an ninh mạng theo cấp độ.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b) Phương án bảo đảm an ninh mạng trong quá trình vận hành hệ thống tương ứng với cấp độ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là phù hợp với tiêu chuẩn quốc gia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TCVN 14423:2026 An ninh mạng – Hệ thống thông tin – Yêu cầu cơ bản (mục 5 – cấp độ 3)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quy chuẩn kỹ thuật quốc gia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(chưa có quy chuẩn kỹ thuật quốc gia tương ứng)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về bảo đảm an ninh mạng theo cấp độ.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2.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Tổ chức thực hiện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Cơ quan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chịu trách nhiệm: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a) Thực hiện trách nhiệm bảo đảm an ninh mạng hệ thống thông tin mình quản lý theo các quy định tại Điều 33 Nghị định này.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b) Các nội dung khác (nếu có).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Không có.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Trách nhiệm của các cơ quan liên quan khác (nếu có).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Không có.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3.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Điều khoản thi hành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Cơ quan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và các cơ quan liên quan khác chịu trách nhiệm thi hành Quyết định này.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Đơn vị chuyên trách về an ninh mạng chịu trách nhiệm kiểm tra, giám sát việc thực hiện Quyết định này báo cáo cơ quan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theo quy định của pháp luật.</w:t>
      </w:r>
    </w:p>
    <w:p>
      <w:pPr>
        <w:spacing w:after="0" w:before="0" w:line="276" w:lineRule="auto"/>
        <w:jc w:val="both"/>
      </w:pP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61"/>
        <w:gridCol w:w="4964"/>
      </w:tblGrid>
      <w:tr>
        <w:tc>
          <w:tcPr>
            <w:tcW w:type="dxa" w:w="4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Như trên;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Lưu: VT, PVH.</w:t>
            </w:r>
          </w:p>
        </w:tc>
        <w:tc>
          <w:tcPr>
            <w:tcW w:type="dxa" w:w="4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ĐẠI DIỆN CỦA CƠ QUAN, TỔ CHỨC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(Ký, ghi rõ họ tên, chức danh và đóng dấu)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  <w:highlight w:val="yellow"/>
              </w:rPr>
              <w:t xml:space="preserve">Nguyễn Văn An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Tổng Giám đốc</w:t>
            </w:r>
          </w:p>
        </w:tc>
      </w:tr>
    </w:tbl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07 — Quyết định về việc phê duyệt phương án bảo đảm an ninh mạng hệ thống thông tin</dc:title>
  <dc:creator>vn-cyber-compliance</dc:creator>
  <cp:lastModifiedBy>Un-named</cp:lastModifiedBy>
  <cp:revision>1</cp:revision>
  <dcterms:created xsi:type="dcterms:W3CDTF">2026-09-25T02:31:03.885Z</dcterms:created>
  <dcterms:modified xsi:type="dcterms:W3CDTF">2026-09-25T02:31:03.885Z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