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180" w:line="240" w:lineRule="auto"/>
        <w:jc w:val="center"/>
      </w:pPr>
      <w:r>
        <w:rPr>
          <w:rFonts w:ascii="Times New Roman" w:cs="Times New Roman" w:eastAsia="Times New Roman" w:hAnsi="Times New Roman"/>
          <w:b/>
          <w:bCs/>
          <w:i w:val="false"/>
          <w:iCs w:val="false"/>
          <w:caps w:val="false"/>
          <w:sz w:val="28"/>
          <w:szCs w:val="28"/>
        </w:rPr>
        <w:t xml:space="preserve">MẪU QUYẾT ĐỊNH</w:t>
      </w: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Công ty cổ phần Giải pháp Công nghệ TURBO</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15/2026</w:t>
            </w:r>
            <w:r>
              <w:rPr>
                <w:rFonts w:ascii="Times New Roman" w:cs="Times New Roman" w:eastAsia="Times New Roman" w:hAnsi="Times New Roman"/>
                <w:b w:val="false"/>
                <w:bCs w:val="false"/>
                <w:i w:val="false"/>
                <w:iCs w:val="false"/>
                <w:caps w:val="false"/>
                <w:sz w:val="26"/>
                <w:szCs w:val="26"/>
              </w:rPr>
              <w:t xml:space="preserve">/QĐ-</w:t>
            </w:r>
            <w:r>
              <w:rPr>
                <w:rFonts w:ascii="Times New Roman" w:cs="Times New Roman" w:eastAsia="Times New Roman" w:hAnsi="Times New Roman"/>
                <w:b w:val="false"/>
                <w:bCs w:val="false"/>
                <w:i w:val="false"/>
                <w:iCs w:val="false"/>
                <w:caps w:val="false"/>
                <w:sz w:val="26"/>
                <w:szCs w:val="26"/>
                <w:highlight w:val="yellow"/>
              </w:rPr>
              <w:t xml:space="preserve">TURBO</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 tháng ... năm ...</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QUYẾT ĐỊNH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xác định chủ quản hệ thống thông tin và ủy quyền thực hiện trách nhiệm chủ quản hệ thống thông tin</w:t>
      </w:r>
    </w:p>
    <w:p>
      <w:pPr>
        <w:keepNext/>
        <w:spacing w:after="180" w:before="120" w:line="240" w:lineRule="auto"/>
        <w:jc w:val="center"/>
      </w:pPr>
      <w:r>
        <w:rPr>
          <w:rFonts w:ascii="Times New Roman" w:cs="Times New Roman" w:eastAsia="Times New Roman" w:hAnsi="Times New Roman"/>
          <w:b/>
          <w:bCs/>
          <w:i w:val="false"/>
          <w:iCs w:val="false"/>
          <w:sz w:val="28"/>
          <w:szCs w:val="28"/>
          <w:highlight w:val="yellow"/>
        </w:rPr>
        <w:t xml:space="preserve">TỔNG GIÁM ĐỐC</w:t>
      </w:r>
      <w:r>
        <w:rPr>
          <w:rFonts w:ascii="Times New Roman" w:cs="Times New Roman" w:eastAsia="Times New Roman" w:hAnsi="Times New Roman"/>
          <w:b/>
          <w:bCs/>
          <w:i w:val="false"/>
          <w:iCs w:val="false"/>
          <w:sz w:val="28"/>
          <w:szCs w:val="28"/>
        </w:rPr>
        <w:t xml:space="preserve"> </w:t>
      </w:r>
      <w:r>
        <w:rPr>
          <w:rFonts w:ascii="Times New Roman" w:cs="Times New Roman" w:eastAsia="Times New Roman" w:hAnsi="Times New Roman"/>
          <w:b/>
          <w:bCs/>
          <w:i w:val="false"/>
          <w:iCs w:val="false"/>
          <w:sz w:val="28"/>
          <w:szCs w:val="28"/>
          <w:highlight w:val="yellow"/>
        </w:rPr>
        <w:t xml:space="preserve">CÔNG TY CỔ PHẦN GIẢI PHÁP CÔNG NGHỆ TURBO</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 (Điều lệ/Quyết định thành lập/Quy chế tổ chức và hoạt động);</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Quyết định số 05/2026/QĐ-TURBO phê duyệt kế hoạch đầu tư hệ thống CRM Online</w:t>
      </w:r>
      <w:r>
        <w:rPr>
          <w:rFonts w:ascii="Times New Roman" w:cs="Times New Roman" w:eastAsia="Times New Roman" w:hAnsi="Times New Roman"/>
          <w:b w:val="false"/>
          <w:bCs w:val="false"/>
          <w:i/>
          <w:iCs/>
          <w:sz w:val="26"/>
          <w:szCs w:val="26"/>
        </w:rPr>
        <w:t xml:space="preserve"> (quyết định đầu tư/phê duyệt dự án/kế hoạch thuê dịch vụ các HTTT, nếu có);</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Theo đề nghị của </w:t>
      </w:r>
      <w:r>
        <w:rPr>
          <w:rFonts w:ascii="Times New Roman" w:cs="Times New Roman" w:eastAsia="Times New Roman" w:hAnsi="Times New Roman"/>
          <w:b w:val="false"/>
          <w:bCs w:val="false"/>
          <w:i/>
          <w:iCs/>
          <w:sz w:val="26"/>
          <w:szCs w:val="26"/>
          <w:highlight w:val="yellow"/>
        </w:rPr>
        <w:t xml:space="preserve">Phòng An ninh mạng</w:t>
      </w:r>
      <w:r>
        <w:rPr>
          <w:rFonts w:ascii="Times New Roman" w:cs="Times New Roman" w:eastAsia="Times New Roman" w:hAnsi="Times New Roman"/>
          <w:b w:val="false"/>
          <w:bCs w:val="false"/>
          <w:i/>
          <w:iCs/>
          <w:sz w:val="26"/>
          <w:szCs w:val="26"/>
        </w:rPr>
        <w:t xml:space="preserve">.</w:t>
      </w:r>
    </w:p>
    <w:p>
      <w:pPr>
        <w:keepNext/>
        <w:spacing w:after="180" w:before="120" w:line="240" w:lineRule="auto"/>
        <w:jc w:val="center"/>
      </w:pPr>
      <w:r>
        <w:rPr>
          <w:rFonts w:ascii="Times New Roman" w:cs="Times New Roman" w:eastAsia="Times New Roman" w:hAnsi="Times New Roman"/>
          <w:b/>
          <w:bCs/>
          <w:i w:val="false"/>
          <w:iCs w:val="false"/>
          <w:sz w:val="28"/>
          <w:szCs w:val="28"/>
        </w:rPr>
        <w:t xml:space="preserve">QUYẾT ĐỊNH:</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1. Xác định chủ quản hệ thống thông tin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chủ quản hệ thống thông tin đối với các hệ thống thông tin nêu tại Phụ lục kèm theo Quyết định này, với tư cách là cấp có thẩm quyền quyết định đầu tư xây dựng, thiết lập, nâng cấp, mở rộng các hệ thống đó theo khoản 2 Điều 4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là người đứng đầu chủ quản hệ thống thông tin, trực tiếp chỉ đạo và chịu trách nhiệm trước pháp luật về công tác bảo vệ an ninh mạng theo khoản 1 Điều 31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2. Ủy quyền thực hiện trách nhiệm chủ quản</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(bỏ Điều này nếu dùng Biến thể 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Tổ chức được ủy quyền: </w:t>
      </w:r>
      <w:r>
        <w:rPr>
          <w:rFonts w:ascii="Times New Roman" w:cs="Times New Roman" w:eastAsia="Times New Roman" w:hAnsi="Times New Roman"/>
          <w:b w:val="false"/>
          <w:bCs w:val="false"/>
          <w:i w:val="false"/>
          <w:iCs w:val="false"/>
          <w:sz w:val="26"/>
          <w:szCs w:val="26"/>
          <w:highlight w:val="yellow"/>
        </w:rPr>
        <w:t xml:space="preserve">Công ty TNHH Vận hành Mẫu (công ty con)</w:t>
      </w:r>
      <w:r>
        <w:rPr>
          <w:rFonts w:ascii="Times New Roman" w:cs="Times New Roman" w:eastAsia="Times New Roman" w:hAnsi="Times New Roman"/>
          <w:b w:val="false"/>
          <w:bCs w:val="false"/>
          <w:i w:val="false"/>
          <w:iCs w:val="false"/>
          <w:sz w:val="26"/>
          <w:szCs w:val="26"/>
        </w:rPr>
        <w:t xml:space="preserve"> (địa chỉ: </w:t>
      </w:r>
      <w:r>
        <w:rPr>
          <w:rFonts w:ascii="Times New Roman" w:cs="Times New Roman" w:eastAsia="Times New Roman" w:hAnsi="Times New Roman"/>
          <w:b w:val="false"/>
          <w:bCs w:val="false"/>
          <w:i w:val="false"/>
          <w:iCs w:val="false"/>
          <w:sz w:val="26"/>
          <w:szCs w:val="26"/>
          <w:highlight w:val="yellow"/>
        </w:rPr>
        <w:t xml:space="preserve">Số 123 Đường Mẫu, Phường Mẫu, TP. Hồ Chí Minh</w:t>
      </w:r>
      <w:r>
        <w:rPr>
          <w:rFonts w:ascii="Times New Roman" w:cs="Times New Roman" w:eastAsia="Times New Roman" w:hAnsi="Times New Roman"/>
          <w:b w:val="false"/>
          <w:bCs w:val="false"/>
          <w:i w:val="false"/>
          <w:iCs w:val="false"/>
          <w:sz w:val="26"/>
          <w:szCs w:val="26"/>
        </w:rPr>
        <w:t xml:space="preserve">; người đại diện: </w:t>
      </w:r>
      <w:r>
        <w:rPr>
          <w:rFonts w:ascii="Times New Roman" w:cs="Times New Roman" w:eastAsia="Times New Roman" w:hAnsi="Times New Roman"/>
          <w:b w:val="false"/>
          <w:bCs w:val="false"/>
          <w:i w:val="false"/>
          <w:iCs w:val="false"/>
          <w:sz w:val="26"/>
          <w:szCs w:val="26"/>
          <w:highlight w:val="yellow"/>
        </w:rPr>
        <w:t xml:space="preserve">Nguyễn Văn An</w:t>
      </w:r>
      <w:r>
        <w:rPr>
          <w:rFonts w:ascii="Times New Roman" w:cs="Times New Roman" w:eastAsia="Times New Roman" w:hAnsi="Times New Roman"/>
          <w:b w:val="false"/>
          <w:bCs w:val="false"/>
          <w:i w:val="false"/>
          <w:iCs w:val="false"/>
          <w:sz w:val="26"/>
          <w:szCs w:val="26"/>
        </w:rPr>
        <w:t xml:space="preserve">, chức vụ: </w:t>
      </w:r>
      <w:r>
        <w:rPr>
          <w:rFonts w:ascii="Times New Roman" w:cs="Times New Roman" w:eastAsia="Times New Roman" w:hAnsi="Times New Roman"/>
          <w:b w:val="false"/>
          <w:bCs w:val="false"/>
          <w:i w:val="false"/>
          <w:iCs w:val="false"/>
          <w:sz w:val="26"/>
          <w:szCs w:val="26"/>
          <w:highlight w:val="yellow"/>
        </w:rPr>
        <w:t xml:space="preserve">Tổng Giám đốc</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Phạm vi hệ thống được ủy quyền: </w:t>
      </w:r>
      <w:r>
        <w:rPr>
          <w:rFonts w:ascii="Times New Roman" w:cs="Times New Roman" w:eastAsia="Times New Roman" w:hAnsi="Times New Roman"/>
          <w:b w:val="false"/>
          <w:bCs w:val="false"/>
          <w:i w:val="false"/>
          <w:iCs w:val="false"/>
          <w:sz w:val="26"/>
          <w:szCs w:val="26"/>
          <w:highlight w:val="yellow"/>
        </w:rPr>
        <w:t xml:space="preserve">Cổng thông tin nội bộ (Intranet)</w:t>
      </w:r>
      <w:r>
        <w:rPr>
          <w:rFonts w:ascii="Times New Roman" w:cs="Times New Roman" w:eastAsia="Times New Roman" w:hAnsi="Times New Roman"/>
          <w:b w:val="false"/>
          <w:bCs w:val="false"/>
          <w:i w:val="false"/>
          <w:iCs w:val="false"/>
          <w:sz w:val="26"/>
          <w:szCs w:val="26"/>
        </w:rPr>
        <w:t xml:space="preserve"> (chi tiết tại cột "Ủy quyền" của Phụ lục).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Nội dung ủy quyền — thay mặt chủ quản thực hiện các trách nhiệm tại khoản 2 Điều 31 Nghị định số 331/2026/NĐ-CP, gồm:</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a) Chỉ đạo đơn vị vận hành xác định, lập hồ sơ đề xuất cấp độ; tổ chức thẩm định và phê duyệt hồ sơ đề xuất cấp độ theo thẩm quyền của chủ quản </w:t>
      </w:r>
      <w:r>
        <w:rPr>
          <w:rFonts w:ascii="Times New Roman" w:cs="Times New Roman" w:eastAsia="Times New Roman" w:hAnsi="Times New Roman"/>
          <w:b w:val="false"/>
          <w:bCs w:val="false"/>
          <w:i/>
          <w:iCs/>
          <w:sz w:val="26"/>
          <w:szCs w:val="26"/>
        </w:rPr>
        <w:t xml:space="preserve">(ghi rõ: có/không bao gồm quyền ký Quyết định phê duyệt cấp độ theo Mẫu số 06 và Quyết định phê duyệt phương án theo Mẫu số 07)</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b) Chỉ đạo, tổ chức thực hiện đầy đủ các nhiệm vụ, biện pháp bảo vệ an ninh mạng đối với các hệ thống thuộc phạm vi ủy quyền;</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c) Chỉ đạo, tổ chức kiểm tra, đánh giá an ninh mạng và quản lý rủi ro an ninh mạng; bảo đảm tính trung thực, đầy đủ, chính xác của kết quả đánh giá;</w:t>
      </w:r>
    </w:p>
    <w:p>
      <w:pPr>
        <w:spacing w:after="120" w:before="0" w:line="276" w:lineRule="auto"/>
        <w:ind w:firstLine="850"/>
        <w:jc w:val="both"/>
      </w:pPr>
      <w:r>
        <w:rPr>
          <w:rFonts w:ascii="Times New Roman" w:cs="Times New Roman" w:eastAsia="Times New Roman" w:hAnsi="Times New Roman"/>
          <w:b w:val="false"/>
          <w:bCs w:val="false"/>
          <w:i w:val="false"/>
          <w:iCs w:val="false"/>
          <w:sz w:val="26"/>
          <w:szCs w:val="26"/>
        </w:rPr>
        <w:t xml:space="preserve">d) Báo cáo sự cố an ninh mạng với cơ quan chuyên trách của Bộ Công an theo điểm d khoản 2 Điều 31 Nghị định số 331/2026/NĐ-CP, đồng thời báo cáo ngay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Nội dung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ủy quyền: trách nhiệm của người đứng đầu tại khoản 1 Điều 31 Nghị định số 331/2026/NĐ-CP; việc phê duyệt Quy chế bảo đảm an ninh mạng </w:t>
      </w:r>
      <w:r>
        <w:rPr>
          <w:rFonts w:ascii="Times New Roman" w:cs="Times New Roman" w:eastAsia="Times New Roman" w:hAnsi="Times New Roman"/>
          <w:b w:val="false"/>
          <w:bCs w:val="false"/>
          <w:i/>
          <w:iCs/>
          <w:sz w:val="26"/>
          <w:szCs w:val="26"/>
        </w:rPr>
        <w:t xml:space="preserve">(hoặc: có ủy quyền — ghi rõ)</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việc phê duyệt cấp độ hệ thống thông tin</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Thời hạn ủy quyền: từ ngày </w:t>
      </w:r>
      <w:r>
        <w:rPr>
          <w:rFonts w:ascii="Times New Roman" w:cs="Times New Roman" w:eastAsia="Times New Roman" w:hAnsi="Times New Roman"/>
          <w:b w:val="false"/>
          <w:bCs w:val="false"/>
          <w:i w:val="false"/>
          <w:iCs w:val="false"/>
          <w:sz w:val="26"/>
          <w:szCs w:val="26"/>
          <w:highlight w:val="yellow"/>
        </w:rPr>
        <w:t xml:space="preserve">07/9/2026</w:t>
      </w:r>
      <w:r>
        <w:rPr>
          <w:rFonts w:ascii="Times New Roman" w:cs="Times New Roman" w:eastAsia="Times New Roman" w:hAnsi="Times New Roman"/>
          <w:b w:val="false"/>
          <w:bCs w:val="false"/>
          <w:i w:val="false"/>
          <w:iCs w:val="false"/>
          <w:sz w:val="26"/>
          <w:szCs w:val="26"/>
        </w:rPr>
        <w:t xml:space="preserve"> đến ngày </w:t>
      </w:r>
      <w:r>
        <w:rPr>
          <w:rFonts w:ascii="Times New Roman" w:cs="Times New Roman" w:eastAsia="Times New Roman" w:hAnsi="Times New Roman"/>
          <w:b w:val="false"/>
          <w:bCs w:val="false"/>
          <w:i w:val="false"/>
          <w:iCs w:val="false"/>
          <w:sz w:val="26"/>
          <w:szCs w:val="26"/>
          <w:highlight w:val="yellow"/>
        </w:rPr>
        <w:t xml:space="preserve">25/9/2026</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iCs/>
          <w:sz w:val="26"/>
          <w:szCs w:val="26"/>
        </w:rPr>
        <w:t xml:space="preserve">(hoặc: đến khi có quyết định thay thế)</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Chế độ báo cáo của tổ chức được ủy quyền: định kỳ </w:t>
      </w:r>
      <w:r>
        <w:rPr>
          <w:rFonts w:ascii="Times New Roman" w:cs="Times New Roman" w:eastAsia="Times New Roman" w:hAnsi="Times New Roman"/>
          <w:b w:val="false"/>
          <w:bCs w:val="false"/>
          <w:i w:val="false"/>
          <w:iCs w:val="false"/>
          <w:sz w:val="26"/>
          <w:szCs w:val="26"/>
          <w:highlight w:val="yellow"/>
        </w:rPr>
        <w:t xml:space="preserve">06 tháng/lần</w:t>
      </w:r>
      <w:r>
        <w:rPr>
          <w:rFonts w:ascii="Times New Roman" w:cs="Times New Roman" w:eastAsia="Times New Roman" w:hAnsi="Times New Roman"/>
          <w:b w:val="false"/>
          <w:bCs w:val="false"/>
          <w:i w:val="false"/>
          <w:iCs w:val="false"/>
          <w:sz w:val="26"/>
          <w:szCs w:val="26"/>
        </w:rPr>
        <w:t xml:space="preserve"> và đột xuất khi có sự cố nghiêm trọng; báo cáo năm trước ngày </w:t>
      </w:r>
      <w:r>
        <w:rPr>
          <w:rFonts w:ascii="Times New Roman" w:cs="Times New Roman" w:eastAsia="Times New Roman" w:hAnsi="Times New Roman"/>
          <w:b w:val="false"/>
          <w:bCs w:val="false"/>
          <w:i w:val="false"/>
          <w:iCs w:val="false"/>
          <w:sz w:val="26"/>
          <w:szCs w:val="26"/>
          <w:highlight w:val="yellow"/>
        </w:rPr>
        <w:t xml:space="preserve">20/12</w:t>
      </w:r>
      <w:r>
        <w:rPr>
          <w:rFonts w:ascii="Times New Roman" w:cs="Times New Roman" w:eastAsia="Times New Roman" w:hAnsi="Times New Roman"/>
          <w:b w:val="false"/>
          <w:bCs w:val="false"/>
          <w:i w:val="false"/>
          <w:iCs w:val="false"/>
          <w:sz w:val="26"/>
          <w:szCs w:val="26"/>
        </w:rPr>
        <w:t xml:space="preserve"> để chủ quản tổng hợp gửi Bộ Công an trước ngày 25 tháng 12 (Điều 35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7.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vẫn chịu trách nhiệm về việc lựa chọn tổ chức được ủy quyền và giám sát việc thực hiện ủy quyền.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3.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Công ty TNHH Vận hành Mẫu (công ty con)</w:t>
      </w:r>
      <w:r>
        <w:rPr>
          <w:rFonts w:ascii="Times New Roman" w:cs="Times New Roman" w:eastAsia="Times New Roman" w:hAnsi="Times New Roman"/>
          <w:b w:val="false"/>
          <w:bCs w:val="false"/>
          <w:i w:val="false"/>
          <w:iCs w:val="false"/>
          <w:sz w:val="26"/>
          <w:szCs w:val="26"/>
        </w:rPr>
        <w:t xml:space="preserve"> có trách nhiệm bố trí nguồn lực, thực hiện nội dung được ủy quyền; không ủy quyền lại.</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có trách nhiệm tham mưu, đôn đốc, kiểm tra việc thực hiện Quyết định này.</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Điều 4. Hiệu lực và trách nhiệm thi hành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Quyết định này có hiệu lực từ ngày ký. </w:t>
      </w:r>
      <w:r>
        <w:rPr>
          <w:rFonts w:ascii="Times New Roman" w:cs="Times New Roman" w:eastAsia="Times New Roman" w:hAnsi="Times New Roman"/>
          <w:b w:val="false"/>
          <w:bCs w:val="false"/>
          <w:i w:val="false"/>
          <w:iCs w:val="false"/>
          <w:sz w:val="26"/>
          <w:szCs w:val="26"/>
          <w:highlight w:val="yellow"/>
        </w:rPr>
        <w:t xml:space="preserve">Không có văn bản bị thay thế</w:t>
      </w:r>
      <w:r>
        <w:rPr>
          <w:rFonts w:ascii="Times New Roman" w:cs="Times New Roman" w:eastAsia="Times New Roman" w:hAnsi="Times New Roman"/>
          <w:b w:val="false"/>
          <w:bCs w:val="false"/>
          <w:i w:val="false"/>
          <w:iCs w:val="false"/>
          <w:sz w:val="26"/>
          <w:szCs w:val="26"/>
        </w:rPr>
        <w:t xml:space="preserve"> (nếu có) hết hiệu lực.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An ninh mạng, Phòng Vận hành hệ thống, Ban Kiểm soát nội bộ, Phòng Pháp chế, Phòng Hành chính – Nhân sự</w:t>
      </w:r>
      <w:r>
        <w:rPr>
          <w:rFonts w:ascii="Times New Roman" w:cs="Times New Roman" w:eastAsia="Times New Roman" w:hAnsi="Times New Roman"/>
          <w:b w:val="false"/>
          <w:bCs w:val="false"/>
          <w:i w:val="false"/>
          <w:iCs w:val="false"/>
          <w:sz w:val="26"/>
          <w:szCs w:val="26"/>
        </w:rPr>
        <w:t xml:space="preserve"> và các cá nhân liên quan chịu trách nhiệm thi hành Quyết định này.</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val="false"/>
                <w:bCs w:val="false"/>
                <w:i/>
                <w:iCs/>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Điều 4;</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Công ty TNHH Vận hành Mẫu (công ty con)</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An ninh mạng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PANM</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TỔNG GIÁM ĐỐC</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 đóng dấu)</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Nguyễn Văn An</w:t>
            </w:r>
          </w:p>
        </w:tc>
      </w:tr>
    </w:tbl>
    <w:p>
      <w:pPr>
        <w:keepNext/>
        <w:spacing w:after="120" w:before="180" w:line="240" w:lineRule="auto"/>
        <w:jc w:val="center"/>
      </w:pPr>
      <w:r>
        <w:rPr>
          <w:rFonts w:ascii="Times New Roman" w:cs="Times New Roman" w:eastAsia="Times New Roman" w:hAnsi="Times New Roman"/>
          <w:b/>
          <w:bCs/>
          <w:i w:val="false"/>
          <w:iCs w:val="false"/>
          <w:caps w:val="false"/>
          <w:sz w:val="26"/>
          <w:szCs w:val="26"/>
        </w:rPr>
        <w:t xml:space="preserve">Phụ lục — Danh mục HTTT thuộc chủ quản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30"/>
        <w:gridCol w:w="1274"/>
        <w:gridCol w:w="1372"/>
        <w:gridCol w:w="1201"/>
        <w:gridCol w:w="915"/>
        <w:gridCol w:w="2143"/>
        <w:gridCol w:w="1490"/>
      </w:tblGrid>
      <w:tr>
        <w:trPr>
          <w:cantSplit/>
          <w:tblHeader/>
        </w:trPr>
        <w:tc>
          <w:tcPr>
            <w:tcW w:type="dxa" w:w="6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STT</w:t>
            </w:r>
          </w:p>
        </w:tc>
        <w:tc>
          <w:tcPr>
            <w:tcW w:type="dxa" w:w="12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Tên HTTT</w:t>
            </w:r>
          </w:p>
        </w:tc>
        <w:tc>
          <w:tcPr>
            <w:tcW w:type="dxa" w:w="13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Loại hình (NĐ 331 Đ9.2)</w:t>
            </w:r>
          </w:p>
        </w:tc>
        <w:tc>
          <w:tcPr>
            <w:tcW w:type="dxa" w:w="120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Cấp độ (đề xuất/đã duyệt)</w:t>
            </w:r>
          </w:p>
        </w:tc>
        <w:tc>
          <w:tcPr>
            <w:tcW w:type="dxa" w:w="9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Đơn vị vận hành</w:t>
            </w:r>
          </w:p>
        </w:tc>
        <w:tc>
          <w:tcPr>
            <w:tcW w:type="dxa" w:w="21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Quyết định đầu tư/căn cứ</w:t>
            </w:r>
          </w:p>
        </w:tc>
        <w:tc>
          <w:tcPr>
            <w:tcW w:type="dxa" w:w="14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0"/>
                <w:szCs w:val="20"/>
              </w:rPr>
              <w:t xml:space="preserve">Ủy quyền (Có/Không — tổ chức)</w:t>
            </w:r>
          </w:p>
        </w:tc>
      </w:tr>
      <w:tr>
        <w:trPr>
          <w:cantSplit/>
          <w:tblHeader w:val="false"/>
        </w:trPr>
        <w:tc>
          <w:tcPr>
            <w:tcW w:type="dxa" w:w="6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Hệ thống quản lý khách hàng trực tuyến (CRM Online)</w:t>
            </w:r>
          </w:p>
        </w:tc>
        <w:tc>
          <w:tcPr>
            <w:tcW w:type="dxa" w:w="13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Loại b – phục vụ người dân, doanh nghiệp (Đ9.2.b)</w:t>
            </w:r>
          </w:p>
        </w:tc>
        <w:tc>
          <w:tcPr>
            <w:tcW w:type="dxa" w:w="120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3</w:t>
            </w:r>
          </w:p>
        </w:tc>
        <w:tc>
          <w:tcPr>
            <w:tcW w:type="dxa" w:w="9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Phòng Vận hành hệ thống</w:t>
            </w:r>
          </w:p>
        </w:tc>
        <w:tc>
          <w:tcPr>
            <w:tcW w:type="dxa" w:w="21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Quyết định số 05/2026/QĐ-TURBO</w:t>
            </w:r>
          </w:p>
        </w:tc>
        <w:tc>
          <w:tcPr>
            <w:tcW w:type="dxa" w:w="14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0"/>
                <w:szCs w:val="20"/>
                <w:highlight w:val="yellow"/>
              </w:rPr>
              <w:t xml:space="preserve">Không</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Quyết định xác định chủ quản HTTT và ủy quyền thực hiện trách nhiệm chủ quản</dc:title>
  <dc:creator>vn-cyber-compliance</dc:creator>
  <cp:lastModifiedBy>Un-named</cp:lastModifiedBy>
  <cp:revision>1</cp:revision>
  <dcterms:created xsi:type="dcterms:W3CDTF">2026-09-25T02:31:04.421Z</dcterms:created>
  <dcterms:modified xsi:type="dcterms:W3CDTF">2026-09-25T02:31:04.421Z</dcterms:modified>
</cp:coreProperties>
</file>

<file path=docProps/custom.xml><?xml version="1.0" encoding="utf-8"?>
<Properties xmlns="http://schemas.openxmlformats.org/officeDocument/2006/custom-properties" xmlns:vt="http://schemas.openxmlformats.org/officeDocument/2006/docPropsVTypes"/>
</file>