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01/2026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08</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09</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ban hành Quy chế bảo đảm an ninh mạng hệ thống thông tin</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330/2026/NĐ-CP ngày 19 tháng 8 năm 2026 của Chính phủ quy định xử phạt vi phạm hành chính trong lĩnh vực an ninh mạng và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Quyết định số </w:t>
      </w:r>
      <w:r>
        <w:rPr>
          <w:rFonts w:ascii="Times New Roman" w:cs="Times New Roman" w:eastAsia="Times New Roman" w:hAnsi="Times New Roman"/>
          <w:b w:val="false"/>
          <w:bCs w:val="false"/>
          <w:i/>
          <w:iCs/>
          <w:sz w:val="26"/>
          <w:szCs w:val="26"/>
          <w:highlight w:val="yellow"/>
        </w:rPr>
        <w:t xml:space="preserve">16/2026/QĐ-TURBO</w:t>
      </w:r>
      <w:r>
        <w:rPr>
          <w:rFonts w:ascii="Times New Roman" w:cs="Times New Roman" w:eastAsia="Times New Roman" w:hAnsi="Times New Roman"/>
          <w:b w:val="false"/>
          <w:bCs w:val="false"/>
          <w:i/>
          <w:iCs/>
          <w:sz w:val="26"/>
          <w:szCs w:val="26"/>
        </w:rPr>
        <w:t xml:space="preserve"> về việc thành lập (chỉ định) đơn vị (bộ phận) chuyên trách về an ninh mạng.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ký ban hành Quy chế bảo đảm an ninh mạng hệ thống thông tin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Luật 116 là Luật An ninh mạng; NĐ 330, NĐ 331 là các Nghị định số 330/2026/NĐ-CP, 331/2026/NĐ-CP; ANM là an ninh mạng; HTTT là hệ thống thông tin. "Đ30.7" nghĩa là khoản 7 Điều 30.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Cơ sở pháp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Ban hành quy định về bảo đảm ANM trong thiết kế, xây dựng, quản lý, vận hành, sử dụng, nâng cấp, hủy bỏ HTTT là một biện pháp bảo vệ ANM đối với HTTT (Luật 116 Đ10.2.a; NĐ 331 Đ28.1). Chủ quản HTTT cấp 3, cấp 4 bắt buộc áp dụng biện pháp này (Luật 116 Đ10.4).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Quy chế bảo đảm ANM phải đáp ứng yêu cầu an toàn về quản lý theo cấp độ, và phải được cấp có thẩm quyền phê duyệt, ban hành </w:t>
      </w:r>
      <w:r>
        <w:rPr>
          <w:rFonts w:ascii="Times New Roman" w:cs="Times New Roman" w:eastAsia="Times New Roman" w:hAnsi="Times New Roman"/>
          <w:b/>
          <w:bCs/>
          <w:i w:val="false"/>
          <w:iCs w:val="false"/>
          <w:sz w:val="26"/>
          <w:szCs w:val="26"/>
        </w:rPr>
        <w:t xml:space="preserve">trước khi hồ sơ đề xuất cấp độ được phê duyệt</w:t>
      </w:r>
      <w:r>
        <w:rPr>
          <w:rFonts w:ascii="Times New Roman" w:cs="Times New Roman" w:eastAsia="Times New Roman" w:hAnsi="Times New Roman"/>
          <w:b w:val="false"/>
          <w:bCs w:val="false"/>
          <w:i w:val="false"/>
          <w:iCs w:val="false"/>
          <w:sz w:val="26"/>
          <w:szCs w:val="26"/>
        </w:rPr>
        <w:t xml:space="preserve"> (NĐ 331 Đ30.7).</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Yêu cầu cơ bản về quản lý gồm 07 nhóm: chính sách ANM; tổ chức bảo đảm ANM; bảo đảm nguồn nhân lực; quản lý thiết kế, xây dựng; quản lý vận hành; phương án quản lý rủi ro; phương án kết thúc vận hành, thanh lý, hủy bỏ (NĐ 331 Đ30.3).</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Khi kiểm tra, cơ quan chức năng đánh giá tính đầy đủ, phù hợp của Quy chế và việc tuân thủ Quy chế (NĐ 331 Đ27.2.a–b). Danh sách HTTT có Quy chế và thông tin Quyết định ban hành Quy chế là nội dung bắt buộc của báo cáo năm (NĐ 331 Đ36.6, Đ36.7, Đ36.11).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Hiện trạng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hiện có </w:t>
      </w:r>
      <w:r>
        <w:rPr>
          <w:rFonts w:ascii="Times New Roman" w:cs="Times New Roman" w:eastAsia="Times New Roman" w:hAnsi="Times New Roman"/>
          <w:b w:val="false"/>
          <w:bCs w:val="false"/>
          <w:i w:val="false"/>
          <w:iCs w:val="false"/>
          <w:sz w:val="26"/>
          <w:szCs w:val="26"/>
          <w:highlight w:val="yellow"/>
        </w:rPr>
        <w:t xml:space="preserve">Quy định sử dụng máy tính và thư điện tử (ban hành năm 2022)</w:t>
      </w:r>
      <w:r>
        <w:rPr>
          <w:rFonts w:ascii="Times New Roman" w:cs="Times New Roman" w:eastAsia="Times New Roman" w:hAnsi="Times New Roman"/>
          <w:b w:val="false"/>
          <w:bCs w:val="false"/>
          <w:i w:val="false"/>
          <w:iCs w:val="false"/>
          <w:sz w:val="26"/>
          <w:szCs w:val="26"/>
        </w:rPr>
        <w:t xml:space="preserve">. Các quy định này chưa bao quát đủ 07 nhóm yêu cầu quản lý nêu trên và chưa gắn với cấp độ của từng HTTT. Hồ sơ đề xuất cấp độ của HTTT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dự kiến trình phê duyệt vào </w:t>
      </w:r>
      <w:r>
        <w:rPr>
          <w:rFonts w:ascii="Times New Roman" w:cs="Times New Roman" w:eastAsia="Times New Roman" w:hAnsi="Times New Roman"/>
          <w:b w:val="false"/>
          <w:bCs w:val="false"/>
          <w:i w:val="false"/>
          <w:iCs w:val="false"/>
          <w:sz w:val="26"/>
          <w:szCs w:val="26"/>
          <w:highlight w:val="yellow"/>
        </w:rPr>
        <w:t xml:space="preserve">30/10/2026</w:t>
      </w:r>
      <w:r>
        <w:rPr>
          <w:rFonts w:ascii="Times New Roman" w:cs="Times New Roman" w:eastAsia="Times New Roman" w:hAnsi="Times New Roman"/>
          <w:b w:val="false"/>
          <w:bCs w:val="false"/>
          <w:i w:val="false"/>
          <w:iCs w:val="false"/>
          <w:sz w:val="26"/>
          <w:szCs w:val="26"/>
        </w:rPr>
        <w:t xml:space="preserve">, nên Quy chế cần được ban hành trước thời điểm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Rủi ro nếu không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564"/>
        <w:gridCol w:w="1588"/>
        <w:gridCol w:w="3873"/>
      </w:tblGrid>
      <w:tr>
        <w:trPr>
          <w:cantSplit/>
          <w:tblHeader/>
        </w:trPr>
        <w:tc>
          <w:tcPr>
            <w:tcW w:type="dxa" w:w="35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Hành vi hoặc hệ quả</w:t>
            </w:r>
          </w:p>
        </w:tc>
        <w:tc>
          <w:tcPr>
            <w:tcW w:type="dxa" w:w="15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38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phạt tổ chức hoặc hệ quả</w:t>
            </w:r>
          </w:p>
        </w:tc>
      </w:tr>
      <w:tr>
        <w:trPr>
          <w:cantSplit/>
          <w:tblHeader w:val="false"/>
        </w:trPr>
        <w:tc>
          <w:tcPr>
            <w:tcW w:type="dxa" w:w="3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ban hành quy định về bảo đảm ANM trong thiết kế, xây dựng, quản lý, vận hành, sử dụng, nâng cấp, hủy bỏ HTTT</w:t>
            </w:r>
          </w:p>
        </w:tc>
        <w:tc>
          <w:tcPr>
            <w:tcW w:type="dxa" w:w="15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Đ23.1.a</w:t>
            </w:r>
          </w:p>
        </w:tc>
        <w:tc>
          <w:tcPr>
            <w:tcW w:type="dxa" w:w="3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 đồng</w:t>
            </w:r>
          </w:p>
        </w:tc>
      </w:tr>
      <w:tr>
        <w:trPr>
          <w:cantSplit/>
          <w:tblHeader w:val="false"/>
        </w:trPr>
        <w:tc>
          <w:tcPr>
            <w:tcW w:type="dxa" w:w="3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Biện pháp khắc phục hậu quả kèm theo</w:t>
            </w:r>
          </w:p>
        </w:tc>
        <w:tc>
          <w:tcPr>
            <w:tcW w:type="dxa" w:w="15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Đ23.4</w:t>
            </w:r>
          </w:p>
        </w:tc>
        <w:tc>
          <w:tcPr>
            <w:tcW w:type="dxa" w:w="3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Buộc khôi phục tình trạng ban đầu, khắc phục tình trạng mất ANM, loại bỏ yếu tố vi phạm</w:t>
            </w:r>
          </w:p>
        </w:tc>
      </w:tr>
      <w:tr>
        <w:trPr>
          <w:cantSplit/>
          <w:tblHeader w:val="false"/>
        </w:trPr>
        <w:tc>
          <w:tcPr>
            <w:tcW w:type="dxa" w:w="3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Tái phạm (nếu tổ chức có Giấy phép thiết lập trang thông tin điện tử tổng hợp)</w:t>
            </w:r>
          </w:p>
        </w:tc>
        <w:tc>
          <w:tcPr>
            <w:tcW w:type="dxa" w:w="15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Đ23.3</w:t>
            </w:r>
          </w:p>
        </w:tc>
        <w:tc>
          <w:tcPr>
            <w:tcW w:type="dxa" w:w="3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Tước quyền sử dụng giấy phép từ 01 đến 06 tháng</w:t>
            </w:r>
          </w:p>
        </w:tc>
      </w:tr>
      <w:tr>
        <w:trPr>
          <w:cantSplit/>
          <w:tblHeader w:val="false"/>
        </w:trPr>
        <w:tc>
          <w:tcPr>
            <w:tcW w:type="dxa" w:w="3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Chưa có Quy chế</w:t>
            </w:r>
          </w:p>
        </w:tc>
        <w:tc>
          <w:tcPr>
            <w:tcW w:type="dxa" w:w="15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Đ30.7</w:t>
            </w:r>
          </w:p>
        </w:tc>
        <w:tc>
          <w:tcPr>
            <w:tcW w:type="dxa" w:w="3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Chưa đủ điều kiện phê duyệt hồ sơ đề xuất cấp độ. Do đó chưa thể đưa HTTT cấp 3 trở lên vào vận hành hợp lệ (vi phạm NĐ 330 Đ23.1.c, 40–60 triệu đồng)</w:t>
            </w:r>
          </w:p>
        </w:tc>
      </w:tr>
      <w:tr>
        <w:trPr>
          <w:cantSplit/>
          <w:tblHeader w:val="false"/>
        </w:trPr>
        <w:tc>
          <w:tcPr>
            <w:tcW w:type="dxa" w:w="35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Giám sát người lao động (phần mềm theo dõi thiết bị, camera, thu thập nhật ký) mà không thông báo cho người lao động</w:t>
            </w:r>
          </w:p>
        </w:tc>
        <w:tc>
          <w:tcPr>
            <w:tcW w:type="dxa" w:w="15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Đ61.2.c</w:t>
            </w:r>
          </w:p>
        </w:tc>
        <w:tc>
          <w:tcPr>
            <w:tcW w:type="dxa" w:w="38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50–70 triệu đồng (lĩnh vực dữ liệu cá nhân)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phạt về ANM ghi trong điều khoản là mức cho cá nhân; tổ chức bị phạt gấp hai lần. Mức phạt về dữ liệu cá nhân ghi trong điều khoản là mức cho tổ chức (NĐ 330 Đ7.1). Bảng trên đã quy đổi ra mức cho tổ chức.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Bố cục dự thảo Quy chế:</w:t>
      </w:r>
      <w:r>
        <w:rPr>
          <w:rFonts w:ascii="Times New Roman" w:cs="Times New Roman" w:eastAsia="Times New Roman" w:hAnsi="Times New Roman"/>
          <w:b w:val="false"/>
          <w:bCs w:val="false"/>
          <w:i w:val="false"/>
          <w:iCs w:val="false"/>
          <w:sz w:val="26"/>
          <w:szCs w:val="26"/>
        </w:rPr>
        <w:t xml:space="preserve"> gồm </w:t>
      </w:r>
      <w:r>
        <w:rPr>
          <w:rFonts w:ascii="Times New Roman" w:cs="Times New Roman" w:eastAsia="Times New Roman" w:hAnsi="Times New Roman"/>
          <w:b w:val="false"/>
          <w:bCs w:val="false"/>
          <w:i w:val="false"/>
          <w:iCs w:val="false"/>
          <w:sz w:val="26"/>
          <w:szCs w:val="26"/>
          <w:highlight w:val="yellow"/>
        </w:rPr>
        <w:t xml:space="preserve">09</w:t>
      </w:r>
      <w:r>
        <w:rPr>
          <w:rFonts w:ascii="Times New Roman" w:cs="Times New Roman" w:eastAsia="Times New Roman" w:hAnsi="Times New Roman"/>
          <w:b w:val="false"/>
          <w:bCs w:val="false"/>
          <w:i w:val="false"/>
          <w:iCs w:val="false"/>
          <w:sz w:val="26"/>
          <w:szCs w:val="26"/>
        </w:rPr>
        <w:t xml:space="preserve"> chương, </w:t>
      </w:r>
      <w:r>
        <w:rPr>
          <w:rFonts w:ascii="Times New Roman" w:cs="Times New Roman" w:eastAsia="Times New Roman" w:hAnsi="Times New Roman"/>
          <w:b w:val="false"/>
          <w:bCs w:val="false"/>
          <w:i w:val="false"/>
          <w:iCs w:val="false"/>
          <w:sz w:val="26"/>
          <w:szCs w:val="26"/>
          <w:highlight w:val="yellow"/>
        </w:rPr>
        <w:t xml:space="preserve">43</w:t>
      </w:r>
      <w:r>
        <w:rPr>
          <w:rFonts w:ascii="Times New Roman" w:cs="Times New Roman" w:eastAsia="Times New Roman" w:hAnsi="Times New Roman"/>
          <w:b w:val="false"/>
          <w:bCs w:val="false"/>
          <w:i w:val="false"/>
          <w:iCs w:val="false"/>
          <w:sz w:val="26"/>
          <w:szCs w:val="26"/>
        </w:rPr>
        <w:t xml:space="preserve"> điều và các phụ lục: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30"/>
        <w:gridCol w:w="4768"/>
        <w:gridCol w:w="3027"/>
      </w:tblGrid>
      <w:tr>
        <w:trPr>
          <w:cantSplit/>
          <w:tblHeader/>
        </w:trPr>
        <w:tc>
          <w:tcPr>
            <w:tcW w:type="dxa" w:w="12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Chương</w:t>
            </w:r>
          </w:p>
        </w:tc>
        <w:tc>
          <w:tcPr>
            <w:tcW w:type="dxa" w:w="47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30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I</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định chung: phạm vi, đối tượng, nguyên tắc; danh mục HTTT áp dụng</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Đ6</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II</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Chính sách ANM</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Đ30.3.a</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III</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bảo đảm ANM: chủ quản, đơn vị chuyên trách, đơn vị vận hành, đơn vị đánh giá độc lập</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Đ30.3.b; Đ31–Đ33</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IV</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Bảo đảm nguồn nhân lực</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Đ30.3.c</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Quản lý thiết kế, xây dựng hệ thống</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Đ30.3.d</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VI</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Quản lý vận hành: tài sản, tài khoản, lỗ hổng, nhật ký, sao lưu, mã độc, mạng, giám sát, sự cố, nhà cung cấp</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Đ30.3.đ; TCVN 14423:2026</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VII</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Quản lý rủi ro ANM</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Đ10, Đ30.3.e</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VIII</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thúc vận hành, thanh lý, hủy bỏ</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Đ30.3.g</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IX</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thực hiện; kiểm tra, báo cáo; xử lý vi phạm</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Đ27, Đ35</w:t>
            </w:r>
          </w:p>
        </w:tc>
      </w:tr>
      <w:tr>
        <w:trPr>
          <w:cantSplit/>
          <w:tblHeader w:val="false"/>
        </w:trPr>
        <w:tc>
          <w:tcPr>
            <w:tcW w:type="dxa" w:w="1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Phụ lục</w:t>
            </w:r>
          </w:p>
        </w:tc>
        <w:tc>
          <w:tcPr>
            <w:tcW w:type="dxa" w:w="47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Bảng tham số theo cấp độ; danh mục quy trình, biểu mẫu; danh mục HTTT</w:t>
            </w:r>
          </w:p>
        </w:tc>
        <w:tc>
          <w:tcPr>
            <w:tcW w:type="dxa" w:w="3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Điểm mới cần lãnh đạo lưu 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Quy chế áp dụng cho toàn bộ HTTT. Tham số (chu kỳ rà soát, thời gian lưu nhật ký, tần suất kiểm thử…) khác nhau theo cấp độ của từng HTTT, được quy định tại Phụ lục 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Thời gian lưu nhật ký: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bằng mức cao nhất trong các quy định đang áp dụng cho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Việc giám sát ANM có thu thập dữ liệu về hoạt động của người lao động được thông báo công khai trong Quy chế và nội quy lao động.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Người lao động vi phạm Quy chế bị xử lý kỷ luật theo </w:t>
      </w:r>
      <w:r>
        <w:rPr>
          <w:rFonts w:ascii="Times New Roman" w:cs="Times New Roman" w:eastAsia="Times New Roman" w:hAnsi="Times New Roman"/>
          <w:b w:val="false"/>
          <w:bCs w:val="false"/>
          <w:i w:val="false"/>
          <w:iCs w:val="false"/>
          <w:sz w:val="26"/>
          <w:szCs w:val="26"/>
          <w:highlight w:val="yellow"/>
        </w:rPr>
        <w:t xml:space="preserve">Nội quy lao động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Quá trình soạn thảo:</w:t>
      </w:r>
      <w:r>
        <w:rPr>
          <w:rFonts w:ascii="Times New Roman" w:cs="Times New Roman" w:eastAsia="Times New Roman" w:hAnsi="Times New Roman"/>
          <w:b w:val="false"/>
          <w:bCs w:val="false"/>
          <w:i w:val="false"/>
          <w:iCs w:val="false"/>
          <w:sz w:val="26"/>
          <w:szCs w:val="26"/>
        </w:rPr>
        <w:t xml:space="preserve"> dự thảo đã được lấy ý kiến </w:t>
      </w:r>
      <w:r>
        <w:rPr>
          <w:rFonts w:ascii="Times New Roman" w:cs="Times New Roman" w:eastAsia="Times New Roman" w:hAnsi="Times New Roman"/>
          <w:b w:val="false"/>
          <w:bCs w:val="false"/>
          <w:i w:val="false"/>
          <w:iCs w:val="false"/>
          <w:sz w:val="26"/>
          <w:szCs w:val="26"/>
          <w:highlight w:val="yellow"/>
        </w:rPr>
        <w:t xml:space="preserve">Phòng Vận hành hệ thống, Phòng Pháp chế, Phòng Hành chính – Nhân sự, Phòng Tài chính – Kế toán và Ban Kiểm soát nội bộ</w:t>
      </w:r>
      <w:r>
        <w:rPr>
          <w:rFonts w:ascii="Times New Roman" w:cs="Times New Roman" w:eastAsia="Times New Roman" w:hAnsi="Times New Roman"/>
          <w:b w:val="false"/>
          <w:bCs w:val="false"/>
          <w:i w:val="false"/>
          <w:iCs w:val="false"/>
          <w:sz w:val="26"/>
          <w:szCs w:val="26"/>
        </w:rPr>
        <w:t xml:space="preserve">. Ý kiến đã được tiếp thu, giải trình tại bảng tổng hợp kèm theo.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Hiệu lực và rà soát:</w:t>
      </w:r>
      <w:r>
        <w:rPr>
          <w:rFonts w:ascii="Times New Roman" w:cs="Times New Roman" w:eastAsia="Times New Roman" w:hAnsi="Times New Roman"/>
          <w:b w:val="false"/>
          <w:bCs w:val="false"/>
          <w:i w:val="false"/>
          <w:iCs w:val="false"/>
          <w:sz w:val="26"/>
          <w:szCs w:val="26"/>
        </w:rPr>
        <w:t xml:space="preserve"> Quy chế có hiệu lực từ ngày ký.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rà soát, đề xuất sửa đổi Quy chế </w:t>
      </w:r>
      <w:r>
        <w:rPr>
          <w:rFonts w:ascii="Times New Roman" w:cs="Times New Roman" w:eastAsia="Times New Roman" w:hAnsi="Times New Roman"/>
          <w:b w:val="false"/>
          <w:bCs w:val="false"/>
          <w:i w:val="false"/>
          <w:iCs w:val="false"/>
          <w:sz w:val="26"/>
          <w:szCs w:val="26"/>
          <w:highlight w:val="yellow"/>
        </w:rPr>
        <w:t xml:space="preserve">01 lần/năm</w:t>
      </w:r>
      <w:r>
        <w:rPr>
          <w:rFonts w:ascii="Times New Roman" w:cs="Times New Roman" w:eastAsia="Times New Roman" w:hAnsi="Times New Roman"/>
          <w:b w:val="false"/>
          <w:bCs w:val="false"/>
          <w:i w:val="false"/>
          <w:iCs w:val="false"/>
          <w:sz w:val="26"/>
          <w:szCs w:val="26"/>
        </w:rPr>
        <w:t xml:space="preserve"> hoặc khi có thay đổi về pháp luật, cấp độ HTTT hoặc cơ cấu tổ chức.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4292"/>
        <w:gridCol w:w="1410"/>
        <w:gridCol w:w="265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42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4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Kinh phí dự kiến (đồng)</w:t>
            </w:r>
          </w:p>
        </w:tc>
        <w:tc>
          <w:tcPr>
            <w:tcW w:type="dxa" w:w="26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4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Soạn thảo, rà soát pháp lý (nội bộ hoặc thuê tư vấn)</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30.000.000</w:t>
            </w:r>
          </w:p>
        </w:tc>
        <w:tc>
          <w:tcPr>
            <w:tcW w:type="dxa" w:w="26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4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Phổ biến Quy chế cho toàn bộ người lao động</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15.000.000</w:t>
            </w:r>
          </w:p>
        </w:tc>
        <w:tc>
          <w:tcPr>
            <w:tcW w:type="dxa" w:w="26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Gộp với kế hoạch đào tạo năm</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4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Điều chỉnh nội quy lao động, hợp đồng với nhà cung cấp</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10.000.000</w:t>
            </w:r>
          </w:p>
        </w:tc>
        <w:tc>
          <w:tcPr>
            <w:tcW w:type="dxa" w:w="26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4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55.000.000</w:t>
            </w:r>
          </w:p>
        </w:tc>
        <w:tc>
          <w:tcPr>
            <w:tcW w:type="dxa" w:w="26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4597"/>
        <w:gridCol w:w="2345"/>
        <w:gridCol w:w="141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45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Công việc</w:t>
            </w:r>
          </w:p>
        </w:tc>
        <w:tc>
          <w:tcPr>
            <w:tcW w:type="dxa" w:w="23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chủ trì</w:t>
            </w:r>
          </w:p>
        </w:tc>
        <w:tc>
          <w:tcPr>
            <w:tcW w:type="dxa" w:w="14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Ký ban hành Quyết định và Quy chế</w:t>
            </w:r>
          </w:p>
        </w:tc>
        <w:tc>
          <w:tcPr>
            <w:tcW w:type="dxa" w:w="2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Tổng Giám đốc Công ty</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15/09/2026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Phổ biến Quy chế; người lao động ký xác nhận đã đọc</w:t>
            </w:r>
          </w:p>
        </w:tc>
        <w:tc>
          <w:tcPr>
            <w:tcW w:type="dxa" w:w="2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Hành chính – Nhân sự</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30/09/2026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Sửa đổi nội quy lao động, phụ lục hợp đồng với nhà cung cấp</w:t>
            </w:r>
          </w:p>
        </w:tc>
        <w:tc>
          <w:tcPr>
            <w:tcW w:type="dxa" w:w="2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Pháp chế</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45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Trình phê duyệt hồ sơ đề xuất cấp độ (sau khi đã ban hành Quy chế)</w:t>
            </w:r>
          </w:p>
        </w:tc>
        <w:tc>
          <w:tcPr>
            <w:tcW w:type="dxa" w:w="23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30/10/2026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hướng dẫn, đôn đốc, kiểm tra việc thực hiện Quy chế; rà soát Quy chế định kỳ.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áp dụng Quy chế trong vận hành các HTTT; lưu bằng chứng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phổ biến Quy chế; đưa nghĩa vụ ANM vào nội quy lao động, hợp đồng lao động.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rà soát pháp lý; cập nhật điều khoản ANM trong hợp đồng với nhà cung cấp.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Các đơn vị, người lao động: tuân thủ Quy chế.</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Ký ban hành Quyết định ban hành Quy chế bảo đảm an ninh mạng hệ thống thông tin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(dự thảo kèm theo).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Giao các đơn vị triển khai theo Mục IV và Mục V.</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Phê duyệt kinh phí </w:t>
      </w:r>
      <w:r>
        <w:rPr>
          <w:rFonts w:ascii="Times New Roman" w:cs="Times New Roman" w:eastAsia="Times New Roman" w:hAnsi="Times New Roman"/>
          <w:b w:val="false"/>
          <w:bCs w:val="false"/>
          <w:i w:val="false"/>
          <w:iCs w:val="false"/>
          <w:sz w:val="26"/>
          <w:szCs w:val="26"/>
          <w:highlight w:val="yellow"/>
        </w:rPr>
        <w:t xml:space="preserve">55.000.000 đồng</w:t>
      </w:r>
      <w:r>
        <w:rPr>
          <w:rFonts w:ascii="Times New Roman" w:cs="Times New Roman" w:eastAsia="Times New Roman" w:hAnsi="Times New Roman"/>
          <w:b w:val="false"/>
          <w:bCs w:val="false"/>
          <w:i w:val="false"/>
          <w:iCs w:val="false"/>
          <w:sz w:val="26"/>
          <w:szCs w:val="26"/>
        </w:rPr>
        <w:t xml:space="preserve"> từ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Bình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ban hành    ☐ Đồng ý, có điều chỉnh    ☐ Không đồng ý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ban hành Quy chế bảo đảm an ninh mạng</dc:title>
  <dc:creator>vn-cyber-compliance</dc:creator>
  <cp:lastModifiedBy>Un-named</cp:lastModifiedBy>
  <cp:revision>1</cp:revision>
  <dcterms:created xsi:type="dcterms:W3CDTF">2026-09-25T02:31:05.170Z</dcterms:created>
  <dcterms:modified xsi:type="dcterms:W3CDTF">2026-09-25T02:31:05.170Z</dcterms:modified>
</cp:coreProperties>
</file>

<file path=docProps/custom.xml><?xml version="1.0" encoding="utf-8"?>
<Properties xmlns="http://schemas.openxmlformats.org/officeDocument/2006/custom-properties" xmlns:vt="http://schemas.openxmlformats.org/officeDocument/2006/docPropsVTypes"/>
</file>