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06/2026</w:t>
            </w:r>
            <w:r>
              <w:rPr>
                <w:rFonts w:ascii="Times New Roman" w:cs="Times New Roman" w:eastAsia="Times New Roman" w:hAnsi="Times New Roman"/>
                <w:b w:val="false"/>
                <w:bCs w:val="false"/>
                <w:i w:val="false"/>
                <w:iCs w:val="false"/>
                <w:caps w:val="false"/>
                <w:sz w:val="26"/>
                <w:szCs w:val="26"/>
              </w:rPr>
              <w:t xml:space="preserve">/TTr-</w:t>
            </w:r>
            <w:r>
              <w:rPr>
                <w:rFonts w:ascii="Times New Roman" w:cs="Times New Roman" w:eastAsia="Times New Roman" w:hAnsi="Times New Roman"/>
                <w:b w:val="false"/>
                <w:bCs w:val="false"/>
                <w:i w:val="false"/>
                <w:iCs w:val="false"/>
                <w:caps w:val="false"/>
                <w:sz w:val="26"/>
                <w:szCs w:val="26"/>
                <w:highlight w:val="yellow"/>
              </w:rPr>
              <w:t xml:space="preserve">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01</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11</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Kế hoạch và kinh phí đào tạo, tuyên truyền, diễn tập an ninh mạng năm </w:t>
      </w:r>
      <w:r>
        <w:rPr>
          <w:rFonts w:ascii="Times New Roman" w:cs="Times New Roman" w:eastAsia="Times New Roman" w:hAnsi="Times New Roman"/>
          <w:b/>
          <w:bCs/>
          <w:i w:val="false"/>
          <w:iCs w:val="false"/>
          <w:sz w:val="26"/>
          <w:szCs w:val="26"/>
          <w:highlight w:val="yellow"/>
        </w:rPr>
        <w:t xml:space="preserve">2027</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333/2026/NĐ-CP ngày 19 tháng 8 năm 2026 của Chính phủ quy định chi tiết một số điều và biện pháp thi hành Luật An ninh mạng;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w:t>
      </w:r>
      <w:r>
        <w:rPr>
          <w:rFonts w:ascii="Times New Roman" w:cs="Times New Roman" w:eastAsia="Times New Roman" w:hAnsi="Times New Roman"/>
          <w:b w:val="false"/>
          <w:bCs w:val="false"/>
          <w:i/>
          <w:iCs/>
          <w:sz w:val="26"/>
          <w:szCs w:val="26"/>
          <w:highlight w:val="yellow"/>
        </w:rPr>
        <w:t xml:space="preserve">Điều lệ Công ty cổ phần Giải pháp Công nghệ TURBO</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18/2026/QĐ-TURBO ngày 15/9/2026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 Kế hoạch và kinh phí đào tạo, tuyên truyền, diễn tập ANM năm </w:t>
      </w:r>
      <w:r>
        <w:rPr>
          <w:rFonts w:ascii="Times New Roman" w:cs="Times New Roman" w:eastAsia="Times New Roman" w:hAnsi="Times New Roman"/>
          <w:b w:val="false"/>
          <w:bCs w:val="false"/>
          <w:i w:val="false"/>
          <w:iCs w:val="false"/>
          <w:sz w:val="26"/>
          <w:szCs w:val="26"/>
          <w:highlight w:val="yellow"/>
        </w:rPr>
        <w:t xml:space="preserve">2027</w:t>
      </w:r>
      <w:r>
        <w:rPr>
          <w:rFonts w:ascii="Times New Roman" w:cs="Times New Roman" w:eastAsia="Times New Roman" w:hAnsi="Times New Roman"/>
          <w:b w:val="false"/>
          <w:bCs w:val="false"/>
          <w:i w:val="false"/>
          <w:iCs w:val="false"/>
          <w:sz w:val="26"/>
          <w:szCs w:val="26"/>
        </w:rPr>
        <w:t xml:space="preserve"> như sau:</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 Luật 116 là Luật An ninh mạng; NĐ 330, NĐ 331, NĐ 333, NĐ 356 là các Nghị định số 330/2026/NĐ-CP, 331/2026/NĐ-CP, 333/2026/NĐ-CP, 356/2025/NĐ-CP; ANM là an ninh mạng; HTTT là hệ thống thông tin; BVDLCN là bảo vệ dữ liệu cá nhân; TCVN là TCVN 14423:2026. "Đ31.3" nghĩa là khoản 3 Điều 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SỰ CẦN THIẾT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Cơ sở pháp lý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a) Chủ quản HTTT chỉ đạo tổ chức tuyên truyền, nâng cao nhận thức về ANM và thường xuyên bồi dưỡng, cập nhật kỹ năng cho nhân sự liên quan, gồm: đào tạo ngắn hạn cho người làm về ANM; tuyên truyền, phổ biến cho người trong tổ chức; diễn tập bảo đảm ANM trong tổ chức; tham gia diễn tập quốc gia và quốc tế do Bộ Công an tổ chức (NĐ 331 Đ31.3). Tổ chức tuyên truyền, nâng cao nhận thức là một nhiệm vụ bảo vệ ANM đối với HTTT (Luật 116 Đ10.1.e).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 Việc tổ chức đào tạo, tuyên truyền, diễn tập là nội dung kiểm tra tuân thủ đối với chủ quản (NĐ 331 Đ27.1.a). Đơn vị chuyên trách ANM bảo đảm người thực hiện nhiệm vụ ANM đáp ứng tiêu chuẩn chuyên môn, nghiệp vụ (NĐ 331 Đ32.3).</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 Tập huấn kiến thức, kỹ năng chuyên sâu có cấp chứng nhận là </w:t>
      </w:r>
      <w:r>
        <w:rPr>
          <w:rFonts w:ascii="Times New Roman" w:cs="Times New Roman" w:eastAsia="Times New Roman" w:hAnsi="Times New Roman"/>
          <w:b/>
          <w:bCs/>
          <w:i w:val="false"/>
          <w:iCs w:val="false"/>
          <w:sz w:val="26"/>
          <w:szCs w:val="26"/>
        </w:rPr>
        <w:t xml:space="preserve">bắt buộc</w:t>
      </w:r>
      <w:r>
        <w:rPr>
          <w:rFonts w:ascii="Times New Roman" w:cs="Times New Roman" w:eastAsia="Times New Roman" w:hAnsi="Times New Roman"/>
          <w:b w:val="false"/>
          <w:bCs w:val="false"/>
          <w:i w:val="false"/>
          <w:iCs w:val="false"/>
          <w:sz w:val="26"/>
          <w:szCs w:val="26"/>
        </w:rPr>
        <w:t xml:space="preserve"> đối với người trực tiếp quản trị, vận hành HTTT cấp độ 3, 4, 5 trong cơ quan, tổ chức, doanh nghiệp Nhà nước, trừ người đã được đào tạo chuyên ngành ANM (Luật 116 Đ34.2). Chủ quản rà soát, bố trí kinh phí, tổ chức tập huấn trong 36 tháng kể từ ngày 19/8/2026 (NĐ 333 Đ24.8.b). Nội dung gồm khối kiến thức nền tảng và ít nhất một khối chuyên sâu (NĐ 333 Đ24.2–24.4).</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d) Tổ chức chỉ định nhân sự BVDLCN phải đào tạo, bồi dưỡng kiến thức, kỹ năng cho nhân sự này (NĐ 356 Đ13.6). Bộ phận BVDLCN xây dựng kế hoạch và triển khai đào tạo định kỳ về BVDLCN trong tổ chức (NĐ 356 Đ14.1.đ).</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 Theo TCVN, mọi cấp độ đều yêu cầu đào tạo nâng cao nhận thức ANM cho người dùng. HTTT cấp 3 phải diễn tập ứng phó sự cố định kỳ (mục 5.16). HTTT cấp 4, cấp 5 phải đào tạo chuyên môn theo vai trò và diễn tập ít nhất 01 lần/năm (mục 6.14, 6.17, 7.14, 7.17).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Kết quả năm trước</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536"/>
        <w:gridCol w:w="987"/>
        <w:gridCol w:w="830"/>
        <w:gridCol w:w="672"/>
      </w:tblGrid>
      <w:tr>
        <w:trPr>
          <w:cantSplit/>
          <w:tblHeader/>
        </w:trPr>
        <w:tc>
          <w:tcPr>
            <w:tcW w:type="dxa" w:w="653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9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 hoạch</w:t>
            </w:r>
          </w:p>
        </w:tc>
        <w:tc>
          <w:tcPr>
            <w:tcW w:type="dxa" w:w="8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Thực hiện</w:t>
            </w:r>
          </w:p>
        </w:tc>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nhận thức ANM (số người)</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112</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chuyên môn ANM (số người)</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04</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(số cuộc)</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02</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01</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53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Kiểm tra nhận thức, thử nghiệm lừa đảo qua thư điện tử (tỷ lệ đạt)</w:t>
            </w:r>
          </w:p>
        </w:tc>
        <w:tc>
          <w:tcPr>
            <w:tcW w:type="dxa" w:w="9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90%</w:t>
            </w:r>
          </w:p>
        </w:tc>
        <w:tc>
          <w:tcPr>
            <w:tcW w:type="dxa" w:w="8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85%</w:t>
            </w:r>
          </w:p>
        </w:tc>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3. Rủi ro nếu không thực hiện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NĐ 330 không quy định hành vi xử phạt riêng đối với việc không đào tạo, tuyên truyền ANM nói chung. Tuy nhiên: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783"/>
        <w:gridCol w:w="1820"/>
        <w:gridCol w:w="2422"/>
      </w:tblGrid>
      <w:tr>
        <w:trPr>
          <w:cantSplit/>
          <w:tblHeader/>
        </w:trPr>
        <w:tc>
          <w:tcPr>
            <w:tcW w:type="dxa" w:w="478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Hành vi</w:t>
            </w:r>
          </w:p>
        </w:tc>
        <w:tc>
          <w:tcPr>
            <w:tcW w:type="dxa" w:w="182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Căn cứ</w:t>
            </w:r>
          </w:p>
        </w:tc>
        <w:tc>
          <w:tcPr>
            <w:tcW w:type="dxa" w:w="242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tổ chức (đồng)</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triển khai đầy đủ biện pháp như hồ sơ đã được phê duyệt (phương án cấp 3–5 có nội dung đào tạo, diễn tập theo TCVN)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Đ23.1.d</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40–60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xây dựng Kế hoạch ứng phó sự cố bảo đảm ANM (diễn tập là cách kiểm chứng kế hoạch)</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Đ21.3.d</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60–100 triệu</w:t>
            </w:r>
          </w:p>
        </w:tc>
      </w:tr>
      <w:tr>
        <w:trPr>
          <w:cantSplit/>
          <w:tblHeader w:val="false"/>
        </w:trPr>
        <w:tc>
          <w:tcPr>
            <w:tcW w:type="dxa" w:w="478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Không tổ chức đào tạo, bồi dưỡng cho nhân sự BVDLCN</w:t>
            </w:r>
          </w:p>
        </w:tc>
        <w:tc>
          <w:tcPr>
            <w:tcW w:type="dxa" w:w="182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NĐ 330 Đ57.1.b</w:t>
            </w:r>
          </w:p>
        </w:tc>
        <w:tc>
          <w:tcPr>
            <w:tcW w:type="dxa" w:w="242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Cảnh cáo hoặc 10–20 triệu</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ANM trong NĐ 330 là mức cho cá nhân, tổ chức bị phạt gấp hai lần. Mức phạt BVDLCN là mức cho tổ chức (NĐ 330 Đ7.1). Bảng trên đã quy đổi.</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NỘI DUNG ĐỀ XUẤT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1. Đào tạo, tuyên truyền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30"/>
        <w:gridCol w:w="1758"/>
        <w:gridCol w:w="2174"/>
        <w:gridCol w:w="1421"/>
        <w:gridCol w:w="1453"/>
        <w:gridCol w:w="1589"/>
      </w:tblGrid>
      <w:tr>
        <w:trPr>
          <w:cantSplit/>
          <w:tblHeader/>
        </w:trPr>
        <w:tc>
          <w:tcPr>
            <w:tcW w:type="dxa" w:w="63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STT</w:t>
            </w:r>
          </w:p>
        </w:tc>
        <w:tc>
          <w:tcPr>
            <w:tcW w:type="dxa" w:w="175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Đối tượng</w:t>
            </w:r>
          </w:p>
        </w:tc>
        <w:tc>
          <w:tcPr>
            <w:tcW w:type="dxa" w:w="217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Nội dung</w:t>
            </w:r>
          </w:p>
        </w:tc>
        <w:tc>
          <w:tcPr>
            <w:tcW w:type="dxa" w:w="142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Hình thức</w:t>
            </w:r>
          </w:p>
        </w:tc>
        <w:tc>
          <w:tcPr>
            <w:tcW w:type="dxa" w:w="145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Tần suất, thời lượng</w:t>
            </w:r>
          </w:p>
        </w:tc>
        <w:tc>
          <w:tcPr>
            <w:tcW w:type="dxa" w:w="158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0"/>
                <w:szCs w:val="20"/>
              </w:rPr>
              <w:t xml:space="preserve">Căn cứ</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Toàn bộ người lao động</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Nhận thức ANM; Quy chế bảo đảm ANM; nhận diện lừa đảo; báo cáo sự cố</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Trực tuyến, kèm bài kiểm tra</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02 giờ</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Đ31.3; TCVN 5.14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Người lao động mới</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Như dòng 1; ký xác nhận Quy chế</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Khi tiếp nhận</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Trong 05 ngày làm việc kể từ ngày tiếp nhận</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Người quản trị, vận hành HTTT cấp 3 trở lên</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Kiến thức nền tảng và chuyên sâu theo vị trí</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tập huấn có chứng nhận</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khóa/người, hoàn thành trước 19/8/2029</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Luật 116 Đ34.2; NĐ 333 Đ24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đơn vị chuyên trách ANM</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Ứng cứu sự cố, giám sát, kiểm thử</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chuyên sâu, chứng chỉ</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khóa/người/năm</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Đ32.3</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Lập trình viên</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Lập trình an toàn</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Tập trung</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08 giờ</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TCVN 5.17 (cấp 3); 6.16 (cấp 4)</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Nhân sự BVDLCN và bộ phận xử lý DLCN</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Pháp luật và kỹ năng BVDLCN</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Khóa chuyên đề</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04 giờ</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356 Đ13.6, Đ14.1.đ</w:t>
            </w:r>
          </w:p>
        </w:tc>
      </w:tr>
      <w:tr>
        <w:trPr>
          <w:cantSplit/>
          <w:tblHeader w:val="false"/>
        </w:trPr>
        <w:tc>
          <w:tcPr>
            <w:tcW w:type="dxa" w:w="63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175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Ban lãnh đạo</w:t>
            </w:r>
          </w:p>
        </w:tc>
        <w:tc>
          <w:tcPr>
            <w:tcW w:type="dxa" w:w="217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Trách nhiệm pháp lý, báo cáo sự cố, ra quyết định khi khủng hoảng</w:t>
            </w:r>
          </w:p>
        </w:tc>
        <w:tc>
          <w:tcPr>
            <w:tcW w:type="dxa" w:w="142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Hội thảo ngắn</w:t>
            </w:r>
          </w:p>
        </w:tc>
        <w:tc>
          <w:tcPr>
            <w:tcW w:type="dxa" w:w="145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highlight w:val="yellow"/>
              </w:rPr>
              <w:t xml:space="preserve">01 lần/năm, 02 giờ</w:t>
            </w:r>
          </w:p>
        </w:tc>
        <w:tc>
          <w:tcPr>
            <w:tcW w:type="dxa" w:w="158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0"/>
                <w:szCs w:val="20"/>
              </w:rPr>
              <w:t xml:space="preserve">NĐ 331 Đ31.1.a</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2. Diễn tập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2708"/>
        <w:gridCol w:w="2006"/>
        <w:gridCol w:w="1849"/>
        <w:gridCol w:w="1790"/>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270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Kịch bản</w:t>
            </w:r>
          </w:p>
        </w:tc>
        <w:tc>
          <w:tcPr>
            <w:tcW w:type="dxa" w:w="20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Hình thức</w:t>
            </w:r>
          </w:p>
        </w:tc>
        <w:tc>
          <w:tcPr>
            <w:tcW w:type="dxa" w:w="1849"/>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Thành phần</w:t>
            </w:r>
          </w:p>
        </w:tc>
        <w:tc>
          <w:tcPr>
            <w:tcW w:type="dxa" w:w="179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Thời gian dự kiến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Mã độc tống tiền mã hóa CSDL khách hàng CRM Online</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trên bàn</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Đội ứng cứu sự cố, lãnh đạo</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15/06/2027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Lộ lọt DLCN khách hàng qua lỗ hổng cổng web CRM Online</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Diễn tập thực tế trên môi trường thử nghiệm</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Đội ứng cứu sự cố, đơn vị vận hành</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15/11/2027</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70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Tham gia diễn tập quốc gia, quốc tế do Bộ Công an tổ chức (khi được mời)</w:t>
            </w:r>
          </w:p>
        </w:tc>
        <w:tc>
          <w:tcPr>
            <w:tcW w:type="dxa" w:w="20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đơn vị tổ chức</w:t>
            </w:r>
          </w:p>
        </w:tc>
        <w:tc>
          <w:tcPr>
            <w:tcW w:type="dxa" w:w="1849"/>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Đơn vị chuyên trách ANM</w:t>
            </w:r>
          </w:p>
        </w:tc>
        <w:tc>
          <w:tcPr>
            <w:tcW w:type="dxa" w:w="179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Theo thông báo</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Mỗi cuộc diễn tập có kịch bản được phê duyệt, biên bản, báo cáo đánh giá và kế hoạch cải tiến. Kịch bản kiểm tra cả mốc báo cáo sự cố 24 giờ và 72 giờ (NĐ 331 Đ31.2.d) và mốc thông báo vi phạm DLCN 72 giờ (Luật 91/2025/QH15 Đ23.1).</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KINH PHÍ DỰ KIẾN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5654"/>
        <w:gridCol w:w="1531"/>
        <w:gridCol w:w="1168"/>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56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Nội dung</w:t>
            </w:r>
          </w:p>
        </w:tc>
        <w:tc>
          <w:tcPr>
            <w:tcW w:type="dxa" w:w="153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Kinh phí dự kiến (đồng)</w:t>
            </w:r>
          </w:p>
        </w:tc>
        <w:tc>
          <w:tcPr>
            <w:tcW w:type="dxa" w:w="116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Ghi chú</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Nền tảng đào tạo trực tuyến, bài kiểm tra nhận thức</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40.000.000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Tập huấn chuyên sâu có chứng nhận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120.000.000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06</w:t>
            </w:r>
            <w:r>
              <w:rPr>
                <w:rFonts w:ascii="Times New Roman" w:cs="Times New Roman" w:eastAsia="Times New Roman" w:hAnsi="Times New Roman"/>
                <w:b w:val="false"/>
                <w:bCs w:val="false"/>
                <w:i w:val="false"/>
                <w:iCs w:val="false"/>
                <w:sz w:val="22"/>
                <w:szCs w:val="22"/>
              </w:rPr>
              <w:t xml:space="preserve"> người</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Chứng chỉ chuyên môn ANM</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60.000.000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Đào tạo BVDLCN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25.000.000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Tổ chức diễn tập (kịch bản, môi trường, chuyên gia)</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70.000.000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Tuyên truyền (tài liệu, bản tin)</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15.000.000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c>
          <w:tcPr>
            <w:tcW w:type="dxa" w:w="56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rPr>
              <w:t xml:space="preserve">Tổng cộng</w:t>
            </w:r>
          </w:p>
        </w:tc>
        <w:tc>
          <w:tcPr>
            <w:tcW w:type="dxa" w:w="153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bCs/>
                <w:i w:val="false"/>
                <w:iCs w:val="false"/>
                <w:sz w:val="22"/>
                <w:szCs w:val="22"/>
                <w:highlight w:val="yellow"/>
              </w:rPr>
              <w:t xml:space="preserve">330.000.000</w:t>
            </w:r>
          </w:p>
        </w:tc>
        <w:tc>
          <w:tcPr>
            <w:tcW w:type="dxa" w:w="116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Nguồn kinh phí: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TIẾN ĐỘ</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715"/>
        <w:gridCol w:w="5516"/>
        <w:gridCol w:w="2794"/>
      </w:tblGrid>
      <w:tr>
        <w:trPr>
          <w:cantSplit/>
          <w:tblHeader/>
        </w:trPr>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Quý</w:t>
            </w:r>
          </w:p>
        </w:tc>
        <w:tc>
          <w:tcPr>
            <w:tcW w:type="dxa" w:w="55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Công việc chính</w:t>
            </w:r>
          </w:p>
        </w:tc>
        <w:tc>
          <w:tcPr>
            <w:tcW w:type="dxa" w:w="27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Đơn vị chủ trì</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nhận thức toàn bộ người lao động; chọn cơ sở tập huấn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Hành chính – Nhân sự</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Tập huấn chuyên sâu đợt 1; diễn tập trên bàn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III</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Đào tạo BVDLCN; đào tạo lập trình an toàn</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Pháp chế</w:t>
            </w:r>
          </w:p>
        </w:tc>
      </w:tr>
      <w:tr>
        <w:trPr>
          <w:cantSplit/>
          <w:tblHeader w:val="false"/>
        </w:trPr>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IV</w:t>
            </w:r>
          </w:p>
        </w:tc>
        <w:tc>
          <w:tcPr>
            <w:tcW w:type="dxa" w:w="55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Diễn tập thực tế; đánh giá kết quả năm; lập kế hoạch năm sau</w:t>
            </w:r>
          </w:p>
        </w:tc>
        <w:tc>
          <w:tcPr>
            <w:tcW w:type="dxa" w:w="27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Phòng An ninh mạng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 TỔ CHỨC THỰC HIỆN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xây dựng nội dung chuyên môn, kịch bản diễn tập; chủ trì diễn tập; tổng hợp kết quả vào báo cáo năm.</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w:t>
      </w:r>
      <w:r>
        <w:rPr>
          <w:rFonts w:ascii="Times New Roman" w:cs="Times New Roman" w:eastAsia="Times New Roman" w:hAnsi="Times New Roman"/>
          <w:b w:val="false"/>
          <w:bCs w:val="false"/>
          <w:i w:val="false"/>
          <w:iCs w:val="false"/>
          <w:sz w:val="26"/>
          <w:szCs w:val="26"/>
          <w:highlight w:val="yellow"/>
        </w:rPr>
        <w:t xml:space="preserve">Phòng Hành chính – Nhân sự</w:t>
      </w:r>
      <w:r>
        <w:rPr>
          <w:rFonts w:ascii="Times New Roman" w:cs="Times New Roman" w:eastAsia="Times New Roman" w:hAnsi="Times New Roman"/>
          <w:b w:val="false"/>
          <w:bCs w:val="false"/>
          <w:i w:val="false"/>
          <w:iCs w:val="false"/>
          <w:sz w:val="26"/>
          <w:szCs w:val="26"/>
        </w:rPr>
        <w:t xml:space="preserve">: tổ chức lớp học, theo dõi chuyên cần, lưu hồ sơ đào tạo, đưa kết quả vào đánh giá nhân sự.</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w:t>
      </w:r>
      <w:r>
        <w:rPr>
          <w:rFonts w:ascii="Times New Roman" w:cs="Times New Roman" w:eastAsia="Times New Roman" w:hAnsi="Times New Roman"/>
          <w:b w:val="false"/>
          <w:bCs w:val="false"/>
          <w:i w:val="false"/>
          <w:iCs w:val="false"/>
          <w:sz w:val="26"/>
          <w:szCs w:val="26"/>
          <w:highlight w:val="yellow"/>
        </w:rPr>
        <w:t xml:space="preserve">Phòng Pháp chế</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val="false"/>
          <w:bCs w:val="false"/>
          <w:i w:val="false"/>
          <w:iCs w:val="false"/>
          <w:sz w:val="26"/>
          <w:szCs w:val="26"/>
          <w:highlight w:val="yellow"/>
        </w:rPr>
        <w:t xml:space="preserve">Chuyên viên bảo vệ DLCN (bà Phạm Thu Dung)</w:t>
      </w:r>
      <w:r>
        <w:rPr>
          <w:rFonts w:ascii="Times New Roman" w:cs="Times New Roman" w:eastAsia="Times New Roman" w:hAnsi="Times New Roman"/>
          <w:b w:val="false"/>
          <w:bCs w:val="false"/>
          <w:i w:val="false"/>
          <w:iCs w:val="false"/>
          <w:sz w:val="26"/>
          <w:szCs w:val="26"/>
        </w:rPr>
        <w:t xml:space="preserve">: nội dung đào tạo về BVDLCN.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cử người tham gia tập huấn, diễn tập; chuẩn bị môi trường diễn tập.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w:t>
      </w:r>
      <w:r>
        <w:rPr>
          <w:rFonts w:ascii="Times New Roman" w:cs="Times New Roman" w:eastAsia="Times New Roman" w:hAnsi="Times New Roman"/>
          <w:b w:val="false"/>
          <w:bCs w:val="false"/>
          <w:i w:val="false"/>
          <w:iCs w:val="false"/>
          <w:sz w:val="26"/>
          <w:szCs w:val="26"/>
          <w:highlight w:val="yellow"/>
        </w:rPr>
        <w:t xml:space="preserve">Phòng Tài chính – Kế toán</w:t>
      </w:r>
      <w:r>
        <w:rPr>
          <w:rFonts w:ascii="Times New Roman" w:cs="Times New Roman" w:eastAsia="Times New Roman" w:hAnsi="Times New Roman"/>
          <w:b w:val="false"/>
          <w:bCs w:val="false"/>
          <w:i w:val="false"/>
          <w:iCs w:val="false"/>
          <w:sz w:val="26"/>
          <w:szCs w:val="26"/>
        </w:rPr>
        <w:t xml:space="preserve">: bố trí kinh phí.</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VI. KIẾN NGHỊ</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Kính trình </w:t>
      </w:r>
      <w:r>
        <w:rPr>
          <w:rFonts w:ascii="Times New Roman" w:cs="Times New Roman" w:eastAsia="Times New Roman" w:hAnsi="Times New Roman"/>
          <w:b w:val="false"/>
          <w:bCs w:val="false"/>
          <w:i w:val="false"/>
          <w:iCs w:val="false"/>
          <w:sz w:val="26"/>
          <w:szCs w:val="26"/>
          <w:highlight w:val="yellow"/>
        </w:rPr>
        <w:t xml:space="preserve">Tổng Giám đốc Công ty</w:t>
      </w:r>
      <w:r>
        <w:rPr>
          <w:rFonts w:ascii="Times New Roman" w:cs="Times New Roman" w:eastAsia="Times New Roman" w:hAnsi="Times New Roman"/>
          <w:b w:val="false"/>
          <w:bCs w:val="false"/>
          <w:i w:val="false"/>
          <w:iCs w:val="false"/>
          <w:sz w:val="26"/>
          <w:szCs w:val="26"/>
        </w:rPr>
        <w:t xml:space="preserve"> xem xét, phê duyệt: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Kế hoạch đào tạo, tuyên truyền, diễn tập ANM năm </w:t>
      </w:r>
      <w:r>
        <w:rPr>
          <w:rFonts w:ascii="Times New Roman" w:cs="Times New Roman" w:eastAsia="Times New Roman" w:hAnsi="Times New Roman"/>
          <w:b w:val="false"/>
          <w:bCs w:val="false"/>
          <w:i w:val="false"/>
          <w:iCs w:val="false"/>
          <w:sz w:val="26"/>
          <w:szCs w:val="26"/>
          <w:highlight w:val="yellow"/>
        </w:rPr>
        <w:t xml:space="preserve">2027</w:t>
      </w:r>
      <w:r>
        <w:rPr>
          <w:rFonts w:ascii="Times New Roman" w:cs="Times New Roman" w:eastAsia="Times New Roman" w:hAnsi="Times New Roman"/>
          <w:b w:val="false"/>
          <w:bCs w:val="false"/>
          <w:i w:val="false"/>
          <w:iCs w:val="false"/>
          <w:sz w:val="26"/>
          <w:szCs w:val="26"/>
        </w:rPr>
        <w:t xml:space="preserve"> (dự thảo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Kinh phí </w:t>
      </w:r>
      <w:r>
        <w:rPr>
          <w:rFonts w:ascii="Times New Roman" w:cs="Times New Roman" w:eastAsia="Times New Roman" w:hAnsi="Times New Roman"/>
          <w:b w:val="false"/>
          <w:bCs w:val="false"/>
          <w:i w:val="false"/>
          <w:iCs w:val="false"/>
          <w:sz w:val="26"/>
          <w:szCs w:val="26"/>
          <w:highlight w:val="yellow"/>
        </w:rPr>
        <w:t xml:space="preserve">330.000.000 đồng</w:t>
      </w:r>
      <w:r>
        <w:rPr>
          <w:rFonts w:ascii="Times New Roman" w:cs="Times New Roman" w:eastAsia="Times New Roman" w:hAnsi="Times New Roman"/>
          <w:b w:val="false"/>
          <w:bCs w:val="false"/>
          <w:i w:val="false"/>
          <w:iCs w:val="false"/>
          <w:sz w:val="26"/>
          <w:szCs w:val="26"/>
        </w:rPr>
        <w:t xml:space="preserve"> từ </w:t>
      </w:r>
      <w:r>
        <w:rPr>
          <w:rFonts w:ascii="Times New Roman" w:cs="Times New Roman" w:eastAsia="Times New Roman" w:hAnsi="Times New Roman"/>
          <w:b w:val="false"/>
          <w:bCs w:val="false"/>
          <w:i w:val="false"/>
          <w:iCs w:val="false"/>
          <w:sz w:val="26"/>
          <w:szCs w:val="26"/>
          <w:highlight w:val="yellow"/>
        </w:rPr>
        <w:t xml:space="preserve">Ngân sách hoạt động năm 2026 của Công ty</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Giao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làm đầu mối tham gia diễn tập quốc gia, quốc tế khi Bộ Công an tổ chức.</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Hành chính – Nhân sự</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Tài chính – Kế toán</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Lưu: VT, </w:t>
            </w:r>
            <w:r>
              <w:rPr>
                <w:rFonts w:ascii="Times New Roman" w:cs="Times New Roman" w:eastAsia="Times New Roman" w:hAnsi="Times New Roman"/>
                <w:b w:val="false"/>
                <w:bCs w:val="false"/>
                <w:i w:val="false"/>
                <w:iCs w:val="false"/>
                <w:sz w:val="22"/>
                <w:szCs w:val="22"/>
                <w:highlight w:val="yellow"/>
              </w:rPr>
              <w:t xml:space="preserve">PANM</w:t>
            </w:r>
            <w:r>
              <w:rPr>
                <w:rFonts w:ascii="Times New Roman" w:cs="Times New Roman" w:eastAsia="Times New Roman" w:hAnsi="Times New Roman"/>
                <w:b w:val="false"/>
                <w:bCs w:val="false"/>
                <w:i w:val="false"/>
                <w:iCs w:val="false"/>
                <w:sz w:val="22"/>
                <w:szCs w:val="22"/>
              </w:rPr>
              <w:t xml:space="preserve">.</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Trần Thị Bình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9025"/>
      </w:tblGrid>
      <w:tr>
        <w:trPr>
          <w:cantSplit/>
          <w:tblHeader/>
        </w:trPr>
        <w:tc>
          <w:tcPr>
            <w:tcW w:type="dxa" w:w="902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Ý KIẾN PHÊ DUYỆT CỦA LÃNH ĐẠO</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 Đồng ý    ☐ Đồng ý, có điều chỉnh    ☐ Không đồng ý    ☐ Ý kiến khác</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Ý kiến cụ thể: ............................................................................................................</w:t>
            </w:r>
          </w:p>
        </w:tc>
      </w:tr>
      <w:tr>
        <w:trPr>
          <w:cantSplit/>
          <w:tblHeader w:val="false"/>
        </w:trPr>
        <w:tc>
          <w:tcPr>
            <w:tcW w:type="dxa" w:w="902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Ngày ....../....../..........    </w:t>
            </w:r>
            <w:r>
              <w:rPr>
                <w:rFonts w:ascii="Times New Roman" w:cs="Times New Roman" w:eastAsia="Times New Roman" w:hAnsi="Times New Roman"/>
                <w:b w:val="false"/>
                <w:bCs w:val="false"/>
                <w:i w:val="false"/>
                <w:iCs w:val="false"/>
                <w:sz w:val="24"/>
                <w:szCs w:val="24"/>
                <w:highlight w:val="yellow"/>
              </w:rPr>
              <w:t xml:space="preserve">Tổng Giám đốc Công ty</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(ký, ghi rõ họ tên)</w:t>
            </w:r>
          </w:p>
        </w:tc>
      </w:tr>
    </w:tbl>
    <w:p>
      <w:pPr>
        <w:spacing w:after="60" w:before="0" w:line="276" w:lineRule="auto"/>
        <w:jc w:val="both"/>
      </w:pP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Tờ trình phê duyệt kế hoạch đào tạo, tuyên truyền và diễn tập an ninh mạng năm</dc:title>
  <dc:creator>vn-cyber-compliance</dc:creator>
  <cp:lastModifiedBy>Un-named</cp:lastModifiedBy>
  <cp:revision>1</cp:revision>
  <dcterms:created xsi:type="dcterms:W3CDTF">2026-09-25T02:31:05.361Z</dcterms:created>
  <dcterms:modified xsi:type="dcterms:W3CDTF">2026-09-25T02:31:05.361Z</dcterms:modified>
</cp:coreProperties>
</file>

<file path=docProps/custom.xml><?xml version="1.0" encoding="utf-8"?>
<Properties xmlns="http://schemas.openxmlformats.org/officeDocument/2006/custom-properties" xmlns:vt="http://schemas.openxmlformats.org/officeDocument/2006/docPropsVTypes"/>
</file>