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Vận hành hệ thống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06/2026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28</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08</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 (chỉ định) bộ phận chuyên trách về an ninh mạng và bố trí nhân sự</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chủ trương triển khai chương trình tuân thủ pháp luật về an ninh mạng đã được </w:t>
      </w:r>
      <w:r>
        <w:rPr>
          <w:rFonts w:ascii="Times New Roman" w:cs="Times New Roman" w:eastAsia="Times New Roman" w:hAnsi="Times New Roman"/>
          <w:b w:val="false"/>
          <w:bCs w:val="false"/>
          <w:i/>
          <w:iCs/>
          <w:sz w:val="26"/>
          <w:szCs w:val="26"/>
          <w:highlight w:val="yellow"/>
        </w:rPr>
        <w:t xml:space="preserve">Tổng Giám đốc Công ty</w:t>
      </w:r>
      <w:r>
        <w:rPr>
          <w:rFonts w:ascii="Times New Roman" w:cs="Times New Roman" w:eastAsia="Times New Roman" w:hAnsi="Times New Roman"/>
          <w:b w:val="false"/>
          <w:bCs w:val="false"/>
          <w:i/>
          <w:iCs/>
          <w:sz w:val="26"/>
          <w:szCs w:val="26"/>
        </w:rPr>
        <w:t xml:space="preserve"> phê duyệt tại </w:t>
      </w:r>
      <w:r>
        <w:rPr>
          <w:rFonts w:ascii="Times New Roman" w:cs="Times New Roman" w:eastAsia="Times New Roman" w:hAnsi="Times New Roman"/>
          <w:b w:val="false"/>
          <w:bCs w:val="false"/>
          <w:i/>
          <w:iCs/>
          <w:sz w:val="26"/>
          <w:szCs w:val="26"/>
          <w:highlight w:val="yellow"/>
        </w:rPr>
        <w:t xml:space="preserve">Tờ trình số 05/2026/TTr-PVH đã được Tổng Giám đốc phê duyệt ngày 29/08/2026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việc thành lập (chỉ định) bộ phận chuyên trách về an ninh mạng và bố trí nhân sự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Luật 91 là Luật Bảo vệ dữ liệu cá nhân; NĐ 330, NĐ 331, NĐ 356 là các Nghị định số 330/2026/NĐ-CP, 331/2026/NĐ-CP, 356/2025/NĐ-CP; ANM là an ninh mạng; HTTT là hệ thống thông tin; BVDLCN là bảo vệ dữ liệu cá nhân. "Đ31.1.b" nghĩa là điểm b khoản 1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399"/>
        <w:gridCol w:w="2911"/>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53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Quy định</w:t>
            </w:r>
          </w:p>
        </w:tc>
        <w:tc>
          <w:tcPr>
            <w:tcW w:type="dxa" w:w="29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đứng đầu chủ quản HTTT bố trí bộ phận hoặc nhân sự chuyên trách về ANM phù hợp với cấp độ bảo vệ của hệ thống</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Đ31.1.b</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Chưa có đơn vị chuyên trách ANM độc lập thì chỉ định đơn vị chuyên trách CNTT (hoặc chuyển đổi số) làm nhiệm vụ đơn vị chuyên trách ANM; thành lập hoặc chỉ định bộ phận chuyên trách ANM</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Đ31.1.c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Bộ phận chuyên trách ANM thuộc đơn vị CNTT, do chủ quản thành lập hoặc chỉ định để thực thi nhiệm vụ bảo đảm ANM và ứng phó sự cố, khi không thành lập được đơn vị chuyên trách ANM</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Đ3.2, Đ3.3</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Nhiệm vụ của đơn vị chuyên trách ANM: tham mưu, tổ chức thực thi, đôn đốc, kiểm tra, giám sát; phối hợp với lực lượng chuyên trách; bảo đảm người làm ANM đáp ứng tiêu chuẩn chuyên môn; thẩm định, phê duyệt hoặc cho ý kiến về hồ sơ đề xuất cấp độ; phối hợp dò quét lỗ hổng, kiểm thử xâm nhập</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Đ32.1–32.5</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chuyên trách ANM thẩm định, phê duyệt hồ sơ cấp 1–2; thẩm định hồ sơ cấp 3</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Đ18.1, Đ18.2.a</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Nếu đơn vị chuyên trách ANM đồng thời vận hành HTTT thì việc thẩm định phải giao cho đơn vị trực thuộc khác có đủ năng lực, hoặc cho Hội đồng thẩm định độc lập</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Đ18.4</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đánh giá ANM phải do bộ phận hoặc đơn vị độc lập với đơn vị trực tiếp vận hành hệ thống thực hiện</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Đ31.2.c</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Việc thành lập, chỉ định đơn vị (bộ phận) chuyên trách ANM là nội dung kiểm tra tuân thủ đối với chủ quản</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Đ27.1.a</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9</w:t>
            </w:r>
          </w:p>
        </w:tc>
        <w:tc>
          <w:tcPr>
            <w:tcW w:type="dxa" w:w="5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Tổ chức phải chỉ định bộ phận, nhân sự đủ điều kiện năng lực BVDLCN, hoặc thuê tổ chức, cá nhân cung cấp dịch vụ BVDLCN</w:t>
            </w:r>
          </w:p>
        </w:tc>
        <w:tc>
          <w:tcPr>
            <w:tcW w:type="dxa" w:w="29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91 Đ33.2; NĐ 356 Đ13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HTTT cấp độ 3 trở lên, TCVN 14423:2026 (mục 5.14) yêu cầu tách riêng các bộ phận vận hành, quản trị hệ thống và bảo vệ ANM.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Hiện trạng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Hiện nay nhiệm vụ ANM do </w:t>
      </w:r>
      <w:r>
        <w:rPr>
          <w:rFonts w:ascii="Times New Roman" w:cs="Times New Roman" w:eastAsia="Times New Roman" w:hAnsi="Times New Roman"/>
          <w:b w:val="false"/>
          <w:bCs w:val="false"/>
          <w:i w:val="false"/>
          <w:iCs w:val="false"/>
          <w:sz w:val="26"/>
          <w:szCs w:val="26"/>
          <w:highlight w:val="yellow"/>
        </w:rPr>
        <w:t xml:space="preserve">02 kỹ sư thuộc Phòng Vận hành hệ thống kiêm nhiệm</w:t>
      </w:r>
      <w:r>
        <w:rPr>
          <w:rFonts w:ascii="Times New Roman" w:cs="Times New Roman" w:eastAsia="Times New Roman" w:hAnsi="Times New Roman"/>
          <w:b w:val="false"/>
          <w:bCs w:val="false"/>
          <w:i w:val="false"/>
          <w:iCs w:val="false"/>
          <w:sz w:val="26"/>
          <w:szCs w:val="26"/>
        </w:rPr>
        <w:t xml:space="preserve"> đảm nhiệm.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chưa có văn bản thành lập hoặc chỉ định bộ phận chuyên trách ANM.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đang vận 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HTTT, trong đó HTTT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 dự kiến đề xuất cấp độ </w:t>
      </w:r>
      <w:r>
        <w:rPr>
          <w:rFonts w:ascii="Times New Roman" w:cs="Times New Roman" w:eastAsia="Times New Roman" w:hAnsi="Times New Roman"/>
          <w:b w:val="false"/>
          <w:bCs w:val="false"/>
          <w:i w:val="false"/>
          <w:iCs w:val="false"/>
          <w:sz w:val="26"/>
          <w:szCs w:val="26"/>
          <w:highlight w:val="yellow"/>
        </w:rPr>
        <w:t xml:space="preserve">3</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83"/>
        <w:gridCol w:w="1820"/>
        <w:gridCol w:w="2422"/>
      </w:tblGrid>
      <w:tr>
        <w:trPr>
          <w:cantSplit/>
          <w:tblHeader/>
        </w:trPr>
        <w:tc>
          <w:tcPr>
            <w:tcW w:type="dxa" w:w="47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1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24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tổ chức thực thi, đôn đốc, kiểm tra, giám sát công tác bảo đảm ANM</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Đ23.2.c</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thành lập hoặc không chỉ định đơn vị chuyên trách ứng cứu sự cố ANM, hoặc không thành lập Đội ứng cứu sự cố</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Đ21.3.b</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ban hành văn bản chỉ định nhân sự BVDLCN hoặc quyết định thành lập bộ phận BVDLCN; chỉ định nhân sự không đủ điều kiện</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Đ57.2</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20–30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Văn bản chỉ định nhân sự BVDLCN không nêu rõ chức năng, nhiệm vụ; không ký thỏa thuận bảo mật; không đào tạo</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Đ57.1</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cáo hoặc 10–20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về ANM ghi trong NĐ 330 là mức cho cá nhân; tổ chức bị phạt gấp hai lần. Mức phạt về BVDLCN ghi trong NĐ 330 là mức cho tổ chức (NĐ 330 Đ7.1). Ngoài ra, khi chưa có đơn vị chuyên trách ANM thì không có đơn vị đủ thẩm quyền thẩm định hồ sơ đề xuất cấp độ (NĐ 331 Đ18.1–18.2). Khi đó cả tiến độ phê duyệt cấp độ bị chậm theo.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Mô hình tổ chức:</w:t>
      </w:r>
      <w:r>
        <w:rPr>
          <w:rFonts w:ascii="Times New Roman" w:cs="Times New Roman" w:eastAsia="Times New Roman" w:hAnsi="Times New Roman"/>
          <w:b w:val="false"/>
          <w:bCs w:val="false"/>
          <w:i w:val="false"/>
          <w:iCs w:val="false"/>
          <w:sz w:val="26"/>
          <w:szCs w:val="26"/>
        </w:rPr>
        <w:t xml:space="preserve"> đề xuất phương án </w:t>
      </w:r>
      <w:r>
        <w:rPr>
          <w:rFonts w:ascii="Times New Roman" w:cs="Times New Roman" w:eastAsia="Times New Roman" w:hAnsi="Times New Roman"/>
          <w:b w:val="false"/>
          <w:bCs w:val="false"/>
          <w:i w:val="false"/>
          <w:iCs w:val="false"/>
          <w:sz w:val="26"/>
          <w:szCs w:val="26"/>
          <w:highlight w:val="yellow"/>
        </w:rPr>
        <w:t xml:space="preserve">B</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144"/>
        <w:gridCol w:w="2961"/>
        <w:gridCol w:w="1957"/>
        <w:gridCol w:w="2963"/>
      </w:tblGrid>
      <w:tr>
        <w:trPr>
          <w:cantSplit/>
          <w:tblHeader/>
        </w:trPr>
        <w:tc>
          <w:tcPr>
            <w:tcW w:type="dxa" w:w="11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Phương án</w:t>
            </w:r>
          </w:p>
        </w:tc>
        <w:tc>
          <w:tcPr>
            <w:tcW w:type="dxa" w:w="296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9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9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Đánh giá</w:t>
            </w:r>
          </w:p>
        </w:tc>
      </w:tr>
      <w:tr>
        <w:trPr>
          <w:cantSplit/>
          <w:tblHeader w:val="false"/>
        </w:trPr>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A</w:t>
            </w:r>
          </w:p>
        </w:tc>
        <w:tc>
          <w:tcPr>
            <w:tcW w:type="dxa" w:w="29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Thành lập đơn vị chuyên trách ANM độc lập (phòng hoặc ban ANM)</w:t>
            </w:r>
          </w:p>
        </w:tc>
        <w:tc>
          <w:tcPr>
            <w:tcW w:type="dxa" w:w="19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Đ3.2, Đ31.1.b</w:t>
            </w:r>
          </w:p>
        </w:tc>
        <w:tc>
          <w:tcPr>
            <w:tcW w:type="dxa" w:w="29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Độc lập cao nhất; chi phí cao nhất</w:t>
            </w:r>
          </w:p>
        </w:tc>
      </w:tr>
      <w:tr>
        <w:trPr>
          <w:cantSplit/>
          <w:tblHeader w:val="false"/>
        </w:trPr>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w:t>
            </w:r>
          </w:p>
        </w:tc>
        <w:tc>
          <w:tcPr>
            <w:tcW w:type="dxa" w:w="29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định </w:t>
            </w:r>
            <w:r>
              <w:rPr>
                <w:rFonts w:ascii="Times New Roman" w:cs="Times New Roman" w:eastAsia="Times New Roman" w:hAnsi="Times New Roman"/>
                <w:b w:val="false"/>
                <w:bCs w:val="false"/>
                <w:i w:val="false"/>
                <w:iCs w:val="false"/>
                <w:sz w:val="22"/>
                <w:szCs w:val="22"/>
                <w:highlight w:val="yellow"/>
              </w:rPr>
              <w:t xml:space="preserve">Khối Công nghệ thông tin</w:t>
            </w:r>
            <w:r>
              <w:rPr>
                <w:rFonts w:ascii="Times New Roman" w:cs="Times New Roman" w:eastAsia="Times New Roman" w:hAnsi="Times New Roman"/>
                <w:b w:val="false"/>
                <w:bCs w:val="false"/>
                <w:i w:val="false"/>
                <w:iCs w:val="false"/>
                <w:sz w:val="22"/>
                <w:szCs w:val="22"/>
              </w:rPr>
              <w:t xml:space="preserve"> làm nhiệm vụ đơn vị chuyên trách ANM, đồng thời thành lập bộ phận chuyên trách ANM thuộc đơn vị này</w:t>
            </w:r>
          </w:p>
        </w:tc>
        <w:tc>
          <w:tcPr>
            <w:tcW w:type="dxa" w:w="19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Đ3.3, Đ31.1.c</w:t>
            </w:r>
          </w:p>
        </w:tc>
        <w:tc>
          <w:tcPr>
            <w:tcW w:type="dxa" w:w="29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Tận dụng nhân sự sẵn có; phải xử lý xung đột vai trò khi thẩm định và tự đánh giá</w:t>
            </w:r>
          </w:p>
        </w:tc>
      </w:tr>
      <w:tr>
        <w:trPr>
          <w:cantSplit/>
          <w:tblHeader w:val="false"/>
        </w:trPr>
        <w:tc>
          <w:tcPr>
            <w:tcW w:type="dxa" w:w="11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w:t>
            </w:r>
          </w:p>
        </w:tc>
        <w:tc>
          <w:tcPr>
            <w:tcW w:type="dxa" w:w="29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phương án B, thuê thêm dịch vụ giám sát và ứng cứu sự cố bên ngoài</w:t>
            </w:r>
          </w:p>
        </w:tc>
        <w:tc>
          <w:tcPr>
            <w:tcW w:type="dxa" w:w="19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Đ31.1.c; Luật 116 Đ28.2</w:t>
            </w:r>
          </w:p>
        </w:tc>
        <w:tc>
          <w:tcPr>
            <w:tcW w:type="dxa" w:w="29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Bổ sung năng lực nhanh; nhà cung cấp phải có giấy phép kinh doanh dịch vụ ANM (Luật 116 Đ29.1)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Chức năng, nhiệm vụ:</w:t>
      </w:r>
      <w:r>
        <w:rPr>
          <w:rFonts w:ascii="Times New Roman" w:cs="Times New Roman" w:eastAsia="Times New Roman" w:hAnsi="Times New Roman"/>
          <w:b w:val="false"/>
          <w:bCs w:val="false"/>
          <w:i w:val="false"/>
          <w:iCs w:val="false"/>
          <w:sz w:val="26"/>
          <w:szCs w:val="26"/>
        </w:rPr>
        <w:t xml:space="preserve"> thực hiện 05 nhóm nhiệm vụ tại NĐ 331 Đ32. Ngoài ra, bộ phận là đầu mối tiếp nhận, báo cáo sự cố (NĐ 331 Đ31.2.d), tổng hợp báo cáo năm (NĐ 331 Đ35.4.a) và làm thường trực Đội ứng cứu sự cố.</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Nhân sự đề xuất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045"/>
        <w:gridCol w:w="987"/>
        <w:gridCol w:w="3838"/>
        <w:gridCol w:w="148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0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Vị trí</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Số lượng</w:t>
            </w:r>
          </w:p>
        </w:tc>
        <w:tc>
          <w:tcPr>
            <w:tcW w:type="dxa" w:w="38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Tiêu chuẩn chính</w:t>
            </w:r>
          </w:p>
        </w:tc>
        <w:tc>
          <w:tcPr>
            <w:tcW w:type="dxa" w:w="14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Nguồn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bộ phận chuyên trách ANM</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tốt nghiệp đại học CNTT/ATTT, ≥ 03 năm kinh nghiệm an ninh mạng</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Bổ nhiệm nội bộ</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Chuyên viên giám sát, ứng cứu sự cố</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tốt nghiệp đại học CNTT/ATTT, ≥ 03 năm kinh nghiệm an ninh mạng</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 điều động từ Phòng Vận hành hệ thống, 01 tuyển mới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Chuyên viên quản lý rủi ro, tuân thủ</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tốt nghiệp đại học CNTT/ATTT, ≥ 03 năm kinh nghiệm an ninh mạng</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Tuyển mới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0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BVDLCN (nếu chỉ định nội bộ)</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38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Cao đẳng trở lên; ít nhất 02 năm kinh nghiệm trong lĩnh vực liên quan; đã được đào tạo về BVDLCN (NĐ 356 Đ13.2)</w:t>
            </w:r>
          </w:p>
        </w:tc>
        <w:tc>
          <w:tcPr>
            <w:tcW w:type="dxa" w:w="14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Chỉ định nội bộ (Phòng Pháp chế)</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Bảo đảm tính độc lập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Bộ phận chuyên trách ANM không trực tiếp quản trị, vận hành HTTT mà mình thẩm định. Nếu không tách được,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sẽ trình thành lập Hội đồng thẩm định độc lập hoặc giao đơn vị trực thuộc khác thẩm định (NĐ 331 Đ18.4).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Việc tự đánh giá ANM giao cho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là đơn vị độc lập với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(NĐ 331 Đ31.2.c).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Tách danh sách người thẩm định, người tự đánh giá và người vận hành cho từng HTTT.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Nhân sự bảo vệ dữ liệu cá nhân (nếu phù hợp):</w:t>
      </w:r>
      <w:r>
        <w:rPr>
          <w:rFonts w:ascii="Times New Roman" w:cs="Times New Roman" w:eastAsia="Times New Roman" w:hAnsi="Times New Roman"/>
          <w:b w:val="false"/>
          <w:bCs w:val="false"/>
          <w:i w:val="false"/>
          <w:iCs w:val="false"/>
          <w:sz w:val="26"/>
          <w:szCs w:val="26"/>
        </w:rPr>
        <w:t xml:space="preserve"> đề xuất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thực hiện nhiệm vụ BVDLCN theo NĐ 356 Đ14. Việc chỉ định phải bằng văn bản chính thức, nêu rõ chức năng, nhiệm vụ, quyền hạn (NĐ 356 Đ13.1).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ký thỏa thuận trách nhiệm bảo mật với người được chỉ định (NĐ 356 Đ13.5) và bố trí đào tạo, bồi dưỡng (NĐ 356 Đ13.6). Nhân sự BVDLCN có thể thuộc bộ phận chuyên trách ANM hoặc đơn vị khác (ví dụ Pháp chế). Khi thuộc bộ phận ANM thì văn bản chỉ định nêu riêng nhiệm vụ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5170"/>
        <w:gridCol w:w="1531"/>
        <w:gridCol w:w="165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51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phí/năm (đồng)</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Chi phí nhân sự tăng thêm (tuyển mới, phụ cấp kiêm nhiệm)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480.000.000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chứng chỉ chuyên môn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bồi dưỡng nhân sự BVDLCN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Đ13.6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cụ làm việc của bộ phận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Thuê dịch vụ bổ sung (nếu chọn phương án 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1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650.000.000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676"/>
        <w:gridCol w:w="2266"/>
        <w:gridCol w:w="141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67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2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Quyết định thành lập (chỉ định) bộ phận chuyên trách ANM</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Hành chính – Nhân sự</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Ban hành văn bản chỉ định nhân sự BVDLCN; ký thỏa thuận bảo mật</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Điều động, tuyển dụng nhân sự</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Hành chính – Nhân sự</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67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đầu mối ANM, BVDLCN vào Quy chế và quy trình ứng phó sự cố</w:t>
            </w:r>
          </w:p>
        </w:tc>
        <w:tc>
          <w:tcPr>
            <w:tcW w:type="dxa" w:w="22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31/10/2026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soạn Quyết định, bản mô tả công việc; tổ chức tuyển dụng, điều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đề xuất nhân sự cụ thể; xây dựng quy chế làm việc của bộ phận; đề xuất phương án bảo đảm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rà soát pháp lý; soạn văn bản chỉ định nhân sự BVDLCN và thỏa thuận bảo mật.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Mô hình tổ chức theo phương án </w:t>
      </w:r>
      <w:r>
        <w:rPr>
          <w:rFonts w:ascii="Times New Roman" w:cs="Times New Roman" w:eastAsia="Times New Roman" w:hAnsi="Times New Roman"/>
          <w:b w:val="false"/>
          <w:bCs w:val="false"/>
          <w:i w:val="false"/>
          <w:iCs w:val="false"/>
          <w:sz w:val="26"/>
          <w:szCs w:val="26"/>
          <w:highlight w:val="yellow"/>
        </w:rPr>
        <w:t xml:space="preserve">B</w:t>
      </w:r>
      <w:r>
        <w:rPr>
          <w:rFonts w:ascii="Times New Roman" w:cs="Times New Roman" w:eastAsia="Times New Roman" w:hAnsi="Times New Roman"/>
          <w:b w:val="false"/>
          <w:bCs w:val="false"/>
          <w:i w:val="false"/>
          <w:iCs w:val="false"/>
          <w:sz w:val="26"/>
          <w:szCs w:val="26"/>
        </w:rPr>
        <w:t xml:space="preserve"> nêu tại Mục II.1.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Nhân sự và kinh phí nêu tại Mục II.3 và Mục III.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chủ trì, phối hợp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trình ký Quyết định thành lập (chỉ định) bộ phận chuyên trách ANM trước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Chỉ định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làm nhân sự BVDLCN; giao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trình ký văn bản chỉ định.</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PVH</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VẬN HÀNH HỆ THỐNG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Minh Cường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thành lập, chỉ định bộ phận chuyên trách an ninh mạng</dc:title>
  <dc:creator>vn-cyber-compliance</dc:creator>
  <cp:lastModifiedBy>Un-named</cp:lastModifiedBy>
  <cp:revision>1</cp:revision>
  <dcterms:created xsi:type="dcterms:W3CDTF">2026-09-25T02:31:05.110Z</dcterms:created>
  <dcterms:modified xsi:type="dcterms:W3CDTF">2026-09-25T02:31:05.110Z</dcterms:modified>
</cp:coreProperties>
</file>

<file path=docProps/custom.xml><?xml version="1.0" encoding="utf-8"?>
<Properties xmlns="http://schemas.openxmlformats.org/officeDocument/2006/custom-properties" xmlns:vt="http://schemas.openxmlformats.org/officeDocument/2006/docPropsVTypes"/>
</file>